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00AD4" w14:textId="77777777" w:rsidR="000806FE" w:rsidRPr="00C26A9B" w:rsidRDefault="000806FE" w:rsidP="000806FE">
      <w:pPr>
        <w:spacing w:after="0" w:line="240" w:lineRule="auto"/>
        <w:ind w:firstLine="567"/>
        <w:jc w:val="right"/>
        <w:rPr>
          <w:rFonts w:ascii="Times New Roman" w:eastAsia="Times New Roman" w:hAnsi="Times New Roman" w:cs="Times New Roman"/>
          <w:kern w:val="0"/>
          <w:sz w:val="32"/>
          <w:szCs w:val="32"/>
          <w:lang w:val="ro-RO" w:eastAsia="ro-MD"/>
          <w14:ligatures w14:val="none"/>
        </w:rPr>
      </w:pPr>
      <w:r w:rsidRPr="00C26A9B">
        <w:rPr>
          <w:rFonts w:ascii="Times New Roman" w:eastAsia="Times New Roman" w:hAnsi="Times New Roman" w:cs="Times New Roman"/>
          <w:b/>
          <w:bCs/>
          <w:kern w:val="0"/>
          <w:sz w:val="32"/>
          <w:szCs w:val="32"/>
          <w:lang w:val="ro-RO" w:eastAsia="ro-MD"/>
          <w14:ligatures w14:val="none"/>
        </w:rPr>
        <w:t>UE</w:t>
      </w:r>
    </w:p>
    <w:p w14:paraId="106C29C8" w14:textId="77777777" w:rsidR="000806FE" w:rsidRPr="00C26A9B" w:rsidRDefault="000806FE" w:rsidP="000806FE">
      <w:pPr>
        <w:spacing w:after="0" w:line="240" w:lineRule="auto"/>
        <w:jc w:val="right"/>
        <w:rPr>
          <w:rFonts w:ascii="Times New Roman" w:eastAsia="Times New Roman" w:hAnsi="Times New Roman" w:cs="Times New Roman"/>
          <w:i/>
          <w:iCs/>
          <w:kern w:val="0"/>
          <w:sz w:val="24"/>
          <w:szCs w:val="24"/>
          <w:lang w:val="ro-RO" w:eastAsia="ro-MD"/>
          <w14:ligatures w14:val="none"/>
        </w:rPr>
      </w:pPr>
      <w:r w:rsidRPr="00C26A9B">
        <w:rPr>
          <w:rFonts w:ascii="Times New Roman" w:eastAsia="Times New Roman" w:hAnsi="Times New Roman" w:cs="Times New Roman"/>
          <w:i/>
          <w:iCs/>
          <w:kern w:val="0"/>
          <w:sz w:val="24"/>
          <w:szCs w:val="24"/>
          <w:lang w:val="ro-RO" w:eastAsia="ro-MD"/>
          <w14:ligatures w14:val="none"/>
        </w:rPr>
        <w:t>Proiect</w:t>
      </w:r>
    </w:p>
    <w:p w14:paraId="208B8B11" w14:textId="77777777" w:rsidR="000806FE" w:rsidRPr="00C26A9B" w:rsidRDefault="000806FE" w:rsidP="000806FE">
      <w:pPr>
        <w:spacing w:after="0" w:line="240" w:lineRule="auto"/>
        <w:rPr>
          <w:rFonts w:ascii="Times New Roman" w:eastAsia="Times New Roman" w:hAnsi="Times New Roman" w:cs="Times New Roman"/>
          <w:b/>
          <w:bCs/>
          <w:kern w:val="0"/>
          <w:sz w:val="24"/>
          <w:szCs w:val="24"/>
          <w:lang w:val="ro-RO" w:eastAsia="ro-MD"/>
          <w14:ligatures w14:val="none"/>
        </w:rPr>
      </w:pPr>
    </w:p>
    <w:p w14:paraId="2462C180" w14:textId="77777777" w:rsidR="000806FE" w:rsidRPr="00C26A9B" w:rsidRDefault="000806FE" w:rsidP="000806FE">
      <w:pPr>
        <w:spacing w:after="0" w:line="240" w:lineRule="auto"/>
        <w:jc w:val="center"/>
        <w:rPr>
          <w:rFonts w:ascii="Times New Roman" w:eastAsia="Times New Roman" w:hAnsi="Times New Roman" w:cs="Times New Roman"/>
          <w:b/>
          <w:kern w:val="0"/>
          <w:sz w:val="24"/>
          <w:szCs w:val="24"/>
          <w:lang w:val="ro-RO" w:eastAsia="ro-MD" w:bidi="ro-RO"/>
          <w14:ligatures w14:val="none"/>
        </w:rPr>
      </w:pPr>
      <w:bookmarkStart w:id="0" w:name="_Hlk175317190"/>
      <w:r w:rsidRPr="00C26A9B">
        <w:rPr>
          <w:rFonts w:ascii="Times New Roman" w:eastAsia="Times New Roman" w:hAnsi="Times New Roman" w:cs="Times New Roman"/>
          <w:b/>
          <w:kern w:val="0"/>
          <w:sz w:val="24"/>
          <w:szCs w:val="24"/>
          <w:lang w:val="ro-RO" w:eastAsia="ro-MD" w:bidi="ro-RO"/>
          <w14:ligatures w14:val="none"/>
        </w:rPr>
        <w:t>COMITETUL EXECUTIV</w:t>
      </w:r>
    </w:p>
    <w:p w14:paraId="7BA6196C" w14:textId="77777777" w:rsidR="000806FE" w:rsidRPr="00C26A9B" w:rsidRDefault="000806FE" w:rsidP="000806FE">
      <w:pPr>
        <w:spacing w:after="0" w:line="240" w:lineRule="auto"/>
        <w:jc w:val="center"/>
        <w:rPr>
          <w:rFonts w:ascii="Times New Roman" w:eastAsia="Times New Roman" w:hAnsi="Times New Roman" w:cs="Times New Roman"/>
          <w:b/>
          <w:kern w:val="0"/>
          <w:sz w:val="24"/>
          <w:szCs w:val="24"/>
          <w:lang w:val="ro-RO" w:eastAsia="ro-MD" w:bidi="ro-RO"/>
          <w14:ligatures w14:val="none"/>
        </w:rPr>
      </w:pPr>
      <w:r w:rsidRPr="00C26A9B">
        <w:rPr>
          <w:rFonts w:ascii="Times New Roman" w:eastAsia="Times New Roman" w:hAnsi="Times New Roman" w:cs="Times New Roman"/>
          <w:b/>
          <w:kern w:val="0"/>
          <w:sz w:val="24"/>
          <w:szCs w:val="24"/>
          <w:lang w:val="ro-RO" w:eastAsia="ro-MD" w:bidi="ro-RO"/>
          <w14:ligatures w14:val="none"/>
        </w:rPr>
        <w:t>AL BĂNCII NAȚIONALE A MOLDOVEI</w:t>
      </w:r>
    </w:p>
    <w:p w14:paraId="2E2A40D7" w14:textId="77777777" w:rsidR="000806FE" w:rsidRPr="00C26A9B" w:rsidRDefault="000806FE" w:rsidP="000806FE">
      <w:pPr>
        <w:spacing w:after="0" w:line="240" w:lineRule="auto"/>
        <w:jc w:val="center"/>
        <w:rPr>
          <w:rFonts w:ascii="Times New Roman" w:eastAsia="Times New Roman" w:hAnsi="Times New Roman" w:cs="Times New Roman"/>
          <w:b/>
          <w:kern w:val="0"/>
          <w:sz w:val="24"/>
          <w:szCs w:val="24"/>
          <w:lang w:val="ro-RO" w:eastAsia="ro-MD" w:bidi="ro-RO"/>
          <w14:ligatures w14:val="none"/>
        </w:rPr>
      </w:pPr>
    </w:p>
    <w:p w14:paraId="260654A5" w14:textId="77777777" w:rsidR="000806FE" w:rsidRPr="00C26A9B" w:rsidRDefault="000806FE" w:rsidP="000806FE">
      <w:pPr>
        <w:spacing w:after="0" w:line="240" w:lineRule="auto"/>
        <w:jc w:val="center"/>
        <w:rPr>
          <w:rFonts w:ascii="Times New Roman" w:eastAsia="Times New Roman" w:hAnsi="Times New Roman" w:cs="Times New Roman"/>
          <w:b/>
          <w:kern w:val="0"/>
          <w:sz w:val="24"/>
          <w:szCs w:val="24"/>
          <w:lang w:val="ro-RO" w:eastAsia="ro-MD" w:bidi="ro-RO"/>
          <w14:ligatures w14:val="none"/>
        </w:rPr>
      </w:pPr>
      <w:r w:rsidRPr="00C26A9B">
        <w:rPr>
          <w:rFonts w:ascii="Times New Roman" w:eastAsia="Times New Roman" w:hAnsi="Times New Roman" w:cs="Times New Roman"/>
          <w:b/>
          <w:kern w:val="0"/>
          <w:sz w:val="24"/>
          <w:szCs w:val="24"/>
          <w:lang w:val="ro-RO" w:eastAsia="ro-MD" w:bidi="ro-RO"/>
          <w14:ligatures w14:val="none"/>
        </w:rPr>
        <w:t>HOTĂRÂREA nr.</w:t>
      </w:r>
    </w:p>
    <w:p w14:paraId="5BE9FDEE" w14:textId="77777777" w:rsidR="000806FE" w:rsidRPr="00C26A9B" w:rsidRDefault="000806FE" w:rsidP="000806FE">
      <w:pPr>
        <w:spacing w:after="0" w:line="240" w:lineRule="auto"/>
        <w:jc w:val="center"/>
        <w:rPr>
          <w:rFonts w:ascii="Times New Roman" w:eastAsia="Times New Roman" w:hAnsi="Times New Roman" w:cs="Times New Roman"/>
          <w:b/>
          <w:kern w:val="0"/>
          <w:sz w:val="24"/>
          <w:szCs w:val="24"/>
          <w:lang w:val="ro-RO" w:eastAsia="ro-MD" w:bidi="ro-RO"/>
          <w14:ligatures w14:val="none"/>
        </w:rPr>
      </w:pPr>
      <w:r w:rsidRPr="00C26A9B">
        <w:rPr>
          <w:rFonts w:ascii="Times New Roman" w:eastAsia="Times New Roman" w:hAnsi="Times New Roman" w:cs="Times New Roman"/>
          <w:b/>
          <w:kern w:val="0"/>
          <w:sz w:val="24"/>
          <w:szCs w:val="24"/>
          <w:lang w:val="ro-RO" w:eastAsia="ro-MD" w:bidi="ro-RO"/>
          <w14:ligatures w14:val="none"/>
        </w:rPr>
        <w:t>din ___    ____________  20 __</w:t>
      </w:r>
    </w:p>
    <w:p w14:paraId="3ABF71F2" w14:textId="77777777" w:rsidR="000806FE" w:rsidRPr="00C26A9B" w:rsidRDefault="000806FE" w:rsidP="000806FE">
      <w:pPr>
        <w:spacing w:after="0" w:line="240" w:lineRule="auto"/>
        <w:jc w:val="center"/>
        <w:rPr>
          <w:rFonts w:ascii="Times New Roman" w:eastAsia="Times New Roman" w:hAnsi="Times New Roman" w:cs="Times New Roman"/>
          <w:b/>
          <w:kern w:val="0"/>
          <w:sz w:val="24"/>
          <w:szCs w:val="24"/>
          <w:lang w:val="ro-RO" w:eastAsia="ro-MD" w:bidi="ro-RO"/>
          <w14:ligatures w14:val="none"/>
        </w:rPr>
      </w:pPr>
    </w:p>
    <w:p w14:paraId="24CA03D4" w14:textId="1BDFD146" w:rsidR="00EE5F5C" w:rsidRPr="00EE5F5C" w:rsidRDefault="00EE5F5C" w:rsidP="00555CAD">
      <w:pPr>
        <w:spacing w:after="0" w:line="240" w:lineRule="auto"/>
        <w:jc w:val="center"/>
        <w:rPr>
          <w:rFonts w:ascii="Times New Roman" w:eastAsia="Times New Roman" w:hAnsi="Times New Roman" w:cs="Times New Roman"/>
          <w:b/>
          <w:bCs/>
          <w:kern w:val="0"/>
          <w:sz w:val="24"/>
          <w:szCs w:val="24"/>
          <w:lang w:val="ro-RO" w:eastAsia="ro-MD"/>
          <w14:ligatures w14:val="none"/>
        </w:rPr>
      </w:pPr>
      <w:bookmarkStart w:id="1" w:name="_Hlk176521247"/>
      <w:r w:rsidRPr="00EE5F5C">
        <w:rPr>
          <w:rFonts w:ascii="Times New Roman" w:eastAsia="Times New Roman" w:hAnsi="Times New Roman" w:cs="Times New Roman"/>
          <w:b/>
          <w:bCs/>
          <w:kern w:val="0"/>
          <w:sz w:val="24"/>
          <w:szCs w:val="24"/>
          <w:lang w:val="ro-RO" w:eastAsia="ro-MD"/>
          <w14:ligatures w14:val="none"/>
        </w:rPr>
        <w:t xml:space="preserve">pentru aprobarea Regulamentului privind </w:t>
      </w:r>
      <w:proofErr w:type="spellStart"/>
      <w:r w:rsidRPr="00EE5F5C">
        <w:rPr>
          <w:rFonts w:ascii="Times New Roman" w:eastAsia="Times New Roman" w:hAnsi="Times New Roman" w:cs="Times New Roman"/>
          <w:b/>
          <w:bCs/>
          <w:kern w:val="0"/>
          <w:sz w:val="24"/>
          <w:szCs w:val="24"/>
          <w:lang w:val="ro-RO" w:eastAsia="ro-MD"/>
          <w14:ligatures w14:val="none"/>
        </w:rPr>
        <w:t>cerinţ</w:t>
      </w:r>
      <w:r>
        <w:rPr>
          <w:rFonts w:ascii="Times New Roman" w:eastAsia="Times New Roman" w:hAnsi="Times New Roman" w:cs="Times New Roman"/>
          <w:b/>
          <w:bCs/>
          <w:kern w:val="0"/>
          <w:sz w:val="24"/>
          <w:szCs w:val="24"/>
          <w:lang w:val="ro-RO" w:eastAsia="ro-MD"/>
          <w14:ligatures w14:val="none"/>
        </w:rPr>
        <w:t>ele</w:t>
      </w:r>
      <w:proofErr w:type="spellEnd"/>
      <w:r w:rsidRPr="00EE5F5C">
        <w:rPr>
          <w:rFonts w:ascii="Times New Roman" w:eastAsia="Times New Roman" w:hAnsi="Times New Roman" w:cs="Times New Roman"/>
          <w:b/>
          <w:bCs/>
          <w:kern w:val="0"/>
          <w:sz w:val="24"/>
          <w:szCs w:val="24"/>
          <w:lang w:val="ro-RO" w:eastAsia="ro-MD"/>
          <w14:ligatures w14:val="none"/>
        </w:rPr>
        <w:t xml:space="preserve"> de fonduri</w:t>
      </w:r>
    </w:p>
    <w:p w14:paraId="7501A644" w14:textId="5ED9197F" w:rsidR="00EE5F5C" w:rsidRPr="00EE5F5C" w:rsidRDefault="00EE5F5C" w:rsidP="00555CAD">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EE5F5C">
        <w:rPr>
          <w:rFonts w:ascii="Times New Roman" w:eastAsia="Times New Roman" w:hAnsi="Times New Roman" w:cs="Times New Roman"/>
          <w:b/>
          <w:bCs/>
          <w:kern w:val="0"/>
          <w:sz w:val="24"/>
          <w:szCs w:val="24"/>
          <w:lang w:val="ro-RO" w:eastAsia="ro-MD"/>
          <w14:ligatures w14:val="none"/>
        </w:rPr>
        <w:t xml:space="preserve">proprii pentru riscul </w:t>
      </w:r>
      <w:r>
        <w:rPr>
          <w:rFonts w:ascii="Times New Roman" w:eastAsia="Times New Roman" w:hAnsi="Times New Roman" w:cs="Times New Roman"/>
          <w:b/>
          <w:bCs/>
          <w:kern w:val="0"/>
          <w:sz w:val="24"/>
          <w:szCs w:val="24"/>
          <w:lang w:val="ro-RO" w:eastAsia="ro-MD"/>
          <w14:ligatures w14:val="none"/>
        </w:rPr>
        <w:t>de piață</w:t>
      </w:r>
      <w:r w:rsidRPr="00EE5F5C">
        <w:rPr>
          <w:rFonts w:ascii="Times New Roman" w:eastAsia="Times New Roman" w:hAnsi="Times New Roman" w:cs="Times New Roman"/>
          <w:b/>
          <w:bCs/>
          <w:kern w:val="0"/>
          <w:sz w:val="24"/>
          <w:szCs w:val="24"/>
          <w:lang w:val="ro-RO" w:eastAsia="ro-MD"/>
          <w14:ligatures w14:val="none"/>
        </w:rPr>
        <w:t xml:space="preserve">, modificarea </w:t>
      </w:r>
      <w:proofErr w:type="spellStart"/>
      <w:r w:rsidRPr="00EE5F5C">
        <w:rPr>
          <w:rFonts w:ascii="Times New Roman" w:eastAsia="Times New Roman" w:hAnsi="Times New Roman" w:cs="Times New Roman"/>
          <w:b/>
          <w:bCs/>
          <w:kern w:val="0"/>
          <w:sz w:val="24"/>
          <w:szCs w:val="24"/>
          <w:lang w:val="ro-RO" w:eastAsia="ro-MD"/>
          <w14:ligatures w14:val="none"/>
        </w:rPr>
        <w:t>şi</w:t>
      </w:r>
      <w:proofErr w:type="spellEnd"/>
      <w:r w:rsidRPr="00EE5F5C">
        <w:rPr>
          <w:rFonts w:ascii="Times New Roman" w:eastAsia="Times New Roman" w:hAnsi="Times New Roman" w:cs="Times New Roman"/>
          <w:b/>
          <w:bCs/>
          <w:kern w:val="0"/>
          <w:sz w:val="24"/>
          <w:szCs w:val="24"/>
          <w:lang w:val="ro-RO" w:eastAsia="ro-MD"/>
          <w14:ligatures w14:val="none"/>
        </w:rPr>
        <w:t xml:space="preserve"> abrogarea</w:t>
      </w:r>
    </w:p>
    <w:p w14:paraId="3EAAAE70" w14:textId="0F9A07C1" w:rsidR="000806FE" w:rsidRDefault="00EE5F5C" w:rsidP="00555CAD">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EE5F5C">
        <w:rPr>
          <w:rFonts w:ascii="Times New Roman" w:eastAsia="Times New Roman" w:hAnsi="Times New Roman" w:cs="Times New Roman"/>
          <w:b/>
          <w:bCs/>
          <w:kern w:val="0"/>
          <w:sz w:val="24"/>
          <w:szCs w:val="24"/>
          <w:lang w:val="ro-RO" w:eastAsia="ro-MD"/>
          <w14:ligatures w14:val="none"/>
        </w:rPr>
        <w:t xml:space="preserve">unor acte normative ale Băncii </w:t>
      </w:r>
      <w:proofErr w:type="spellStart"/>
      <w:r w:rsidRPr="00EE5F5C">
        <w:rPr>
          <w:rFonts w:ascii="Times New Roman" w:eastAsia="Times New Roman" w:hAnsi="Times New Roman" w:cs="Times New Roman"/>
          <w:b/>
          <w:bCs/>
          <w:kern w:val="0"/>
          <w:sz w:val="24"/>
          <w:szCs w:val="24"/>
          <w:lang w:val="ro-RO" w:eastAsia="ro-MD"/>
          <w14:ligatures w14:val="none"/>
        </w:rPr>
        <w:t>Naţionale</w:t>
      </w:r>
      <w:proofErr w:type="spellEnd"/>
      <w:r w:rsidRPr="00EE5F5C">
        <w:rPr>
          <w:rFonts w:ascii="Times New Roman" w:eastAsia="Times New Roman" w:hAnsi="Times New Roman" w:cs="Times New Roman"/>
          <w:b/>
          <w:bCs/>
          <w:kern w:val="0"/>
          <w:sz w:val="24"/>
          <w:szCs w:val="24"/>
          <w:lang w:val="ro-RO" w:eastAsia="ro-MD"/>
          <w14:ligatures w14:val="none"/>
        </w:rPr>
        <w:t xml:space="preserve"> a Moldovei</w:t>
      </w:r>
      <w:bookmarkEnd w:id="1"/>
    </w:p>
    <w:p w14:paraId="744D9D16" w14:textId="77777777" w:rsidR="00555CAD" w:rsidRPr="00C26A9B" w:rsidRDefault="00555CAD" w:rsidP="00555CAD">
      <w:pPr>
        <w:spacing w:after="0" w:line="240" w:lineRule="auto"/>
        <w:jc w:val="center"/>
        <w:rPr>
          <w:rFonts w:ascii="Times New Roman" w:eastAsia="Times New Roman" w:hAnsi="Times New Roman" w:cs="Times New Roman"/>
          <w:kern w:val="0"/>
          <w:sz w:val="24"/>
          <w:szCs w:val="24"/>
          <w:lang w:val="ro-RO" w:eastAsia="ro-MD"/>
          <w14:ligatures w14:val="none"/>
        </w:rPr>
      </w:pPr>
    </w:p>
    <w:p w14:paraId="34F2E57D" w14:textId="3DDE1FE9" w:rsidR="000806FE" w:rsidRPr="00101345" w:rsidRDefault="000806FE" w:rsidP="000806FE">
      <w:pPr>
        <w:spacing w:after="0" w:line="240" w:lineRule="auto"/>
        <w:rPr>
          <w:rFonts w:ascii="Times New Roman" w:eastAsia="Times New Roman" w:hAnsi="Times New Roman" w:cs="Times New Roman"/>
          <w:kern w:val="0"/>
          <w:sz w:val="24"/>
          <w:szCs w:val="24"/>
          <w:lang w:val="ro-RO" w:eastAsia="ro-MD"/>
          <w14:ligatures w14:val="none"/>
        </w:rPr>
      </w:pPr>
      <w:r w:rsidRPr="00C26A9B">
        <w:rPr>
          <w:rFonts w:ascii="Times New Roman" w:eastAsia="Times New Roman" w:hAnsi="Times New Roman" w:cs="Times New Roman"/>
          <w:kern w:val="0"/>
          <w:sz w:val="24"/>
          <w:szCs w:val="24"/>
          <w:lang w:val="ro-RO" w:eastAsia="ro-MD"/>
          <w14:ligatures w14:val="none"/>
        </w:rPr>
        <w:t xml:space="preserve">În temeiul art.44 </w:t>
      </w:r>
      <w:proofErr w:type="spellStart"/>
      <w:r w:rsidRPr="00C26A9B">
        <w:rPr>
          <w:rFonts w:ascii="Times New Roman" w:eastAsia="Times New Roman" w:hAnsi="Times New Roman" w:cs="Times New Roman"/>
          <w:kern w:val="0"/>
          <w:sz w:val="24"/>
          <w:szCs w:val="24"/>
          <w:lang w:val="ro-RO" w:eastAsia="ro-MD"/>
          <w14:ligatures w14:val="none"/>
        </w:rPr>
        <w:t>lit.a</w:t>
      </w:r>
      <w:proofErr w:type="spellEnd"/>
      <w:r w:rsidRPr="00C26A9B">
        <w:rPr>
          <w:rFonts w:ascii="Times New Roman" w:eastAsia="Times New Roman" w:hAnsi="Times New Roman" w:cs="Times New Roman"/>
          <w:kern w:val="0"/>
          <w:sz w:val="24"/>
          <w:szCs w:val="24"/>
          <w:lang w:val="ro-RO" w:eastAsia="ro-MD"/>
          <w14:ligatures w14:val="none"/>
        </w:rPr>
        <w:t>) din Legea nr.548/1995 cu privire la Banca Națională a Moldovei (republicată în Monitorul Oficial al Republicii Moldova, 2015, nr.297-300, art.544), cu modificările ulterioare, art.71 din Legea nr.202/2017 privind activitatea băncilor (Monitorul Oficial al Republicii Moldova, 2017, nr.434-439, art.727), cu modificările ulterioare și în scopul transpunerii art. 1, lit. (a); art.4 pct.</w:t>
      </w:r>
      <w:r w:rsidR="000B1DA6">
        <w:rPr>
          <w:rFonts w:ascii="Times New Roman" w:eastAsia="Times New Roman" w:hAnsi="Times New Roman" w:cs="Times New Roman"/>
          <w:kern w:val="0"/>
          <w:sz w:val="24"/>
          <w:szCs w:val="24"/>
          <w:lang w:val="ro-RO" w:eastAsia="ro-MD"/>
          <w14:ligatures w14:val="none"/>
        </w:rPr>
        <w:t>50, 68-70, 72, 82-86, 92, 96, 97, 139,</w:t>
      </w:r>
      <w:r w:rsidRPr="00C26A9B">
        <w:rPr>
          <w:rFonts w:ascii="Times New Roman" w:eastAsia="Times New Roman" w:hAnsi="Times New Roman" w:cs="Times New Roman"/>
          <w:kern w:val="0"/>
          <w:sz w:val="24"/>
          <w:szCs w:val="24"/>
          <w:lang w:val="ro-RO" w:eastAsia="ro-MD"/>
          <w14:ligatures w14:val="none"/>
        </w:rPr>
        <w:t xml:space="preserve">141, 142, 143, 144,  </w:t>
      </w:r>
      <w:r w:rsidRPr="00CC1E9B">
        <w:rPr>
          <w:rFonts w:ascii="Times New Roman" w:eastAsia="Times New Roman" w:hAnsi="Times New Roman" w:cs="Times New Roman"/>
          <w:kern w:val="0"/>
          <w:sz w:val="24"/>
          <w:szCs w:val="24"/>
          <w:lang w:val="ro-RO" w:eastAsia="ro-MD"/>
          <w14:ligatures w14:val="none"/>
        </w:rPr>
        <w:t>art.102-106</w:t>
      </w:r>
      <w:r w:rsidRPr="00C26A9B">
        <w:rPr>
          <w:rFonts w:ascii="Times New Roman" w:eastAsia="Times New Roman" w:hAnsi="Times New Roman" w:cs="Times New Roman"/>
          <w:kern w:val="0"/>
          <w:sz w:val="24"/>
          <w:szCs w:val="24"/>
          <w:lang w:val="ro-RO" w:eastAsia="ro-MD"/>
          <w14:ligatures w14:val="none"/>
        </w:rPr>
        <w:t xml:space="preserve">, art.325-325bp, 326-361 și anexei II din </w:t>
      </w:r>
      <w:bookmarkStart w:id="2" w:name="_Hlk176791529"/>
      <w:r w:rsidRPr="00101345">
        <w:rPr>
          <w:rFonts w:ascii="Times New Roman" w:eastAsia="Times New Roman" w:hAnsi="Times New Roman" w:cs="Times New Roman"/>
          <w:kern w:val="0"/>
          <w:sz w:val="24"/>
          <w:szCs w:val="24"/>
          <w:lang w:val="ro-RO" w:eastAsia="ro-MD"/>
          <w14:ligatures w14:val="none"/>
        </w:rPr>
        <w:t>Regulamentul nr. 575/2013 al Parlamentului European și al Consiliului din 26 iunie 2013 privind cerințele prudențiale pentru instituțiile de credit și firmele de investiții și de modificare a Regulamentului (UE) nr. 648/2012, publicat în Jurnalul Oficial al Uniunii Europene L 176 din 27 iunie 2013, CELEX: 32013R0575</w:t>
      </w:r>
      <w:bookmarkEnd w:id="2"/>
      <w:r w:rsidRPr="00101345">
        <w:rPr>
          <w:rFonts w:ascii="Times New Roman" w:eastAsia="Times New Roman" w:hAnsi="Times New Roman" w:cs="Times New Roman"/>
          <w:kern w:val="0"/>
          <w:sz w:val="24"/>
          <w:szCs w:val="24"/>
          <w:lang w:val="ro-RO" w:eastAsia="ro-MD"/>
          <w14:ligatures w14:val="none"/>
        </w:rPr>
        <w:t xml:space="preserve">, </w:t>
      </w:r>
      <w:bookmarkStart w:id="3" w:name="_Hlk176791566"/>
      <w:r w:rsidRPr="00101345">
        <w:rPr>
          <w:rFonts w:ascii="Times New Roman" w:eastAsia="Times New Roman" w:hAnsi="Times New Roman" w:cs="Times New Roman"/>
          <w:kern w:val="0"/>
          <w:sz w:val="24"/>
          <w:szCs w:val="24"/>
          <w:lang w:val="ro-RO" w:eastAsia="ro-MD"/>
          <w14:ligatures w14:val="none"/>
        </w:rPr>
        <w:t xml:space="preserve">așa cum a fost modificat ultima dată prin Regulamentul (UE) </w:t>
      </w:r>
      <w:bookmarkEnd w:id="3"/>
      <w:r w:rsidRPr="00101345">
        <w:rPr>
          <w:rFonts w:ascii="Times New Roman" w:eastAsia="Times New Roman" w:hAnsi="Times New Roman" w:cs="Times New Roman"/>
          <w:kern w:val="0"/>
          <w:sz w:val="24"/>
          <w:szCs w:val="24"/>
          <w:lang w:val="ro-RO" w:eastAsia="ro-MD"/>
          <w14:ligatures w14:val="none"/>
        </w:rPr>
        <w:t xml:space="preserve">2024/1623 al Parlamentului European și al Consiliului din 31 mai 2024; </w:t>
      </w:r>
    </w:p>
    <w:p w14:paraId="2F1BA3E1" w14:textId="0D5B021B" w:rsidR="005F080C" w:rsidRPr="007B6D2D" w:rsidRDefault="005F080C" w:rsidP="000806FE">
      <w:pPr>
        <w:spacing w:after="0" w:line="240" w:lineRule="auto"/>
        <w:rPr>
          <w:rFonts w:ascii="Times New Roman" w:eastAsia="Times New Roman" w:hAnsi="Times New Roman" w:cs="Times New Roman"/>
          <w:kern w:val="0"/>
          <w:sz w:val="24"/>
          <w:szCs w:val="24"/>
          <w:lang w:eastAsia="ro-MD"/>
          <w14:ligatures w14:val="none"/>
        </w:rPr>
      </w:pPr>
      <w:r w:rsidRPr="007B6D2D">
        <w:rPr>
          <w:rFonts w:ascii="Times New Roman" w:eastAsia="Times New Roman" w:hAnsi="Times New Roman" w:cs="Times New Roman"/>
          <w:kern w:val="0"/>
          <w:sz w:val="24"/>
          <w:szCs w:val="24"/>
          <w:lang w:eastAsia="ro-MD"/>
          <w14:ligatures w14:val="none"/>
        </w:rPr>
        <w:t xml:space="preserve">Regulamentul Delegat (UE) 2022/2328 </w:t>
      </w:r>
      <w:r w:rsidR="00F972FB" w:rsidRPr="007B6D2D">
        <w:rPr>
          <w:rFonts w:ascii="Times New Roman" w:eastAsia="Times New Roman" w:hAnsi="Times New Roman" w:cs="Times New Roman"/>
          <w:kern w:val="0"/>
          <w:sz w:val="24"/>
          <w:szCs w:val="24"/>
          <w:lang w:eastAsia="ro-MD"/>
          <w14:ligatures w14:val="none"/>
        </w:rPr>
        <w:t xml:space="preserve">al Comisiei </w:t>
      </w:r>
      <w:r w:rsidRPr="007B6D2D">
        <w:rPr>
          <w:rFonts w:ascii="Times New Roman" w:eastAsia="Times New Roman" w:hAnsi="Times New Roman" w:cs="Times New Roman"/>
          <w:kern w:val="0"/>
          <w:sz w:val="24"/>
          <w:szCs w:val="24"/>
          <w:lang w:eastAsia="ro-MD"/>
          <w14:ligatures w14:val="none"/>
        </w:rPr>
        <w:t>din 16 august 2022 de completare a Regulamentului (UE) nr. 575/2013 al Parlamentului European și al Consiliului în ceea ce privește standardele tehnice de reglementare care furnizează precizări cu privire la instrumentele-suport exotice și instrumentele care prezintă riscuri reziduale în scopul calculării cerințelor de fonduri proprii pentru riscurile reziduale;</w:t>
      </w:r>
    </w:p>
    <w:p w14:paraId="6850F0E7" w14:textId="60E87015" w:rsidR="005F080C" w:rsidRPr="007B6D2D" w:rsidRDefault="005F080C" w:rsidP="000806FE">
      <w:pPr>
        <w:spacing w:after="0" w:line="240" w:lineRule="auto"/>
        <w:rPr>
          <w:rFonts w:ascii="Times New Roman" w:eastAsia="Times New Roman" w:hAnsi="Times New Roman" w:cs="Times New Roman"/>
          <w:kern w:val="0"/>
          <w:sz w:val="24"/>
          <w:szCs w:val="24"/>
          <w:lang w:eastAsia="ro-MD"/>
          <w14:ligatures w14:val="none"/>
        </w:rPr>
      </w:pPr>
      <w:r w:rsidRPr="007B6D2D">
        <w:rPr>
          <w:rFonts w:ascii="Times New Roman" w:eastAsia="Times New Roman" w:hAnsi="Times New Roman" w:cs="Times New Roman"/>
          <w:kern w:val="0"/>
          <w:sz w:val="24"/>
          <w:szCs w:val="24"/>
          <w:lang w:eastAsia="ro-MD"/>
          <w14:ligatures w14:val="none"/>
        </w:rPr>
        <w:t xml:space="preserve">Regulamentul Delegat (UE) 2022/1622 </w:t>
      </w:r>
      <w:r w:rsidR="00F972FB" w:rsidRPr="007B6D2D">
        <w:rPr>
          <w:rFonts w:ascii="Times New Roman" w:eastAsia="Times New Roman" w:hAnsi="Times New Roman" w:cs="Times New Roman"/>
          <w:kern w:val="0"/>
          <w:sz w:val="24"/>
          <w:szCs w:val="24"/>
          <w:lang w:eastAsia="ro-MD"/>
          <w14:ligatures w14:val="none"/>
        </w:rPr>
        <w:t xml:space="preserve">al Comisiei </w:t>
      </w:r>
      <w:r w:rsidRPr="007B6D2D">
        <w:rPr>
          <w:rFonts w:ascii="Times New Roman" w:eastAsia="Times New Roman" w:hAnsi="Times New Roman" w:cs="Times New Roman"/>
          <w:kern w:val="0"/>
          <w:sz w:val="24"/>
          <w:szCs w:val="24"/>
          <w:lang w:eastAsia="ro-MD"/>
          <w14:ligatures w14:val="none"/>
        </w:rPr>
        <w:t xml:space="preserve">din 17 mai 2022 de completare a Regulamentului (UE) nr. 575/2013 al Parlamentului European și al Consiliului în ceea ce privește standardele tehnice de reglementare pe </w:t>
      </w:r>
      <w:proofErr w:type="spellStart"/>
      <w:r w:rsidRPr="007B6D2D">
        <w:rPr>
          <w:rFonts w:ascii="Times New Roman" w:eastAsia="Times New Roman" w:hAnsi="Times New Roman" w:cs="Times New Roman"/>
          <w:kern w:val="0"/>
          <w:sz w:val="24"/>
          <w:szCs w:val="24"/>
          <w:lang w:eastAsia="ro-MD"/>
          <w14:ligatures w14:val="none"/>
        </w:rPr>
        <w:t>pieţele</w:t>
      </w:r>
      <w:proofErr w:type="spellEnd"/>
      <w:r w:rsidRPr="007B6D2D">
        <w:rPr>
          <w:rFonts w:ascii="Times New Roman" w:eastAsia="Times New Roman" w:hAnsi="Times New Roman" w:cs="Times New Roman"/>
          <w:kern w:val="0"/>
          <w:sz w:val="24"/>
          <w:szCs w:val="24"/>
          <w:lang w:eastAsia="ro-MD"/>
          <w14:ligatures w14:val="none"/>
        </w:rPr>
        <w:t xml:space="preserve"> emergente și în economiile avansate</w:t>
      </w:r>
    </w:p>
    <w:p w14:paraId="6B20361A" w14:textId="392ED553" w:rsidR="00DF61F3" w:rsidRPr="007B6D2D" w:rsidRDefault="00DF61F3" w:rsidP="000806FE">
      <w:pPr>
        <w:spacing w:after="0" w:line="240" w:lineRule="auto"/>
        <w:rPr>
          <w:rFonts w:ascii="Times New Roman" w:eastAsia="Times New Roman" w:hAnsi="Times New Roman" w:cs="Times New Roman"/>
          <w:kern w:val="0"/>
          <w:sz w:val="24"/>
          <w:szCs w:val="24"/>
          <w:lang w:eastAsia="ro-MD"/>
          <w14:ligatures w14:val="none"/>
        </w:rPr>
      </w:pPr>
      <w:r w:rsidRPr="007B6D2D">
        <w:rPr>
          <w:rFonts w:ascii="Times New Roman" w:eastAsia="Times New Roman" w:hAnsi="Times New Roman" w:cs="Times New Roman"/>
          <w:kern w:val="0"/>
          <w:sz w:val="24"/>
          <w:szCs w:val="24"/>
          <w:lang w:eastAsia="ro-MD"/>
          <w14:ligatures w14:val="none"/>
        </w:rPr>
        <w:t xml:space="preserve">Regulamentul Delegat (UE) </w:t>
      </w:r>
      <w:bookmarkStart w:id="4" w:name="_Hlk223504897"/>
      <w:r w:rsidRPr="007B6D2D">
        <w:rPr>
          <w:rFonts w:ascii="Times New Roman" w:eastAsia="Times New Roman" w:hAnsi="Times New Roman" w:cs="Times New Roman"/>
          <w:kern w:val="0"/>
          <w:sz w:val="24"/>
          <w:szCs w:val="24"/>
          <w:lang w:eastAsia="ro-MD"/>
          <w14:ligatures w14:val="none"/>
        </w:rPr>
        <w:t xml:space="preserve">2022/2058 </w:t>
      </w:r>
      <w:bookmarkEnd w:id="4"/>
      <w:r w:rsidR="00F972FB" w:rsidRPr="007B6D2D">
        <w:rPr>
          <w:rFonts w:ascii="Times New Roman" w:eastAsia="Times New Roman" w:hAnsi="Times New Roman" w:cs="Times New Roman"/>
          <w:kern w:val="0"/>
          <w:sz w:val="24"/>
          <w:szCs w:val="24"/>
          <w:lang w:eastAsia="ro-MD"/>
          <w14:ligatures w14:val="none"/>
        </w:rPr>
        <w:t xml:space="preserve">al Comisiei </w:t>
      </w:r>
      <w:r w:rsidRPr="007B6D2D">
        <w:rPr>
          <w:rFonts w:ascii="Times New Roman" w:eastAsia="Times New Roman" w:hAnsi="Times New Roman" w:cs="Times New Roman"/>
          <w:kern w:val="0"/>
          <w:sz w:val="24"/>
          <w:szCs w:val="24"/>
          <w:lang w:eastAsia="ro-MD"/>
          <w14:ligatures w14:val="none"/>
        </w:rPr>
        <w:t>din 28 februarie 2022 de completare a Regulamentului (UE) nr. 575/2013 al Parlamentului European și al Consiliului în ceea ce privește standardele tehnice de reglementare referitoare la orizonturile de lichiditate pentru abordarea bazată pe modele interne alternativă, menționate la articolul 325bd alineatul (7)</w:t>
      </w:r>
    </w:p>
    <w:p w14:paraId="50A5BA92" w14:textId="09F37BDB" w:rsidR="00DF61F3" w:rsidRPr="007B6D2D" w:rsidRDefault="00DF61F3" w:rsidP="000806FE">
      <w:pPr>
        <w:spacing w:after="0" w:line="240" w:lineRule="auto"/>
        <w:rPr>
          <w:rFonts w:ascii="Times New Roman" w:eastAsia="Times New Roman" w:hAnsi="Times New Roman" w:cs="Times New Roman"/>
          <w:kern w:val="0"/>
          <w:sz w:val="24"/>
          <w:szCs w:val="24"/>
          <w:lang w:eastAsia="ro-MD"/>
          <w14:ligatures w14:val="none"/>
        </w:rPr>
      </w:pPr>
      <w:r w:rsidRPr="007B6D2D">
        <w:rPr>
          <w:rFonts w:ascii="Times New Roman" w:eastAsia="Times New Roman" w:hAnsi="Times New Roman" w:cs="Times New Roman"/>
          <w:kern w:val="0"/>
          <w:sz w:val="24"/>
          <w:szCs w:val="24"/>
          <w:lang w:eastAsia="ro-MD"/>
          <w14:ligatures w14:val="none"/>
        </w:rPr>
        <w:t xml:space="preserve">Regulamentul Delegat (UE) NR. 528/2014 </w:t>
      </w:r>
      <w:r w:rsidR="00F972FB" w:rsidRPr="007B6D2D">
        <w:rPr>
          <w:rFonts w:ascii="Times New Roman" w:eastAsia="Times New Roman" w:hAnsi="Times New Roman" w:cs="Times New Roman"/>
          <w:kern w:val="0"/>
          <w:sz w:val="24"/>
          <w:szCs w:val="24"/>
          <w:lang w:eastAsia="ro-MD"/>
          <w14:ligatures w14:val="none"/>
        </w:rPr>
        <w:t xml:space="preserve">al Comisiei </w:t>
      </w:r>
      <w:r w:rsidRPr="007B6D2D">
        <w:rPr>
          <w:rFonts w:ascii="Times New Roman" w:eastAsia="Times New Roman" w:hAnsi="Times New Roman" w:cs="Times New Roman"/>
          <w:kern w:val="0"/>
          <w:sz w:val="24"/>
          <w:szCs w:val="24"/>
          <w:lang w:eastAsia="ro-MD"/>
          <w14:ligatures w14:val="none"/>
        </w:rPr>
        <w:t>din 12 martie 2014 de completare a Regulamentului (UE) nr. 575/2013 al Parlamentului European și al Consiliului în ceea ce privește standardele tehnice de reglementare pentru alte riscuri decât riscul delta ale opțiunilor în cadrul abordării standardizate a riscului de piață, modificat prin Regulamentul delegat (UE) 2016/861 al Comisiei din 18 februarie 2016</w:t>
      </w:r>
    </w:p>
    <w:p w14:paraId="19D31660" w14:textId="1FDD8B26" w:rsidR="00DF61F3" w:rsidRPr="007B6D2D" w:rsidRDefault="00DF61F3" w:rsidP="000806FE">
      <w:pPr>
        <w:spacing w:after="0" w:line="240" w:lineRule="auto"/>
        <w:rPr>
          <w:rFonts w:ascii="Times New Roman" w:eastAsia="Times New Roman" w:hAnsi="Times New Roman" w:cs="Times New Roman"/>
          <w:kern w:val="0"/>
          <w:sz w:val="24"/>
          <w:szCs w:val="24"/>
          <w:lang w:eastAsia="ro-MD"/>
          <w14:ligatures w14:val="none"/>
        </w:rPr>
      </w:pPr>
      <w:r w:rsidRPr="007B6D2D">
        <w:rPr>
          <w:rFonts w:ascii="Times New Roman" w:eastAsia="Times New Roman" w:hAnsi="Times New Roman" w:cs="Times New Roman"/>
          <w:kern w:val="0"/>
          <w:sz w:val="24"/>
          <w:szCs w:val="24"/>
          <w:lang w:eastAsia="ro-MD"/>
          <w14:ligatures w14:val="none"/>
        </w:rPr>
        <w:t xml:space="preserve">Regulamentul Delegat (UE) nr. 525/2014 </w:t>
      </w:r>
      <w:r w:rsidR="00F972FB" w:rsidRPr="007B6D2D">
        <w:rPr>
          <w:rFonts w:ascii="Times New Roman" w:eastAsia="Times New Roman" w:hAnsi="Times New Roman" w:cs="Times New Roman"/>
          <w:kern w:val="0"/>
          <w:sz w:val="24"/>
          <w:szCs w:val="24"/>
          <w:lang w:eastAsia="ro-MD"/>
          <w14:ligatures w14:val="none"/>
        </w:rPr>
        <w:t xml:space="preserve">al Comisiei </w:t>
      </w:r>
      <w:r w:rsidRPr="007B6D2D">
        <w:rPr>
          <w:rFonts w:ascii="Times New Roman" w:eastAsia="Times New Roman" w:hAnsi="Times New Roman" w:cs="Times New Roman"/>
          <w:kern w:val="0"/>
          <w:sz w:val="24"/>
          <w:szCs w:val="24"/>
          <w:lang w:eastAsia="ro-MD"/>
          <w14:ligatures w14:val="none"/>
        </w:rPr>
        <w:t>din 12 martie 2014 de completare a Regulamentului (UE) nr. 575/2013 al Parlamentului European și al Consiliului cu privire la standardele tehnice de reglementare pentru definirea pieței</w:t>
      </w:r>
    </w:p>
    <w:p w14:paraId="16868ADB" w14:textId="217800F2" w:rsidR="00DF61F3" w:rsidRPr="007B6D2D" w:rsidRDefault="00F972FB" w:rsidP="000806FE">
      <w:pPr>
        <w:spacing w:after="0" w:line="240" w:lineRule="auto"/>
        <w:rPr>
          <w:rFonts w:ascii="Times New Roman" w:eastAsia="Times New Roman" w:hAnsi="Times New Roman" w:cs="Times New Roman"/>
          <w:kern w:val="0"/>
          <w:sz w:val="24"/>
          <w:szCs w:val="24"/>
          <w:lang w:eastAsia="ro-MD"/>
          <w14:ligatures w14:val="none"/>
        </w:rPr>
      </w:pPr>
      <w:r w:rsidRPr="007B6D2D">
        <w:rPr>
          <w:rFonts w:ascii="Times New Roman" w:eastAsia="Times New Roman" w:hAnsi="Times New Roman" w:cs="Times New Roman"/>
          <w:kern w:val="0"/>
          <w:sz w:val="24"/>
          <w:szCs w:val="24"/>
          <w:lang w:eastAsia="ro-MD"/>
          <w14:ligatures w14:val="none"/>
        </w:rPr>
        <w:t xml:space="preserve">Regulamentul de punere în aplicare </w:t>
      </w:r>
      <w:r w:rsidR="00DF61F3" w:rsidRPr="007B6D2D">
        <w:rPr>
          <w:rFonts w:ascii="Times New Roman" w:eastAsia="Times New Roman" w:hAnsi="Times New Roman" w:cs="Times New Roman"/>
          <w:kern w:val="0"/>
          <w:sz w:val="24"/>
          <w:szCs w:val="24"/>
          <w:lang w:eastAsia="ro-MD"/>
          <w14:ligatures w14:val="none"/>
        </w:rPr>
        <w:t xml:space="preserve">(UE) </w:t>
      </w:r>
      <w:r w:rsidRPr="007B6D2D">
        <w:rPr>
          <w:rFonts w:ascii="Times New Roman" w:eastAsia="Times New Roman" w:hAnsi="Times New Roman" w:cs="Times New Roman"/>
          <w:kern w:val="0"/>
          <w:sz w:val="24"/>
          <w:szCs w:val="24"/>
          <w:lang w:eastAsia="ro-MD"/>
          <w14:ligatures w14:val="none"/>
        </w:rPr>
        <w:t>nr.</w:t>
      </w:r>
      <w:r w:rsidR="00DF61F3" w:rsidRPr="007B6D2D">
        <w:rPr>
          <w:rFonts w:ascii="Times New Roman" w:eastAsia="Times New Roman" w:hAnsi="Times New Roman" w:cs="Times New Roman"/>
          <w:kern w:val="0"/>
          <w:sz w:val="24"/>
          <w:szCs w:val="24"/>
          <w:lang w:eastAsia="ro-MD"/>
          <w14:ligatures w14:val="none"/>
        </w:rPr>
        <w:t xml:space="preserve"> 945/2014 </w:t>
      </w:r>
      <w:r w:rsidRPr="007B6D2D">
        <w:rPr>
          <w:rFonts w:ascii="Times New Roman" w:eastAsia="Times New Roman" w:hAnsi="Times New Roman" w:cs="Times New Roman"/>
          <w:kern w:val="0"/>
          <w:sz w:val="24"/>
          <w:szCs w:val="24"/>
          <w:lang w:eastAsia="ro-MD"/>
          <w14:ligatures w14:val="none"/>
        </w:rPr>
        <w:t xml:space="preserve">al Comisiei </w:t>
      </w:r>
      <w:r w:rsidR="00DF61F3" w:rsidRPr="007B6D2D">
        <w:rPr>
          <w:rFonts w:ascii="Times New Roman" w:eastAsia="Times New Roman" w:hAnsi="Times New Roman" w:cs="Times New Roman"/>
          <w:kern w:val="0"/>
          <w:sz w:val="24"/>
          <w:szCs w:val="24"/>
          <w:lang w:eastAsia="ro-MD"/>
          <w14:ligatures w14:val="none"/>
        </w:rPr>
        <w:t xml:space="preserve">din 4 septembrie 2014 de stabilire a unor standarde tehnice de punere în aplicare cu privire la indicii </w:t>
      </w:r>
      <w:proofErr w:type="spellStart"/>
      <w:r w:rsidR="00DF61F3" w:rsidRPr="007B6D2D">
        <w:rPr>
          <w:rFonts w:ascii="Times New Roman" w:eastAsia="Times New Roman" w:hAnsi="Times New Roman" w:cs="Times New Roman"/>
          <w:kern w:val="0"/>
          <w:sz w:val="24"/>
          <w:szCs w:val="24"/>
          <w:lang w:eastAsia="ro-MD"/>
          <w14:ligatures w14:val="none"/>
        </w:rPr>
        <w:t>relevanţi</w:t>
      </w:r>
      <w:proofErr w:type="spellEnd"/>
      <w:r w:rsidR="00DF61F3" w:rsidRPr="007B6D2D">
        <w:rPr>
          <w:rFonts w:ascii="Times New Roman" w:eastAsia="Times New Roman" w:hAnsi="Times New Roman" w:cs="Times New Roman"/>
          <w:kern w:val="0"/>
          <w:sz w:val="24"/>
          <w:szCs w:val="24"/>
          <w:lang w:eastAsia="ro-MD"/>
          <w14:ligatures w14:val="none"/>
        </w:rPr>
        <w:t xml:space="preserve"> cu o diversificare corespunzătoare în conformitate cu Regulamentul (UE) nr. 575/2013 al Parlamentului European și al Consiliului, modificat prin Regulamentul de punere în aplicare (UE) 2023/2056 al Comisiei din 26 septembrie 2023</w:t>
      </w:r>
    </w:p>
    <w:p w14:paraId="655ACE57" w14:textId="3087A6D2" w:rsidR="000806FE" w:rsidRPr="007B6D2D" w:rsidRDefault="00F972FB" w:rsidP="000806FE">
      <w:pPr>
        <w:spacing w:after="0" w:line="240" w:lineRule="auto"/>
        <w:rPr>
          <w:rFonts w:ascii="Times New Roman" w:eastAsia="Times New Roman" w:hAnsi="Times New Roman" w:cs="Times New Roman"/>
          <w:kern w:val="0"/>
          <w:sz w:val="24"/>
          <w:szCs w:val="24"/>
          <w:lang w:val="ro-RO" w:eastAsia="ro-MD"/>
          <w14:ligatures w14:val="none"/>
        </w:rPr>
      </w:pPr>
      <w:r w:rsidRPr="007B6D2D">
        <w:rPr>
          <w:rFonts w:ascii="Times New Roman" w:eastAsia="Times New Roman" w:hAnsi="Times New Roman" w:cs="Times New Roman"/>
          <w:kern w:val="0"/>
          <w:sz w:val="24"/>
          <w:szCs w:val="24"/>
          <w:lang w:eastAsia="ro-MD"/>
          <w14:ligatures w14:val="none"/>
        </w:rPr>
        <w:t>Regulamentul de punere în aplicare (UE) 2023/1718 al Comisiei din 8 septembrie 2023 de modificare a standardelor tehnice de punere în aplicare prevăzute în Regulamentul de punere în aplicare (UE) 2015/2197 în ceea ce privește valutele strâns corelate în conformitate cu Regulamentul (UE) nr. 575/2013 al Parlamentului European și al Consiliului</w:t>
      </w:r>
      <w:r w:rsidR="00101345" w:rsidRPr="007B6D2D">
        <w:rPr>
          <w:rFonts w:ascii="Times New Roman" w:eastAsia="Times New Roman" w:hAnsi="Times New Roman" w:cs="Times New Roman"/>
          <w:kern w:val="0"/>
          <w:sz w:val="24"/>
          <w:szCs w:val="24"/>
          <w:lang w:eastAsia="ro-MD"/>
          <w14:ligatures w14:val="none"/>
        </w:rPr>
        <w:t xml:space="preserve"> </w:t>
      </w:r>
      <w:r w:rsidR="000806FE" w:rsidRPr="007B6D2D">
        <w:rPr>
          <w:rFonts w:ascii="Times New Roman" w:eastAsia="Times New Roman" w:hAnsi="Times New Roman" w:cs="Times New Roman"/>
          <w:kern w:val="0"/>
          <w:sz w:val="24"/>
          <w:szCs w:val="24"/>
          <w:lang w:val="ro-RO" w:eastAsia="ro-MD"/>
          <w14:ligatures w14:val="none"/>
        </w:rPr>
        <w:t xml:space="preserve">Comitetul executiv al Băncii </w:t>
      </w:r>
      <w:proofErr w:type="spellStart"/>
      <w:r w:rsidR="000806FE" w:rsidRPr="007B6D2D">
        <w:rPr>
          <w:rFonts w:ascii="Times New Roman" w:eastAsia="Times New Roman" w:hAnsi="Times New Roman" w:cs="Times New Roman"/>
          <w:kern w:val="0"/>
          <w:sz w:val="24"/>
          <w:szCs w:val="24"/>
          <w:lang w:val="ro-RO" w:eastAsia="ro-MD"/>
          <w14:ligatures w14:val="none"/>
        </w:rPr>
        <w:t>Naţionale</w:t>
      </w:r>
      <w:proofErr w:type="spellEnd"/>
      <w:r w:rsidR="000806FE" w:rsidRPr="007B6D2D">
        <w:rPr>
          <w:rFonts w:ascii="Times New Roman" w:eastAsia="Times New Roman" w:hAnsi="Times New Roman" w:cs="Times New Roman"/>
          <w:kern w:val="0"/>
          <w:sz w:val="24"/>
          <w:szCs w:val="24"/>
          <w:lang w:val="ro-RO" w:eastAsia="ro-MD"/>
          <w14:ligatures w14:val="none"/>
        </w:rPr>
        <w:t xml:space="preserve"> a Moldovei</w:t>
      </w:r>
    </w:p>
    <w:p w14:paraId="67AAC8F4" w14:textId="77777777" w:rsidR="000806FE" w:rsidRPr="007B6D2D" w:rsidRDefault="000806FE" w:rsidP="000806FE">
      <w:pPr>
        <w:spacing w:after="0" w:line="240" w:lineRule="auto"/>
        <w:jc w:val="right"/>
        <w:rPr>
          <w:rFonts w:ascii="Times New Roman" w:eastAsia="Times New Roman" w:hAnsi="Times New Roman" w:cs="Times New Roman"/>
          <w:b/>
          <w:bCs/>
          <w:kern w:val="0"/>
          <w:sz w:val="24"/>
          <w:szCs w:val="24"/>
          <w:lang w:val="ro-RO" w:eastAsia="ro-MD"/>
          <w14:ligatures w14:val="none"/>
        </w:rPr>
      </w:pPr>
    </w:p>
    <w:p w14:paraId="1DEC2151" w14:textId="77777777" w:rsidR="000806FE" w:rsidRPr="00C26A9B" w:rsidRDefault="000806FE" w:rsidP="000806FE">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7B6D2D">
        <w:rPr>
          <w:rFonts w:ascii="Times New Roman" w:eastAsia="Times New Roman" w:hAnsi="Times New Roman" w:cs="Times New Roman"/>
          <w:b/>
          <w:bCs/>
          <w:kern w:val="0"/>
          <w:sz w:val="24"/>
          <w:szCs w:val="24"/>
          <w:lang w:val="ro-RO" w:eastAsia="ro-MD"/>
          <w14:ligatures w14:val="none"/>
        </w:rPr>
        <w:t>HOTĂ</w:t>
      </w:r>
      <w:r w:rsidRPr="00C26A9B">
        <w:rPr>
          <w:rFonts w:ascii="Times New Roman" w:eastAsia="Times New Roman" w:hAnsi="Times New Roman" w:cs="Times New Roman"/>
          <w:b/>
          <w:bCs/>
          <w:kern w:val="0"/>
          <w:sz w:val="24"/>
          <w:szCs w:val="24"/>
          <w:lang w:val="ro-RO" w:eastAsia="ro-MD"/>
          <w14:ligatures w14:val="none"/>
        </w:rPr>
        <w:t>RĂŞTE:</w:t>
      </w:r>
    </w:p>
    <w:p w14:paraId="06C6F0C1" w14:textId="77777777" w:rsidR="000806FE" w:rsidRPr="00C26A9B" w:rsidRDefault="000806FE" w:rsidP="000806FE">
      <w:pPr>
        <w:spacing w:after="0" w:line="240" w:lineRule="auto"/>
        <w:rPr>
          <w:rFonts w:ascii="Times New Roman" w:eastAsia="Times New Roman" w:hAnsi="Times New Roman" w:cs="Times New Roman"/>
          <w:b/>
          <w:bCs/>
          <w:kern w:val="0"/>
          <w:sz w:val="24"/>
          <w:szCs w:val="24"/>
          <w:lang w:val="ro-RO" w:eastAsia="ro-MD"/>
          <w14:ligatures w14:val="none"/>
        </w:rPr>
      </w:pPr>
    </w:p>
    <w:bookmarkEnd w:id="0"/>
    <w:p w14:paraId="190EC4CD" w14:textId="44C8D3A2" w:rsidR="000806FE" w:rsidRPr="00C26A9B" w:rsidRDefault="000806FE" w:rsidP="000806FE">
      <w:pPr>
        <w:pStyle w:val="ListParagraph"/>
        <w:numPr>
          <w:ilvl w:val="0"/>
          <w:numId w:val="1"/>
        </w:numPr>
        <w:spacing w:after="0" w:line="240" w:lineRule="auto"/>
        <w:ind w:left="0" w:firstLine="567"/>
        <w:rPr>
          <w:rFonts w:ascii="Times New Roman" w:eastAsia="Times New Roman" w:hAnsi="Times New Roman" w:cs="Times New Roman"/>
          <w:kern w:val="0"/>
          <w:sz w:val="24"/>
          <w:szCs w:val="24"/>
          <w:lang w:val="ro-RO" w:eastAsia="ro-MD"/>
          <w14:ligatures w14:val="none"/>
        </w:rPr>
      </w:pPr>
      <w:r w:rsidRPr="00C26A9B">
        <w:rPr>
          <w:rFonts w:ascii="Times New Roman" w:eastAsia="Times New Roman" w:hAnsi="Times New Roman" w:cs="Times New Roman"/>
          <w:kern w:val="0"/>
          <w:sz w:val="24"/>
          <w:szCs w:val="24"/>
          <w:lang w:val="ro-RO" w:eastAsia="ro-MD"/>
          <w14:ligatures w14:val="none"/>
        </w:rPr>
        <w:lastRenderedPageBreak/>
        <w:t>Se aprobă Regulamentul privind cerinț</w:t>
      </w:r>
      <w:r w:rsidR="00B34095" w:rsidRPr="00C26A9B">
        <w:rPr>
          <w:rFonts w:ascii="Times New Roman" w:eastAsia="Times New Roman" w:hAnsi="Times New Roman" w:cs="Times New Roman"/>
          <w:kern w:val="0"/>
          <w:sz w:val="24"/>
          <w:szCs w:val="24"/>
          <w:lang w:val="ro-RO" w:eastAsia="ro-MD"/>
          <w14:ligatures w14:val="none"/>
        </w:rPr>
        <w:t>e</w:t>
      </w:r>
      <w:r w:rsidR="00EE5F5C">
        <w:rPr>
          <w:rFonts w:ascii="Times New Roman" w:eastAsia="Times New Roman" w:hAnsi="Times New Roman" w:cs="Times New Roman"/>
          <w:kern w:val="0"/>
          <w:sz w:val="24"/>
          <w:szCs w:val="24"/>
          <w:lang w:val="ro-RO" w:eastAsia="ro-MD"/>
          <w14:ligatures w14:val="none"/>
        </w:rPr>
        <w:t>le</w:t>
      </w:r>
      <w:r w:rsidRPr="00C26A9B">
        <w:rPr>
          <w:rFonts w:ascii="Times New Roman" w:eastAsia="Times New Roman" w:hAnsi="Times New Roman" w:cs="Times New Roman"/>
          <w:kern w:val="0"/>
          <w:sz w:val="24"/>
          <w:szCs w:val="24"/>
          <w:lang w:val="ro-RO" w:eastAsia="ro-MD"/>
          <w14:ligatures w14:val="none"/>
        </w:rPr>
        <w:t xml:space="preserve"> de fonduri proprii pentru riscul de piață conform anexei.</w:t>
      </w:r>
    </w:p>
    <w:p w14:paraId="66A0B826" w14:textId="3A5F8DE7" w:rsidR="000806FE" w:rsidRPr="00C26A9B" w:rsidRDefault="000806FE" w:rsidP="000806FE">
      <w:pPr>
        <w:numPr>
          <w:ilvl w:val="0"/>
          <w:numId w:val="1"/>
        </w:numPr>
        <w:spacing w:after="0" w:line="240" w:lineRule="auto"/>
        <w:ind w:left="0" w:firstLine="567"/>
        <w:rPr>
          <w:rFonts w:ascii="Times New Roman" w:hAnsi="Times New Roman" w:cs="Times New Roman"/>
          <w:sz w:val="24"/>
          <w:szCs w:val="24"/>
          <w:lang w:val="ro-RO"/>
        </w:rPr>
      </w:pPr>
      <w:r w:rsidRPr="00C26A9B">
        <w:rPr>
          <w:rFonts w:ascii="Times New Roman" w:eastAsia="Times New Roman" w:hAnsi="Times New Roman" w:cs="Times New Roman"/>
          <w:kern w:val="0"/>
          <w:sz w:val="24"/>
          <w:szCs w:val="24"/>
          <w:lang w:val="ro-RO" w:eastAsia="ro-MD"/>
          <w14:ligatures w14:val="none"/>
        </w:rPr>
        <w:t xml:space="preserve">Hotărârea Comitetului executiv al Băncii Naționale a Moldovei nr.114/2018 (Monitorul Oficial al Republicii Moldova, 2018, nr.183-194, art.904), înregistrată la Ministerul Justiției al Republicii Moldova cu nr.1336/2018 se abrogă începând cu </w:t>
      </w:r>
      <w:r w:rsidR="00F972FB">
        <w:rPr>
          <w:rFonts w:ascii="Times New Roman" w:eastAsia="Times New Roman" w:hAnsi="Times New Roman" w:cs="Times New Roman"/>
          <w:kern w:val="0"/>
          <w:sz w:val="24"/>
          <w:szCs w:val="24"/>
          <w:lang w:val="ro-RO" w:eastAsia="ro-MD"/>
          <w14:ligatures w14:val="none"/>
        </w:rPr>
        <w:t>31.12.2027</w:t>
      </w:r>
      <w:r w:rsidRPr="00C26A9B">
        <w:rPr>
          <w:rFonts w:ascii="Times New Roman" w:eastAsia="Times New Roman" w:hAnsi="Times New Roman" w:cs="Times New Roman"/>
          <w:kern w:val="0"/>
          <w:sz w:val="24"/>
          <w:szCs w:val="24"/>
          <w:lang w:val="ro-RO" w:eastAsia="ro-MD"/>
          <w14:ligatures w14:val="none"/>
        </w:rPr>
        <w:t>.</w:t>
      </w:r>
    </w:p>
    <w:p w14:paraId="3BE588DE" w14:textId="77777777" w:rsidR="000806FE" w:rsidRPr="00C26A9B" w:rsidRDefault="000806FE" w:rsidP="000806FE">
      <w:pPr>
        <w:spacing w:after="0" w:line="240" w:lineRule="auto"/>
        <w:ind w:left="567"/>
        <w:rPr>
          <w:rFonts w:ascii="Times New Roman" w:eastAsia="Times New Roman" w:hAnsi="Times New Roman" w:cs="Times New Roman"/>
          <w:kern w:val="0"/>
          <w:sz w:val="24"/>
          <w:szCs w:val="24"/>
          <w:lang w:val="ro-RO" w:eastAsia="ro-MD"/>
          <w14:ligatures w14:val="none"/>
        </w:rPr>
      </w:pPr>
    </w:p>
    <w:p w14:paraId="6FC07780" w14:textId="77777777" w:rsidR="000806FE" w:rsidRPr="00C26A9B" w:rsidRDefault="000806FE" w:rsidP="000806FE">
      <w:pPr>
        <w:numPr>
          <w:ilvl w:val="0"/>
          <w:numId w:val="1"/>
        </w:numPr>
        <w:spacing w:after="0" w:line="240" w:lineRule="auto"/>
        <w:ind w:left="0" w:firstLine="567"/>
        <w:rPr>
          <w:rFonts w:ascii="Times New Roman" w:eastAsia="Times New Roman" w:hAnsi="Times New Roman" w:cs="Times New Roman"/>
          <w:kern w:val="0"/>
          <w:sz w:val="24"/>
          <w:szCs w:val="24"/>
          <w:lang w:val="ro-RO" w:eastAsia="ro-MD"/>
          <w14:ligatures w14:val="none"/>
        </w:rPr>
      </w:pPr>
      <w:r w:rsidRPr="00C26A9B">
        <w:rPr>
          <w:rFonts w:ascii="Times New Roman" w:eastAsia="Times New Roman" w:hAnsi="Times New Roman" w:cs="Times New Roman"/>
          <w:kern w:val="0"/>
          <w:sz w:val="24"/>
          <w:szCs w:val="24"/>
          <w:lang w:val="ro-RO" w:eastAsia="ro-MD"/>
          <w14:ligatures w14:val="none"/>
        </w:rPr>
        <w:t xml:space="preserve">În Regulamentul privind cadrul de administrare a </w:t>
      </w:r>
      <w:proofErr w:type="spellStart"/>
      <w:r w:rsidRPr="00C26A9B">
        <w:rPr>
          <w:rFonts w:ascii="Times New Roman" w:eastAsia="Times New Roman" w:hAnsi="Times New Roman" w:cs="Times New Roman"/>
          <w:kern w:val="0"/>
          <w:sz w:val="24"/>
          <w:szCs w:val="24"/>
          <w:lang w:val="ro-RO" w:eastAsia="ro-MD"/>
          <w14:ligatures w14:val="none"/>
        </w:rPr>
        <w:t>activităţii</w:t>
      </w:r>
      <w:proofErr w:type="spellEnd"/>
      <w:r w:rsidRPr="00C26A9B">
        <w:rPr>
          <w:rFonts w:ascii="Times New Roman" w:eastAsia="Times New Roman" w:hAnsi="Times New Roman" w:cs="Times New Roman"/>
          <w:kern w:val="0"/>
          <w:sz w:val="24"/>
          <w:szCs w:val="24"/>
          <w:lang w:val="ro-RO" w:eastAsia="ro-MD"/>
          <w14:ligatures w14:val="none"/>
        </w:rPr>
        <w:t xml:space="preserve"> băncilor, aprobat prin Hotărârea Comitetului executiv al Băncii Naționale a Moldovei nr.322/2018 (Monitorul Oficial al Republicii Moldova, 2019, nr.1-5, art.56), înregistrat la Ministerul Justiției al Republicii Moldova cu nr.1400/2018:</w:t>
      </w:r>
    </w:p>
    <w:p w14:paraId="45B554F2" w14:textId="77777777" w:rsidR="000806FE" w:rsidRPr="00C26A9B" w:rsidRDefault="000806FE" w:rsidP="000806FE">
      <w:pPr>
        <w:pStyle w:val="ListParagraph"/>
        <w:numPr>
          <w:ilvl w:val="1"/>
          <w:numId w:val="1"/>
        </w:numPr>
        <w:spacing w:after="0" w:line="240" w:lineRule="auto"/>
        <w:rPr>
          <w:rFonts w:ascii="Times New Roman" w:eastAsia="Times New Roman" w:hAnsi="Times New Roman" w:cs="Times New Roman"/>
          <w:kern w:val="0"/>
          <w:sz w:val="24"/>
          <w:szCs w:val="24"/>
          <w:lang w:val="ro-RO" w:eastAsia="ro-MD"/>
          <w14:ligatures w14:val="none"/>
        </w:rPr>
      </w:pPr>
      <w:r w:rsidRPr="00C26A9B">
        <w:rPr>
          <w:rFonts w:ascii="Times New Roman" w:eastAsia="Times New Roman" w:hAnsi="Times New Roman" w:cs="Times New Roman"/>
          <w:kern w:val="0"/>
          <w:sz w:val="24"/>
          <w:szCs w:val="24"/>
          <w:lang w:val="ro-RO" w:eastAsia="ro-MD"/>
          <w14:ligatures w14:val="none"/>
        </w:rPr>
        <w:t xml:space="preserve"> În pct.4:</w:t>
      </w:r>
    </w:p>
    <w:p w14:paraId="5888B409" w14:textId="25753124" w:rsidR="000806FE" w:rsidRPr="00C26A9B" w:rsidRDefault="000806FE" w:rsidP="000806FE">
      <w:pPr>
        <w:pStyle w:val="ListParagraph"/>
        <w:numPr>
          <w:ilvl w:val="2"/>
          <w:numId w:val="1"/>
        </w:numPr>
        <w:spacing w:after="0" w:line="240" w:lineRule="auto"/>
        <w:rPr>
          <w:rFonts w:ascii="Times New Roman" w:eastAsia="Times New Roman" w:hAnsi="Times New Roman" w:cs="Times New Roman"/>
          <w:kern w:val="0"/>
          <w:sz w:val="24"/>
          <w:szCs w:val="24"/>
          <w:lang w:val="ro-RO" w:eastAsia="ro-MD"/>
          <w14:ligatures w14:val="none"/>
        </w:rPr>
      </w:pPr>
      <w:r w:rsidRPr="00C26A9B">
        <w:rPr>
          <w:rFonts w:ascii="Times New Roman" w:eastAsia="Times New Roman" w:hAnsi="Times New Roman" w:cs="Times New Roman"/>
          <w:kern w:val="0"/>
          <w:sz w:val="24"/>
          <w:szCs w:val="24"/>
          <w:lang w:val="ro-RO" w:eastAsia="ro-MD"/>
          <w14:ligatures w14:val="none"/>
        </w:rPr>
        <w:t>definiția „</w:t>
      </w:r>
      <w:r w:rsidR="00323494" w:rsidRPr="00C26A9B">
        <w:rPr>
          <w:rFonts w:ascii="Times New Roman" w:eastAsia="Times New Roman" w:hAnsi="Times New Roman" w:cs="Times New Roman"/>
          <w:kern w:val="0"/>
          <w:sz w:val="24"/>
          <w:szCs w:val="24"/>
          <w:lang w:val="ro-RO" w:eastAsia="ro-MD"/>
          <w14:ligatures w14:val="none"/>
        </w:rPr>
        <w:t xml:space="preserve">risc de </w:t>
      </w:r>
      <w:proofErr w:type="spellStart"/>
      <w:r w:rsidR="00323494" w:rsidRPr="00C26A9B">
        <w:rPr>
          <w:rFonts w:ascii="Times New Roman" w:eastAsia="Times New Roman" w:hAnsi="Times New Roman" w:cs="Times New Roman"/>
          <w:kern w:val="0"/>
          <w:sz w:val="24"/>
          <w:szCs w:val="24"/>
          <w:lang w:val="ro-RO" w:eastAsia="ro-MD"/>
          <w14:ligatures w14:val="none"/>
        </w:rPr>
        <w:t>piaţă</w:t>
      </w:r>
      <w:proofErr w:type="spellEnd"/>
      <w:r w:rsidRPr="00C26A9B">
        <w:rPr>
          <w:rFonts w:ascii="Times New Roman" w:eastAsia="Times New Roman" w:hAnsi="Times New Roman" w:cs="Times New Roman"/>
          <w:kern w:val="0"/>
          <w:sz w:val="24"/>
          <w:szCs w:val="24"/>
          <w:lang w:val="ro-RO" w:eastAsia="ro-MD"/>
          <w14:ligatures w14:val="none"/>
        </w:rPr>
        <w:t>” se expune în următoarea redacție:</w:t>
      </w:r>
      <w:r w:rsidRPr="00360CD2">
        <w:rPr>
          <w:rFonts w:ascii="Times New Roman" w:eastAsia="Times New Roman" w:hAnsi="Times New Roman" w:cs="Times New Roman"/>
          <w:kern w:val="0"/>
          <w:sz w:val="24"/>
          <w:szCs w:val="24"/>
          <w:lang w:val="ro-RO" w:eastAsia="ro-MD"/>
          <w14:ligatures w14:val="none"/>
        </w:rPr>
        <w:t xml:space="preserve"> „</w:t>
      </w:r>
      <w:r w:rsidR="00323494" w:rsidRPr="00C26A9B">
        <w:rPr>
          <w:rFonts w:ascii="Times New Roman" w:eastAsia="Times New Roman" w:hAnsi="Times New Roman" w:cs="Times New Roman"/>
          <w:kern w:val="0"/>
          <w:sz w:val="24"/>
          <w:szCs w:val="24"/>
          <w:lang w:val="ro-RO" w:eastAsia="ro-MD"/>
          <w14:ligatures w14:val="none"/>
        </w:rPr>
        <w:t>„</w:t>
      </w:r>
      <w:bookmarkStart w:id="5" w:name="_Hlk200625770"/>
      <w:r w:rsidR="00323494" w:rsidRPr="00C26A9B">
        <w:rPr>
          <w:rFonts w:ascii="Times New Roman" w:eastAsia="Times New Roman" w:hAnsi="Times New Roman" w:cs="Times New Roman"/>
          <w:kern w:val="0"/>
          <w:sz w:val="24"/>
          <w:szCs w:val="24"/>
          <w:lang w:val="ro-RO" w:eastAsia="ro-MD"/>
          <w14:ligatures w14:val="none"/>
        </w:rPr>
        <w:t xml:space="preserve">risc de </w:t>
      </w:r>
      <w:proofErr w:type="spellStart"/>
      <w:r w:rsidR="00323494" w:rsidRPr="00C26A9B">
        <w:rPr>
          <w:rFonts w:ascii="Times New Roman" w:eastAsia="Times New Roman" w:hAnsi="Times New Roman" w:cs="Times New Roman"/>
          <w:kern w:val="0"/>
          <w:sz w:val="24"/>
          <w:szCs w:val="24"/>
          <w:lang w:val="ro-RO" w:eastAsia="ro-MD"/>
          <w14:ligatures w14:val="none"/>
        </w:rPr>
        <w:t>piaţă</w:t>
      </w:r>
      <w:bookmarkEnd w:id="5"/>
      <w:proofErr w:type="spellEnd"/>
      <w:r w:rsidR="00323494" w:rsidRPr="00C26A9B">
        <w:rPr>
          <w:rFonts w:ascii="Times New Roman" w:eastAsia="Times New Roman" w:hAnsi="Times New Roman" w:cs="Times New Roman"/>
          <w:kern w:val="0"/>
          <w:sz w:val="24"/>
          <w:szCs w:val="24"/>
          <w:lang w:val="ro-RO" w:eastAsia="ro-MD"/>
          <w14:ligatures w14:val="none"/>
        </w:rPr>
        <w:t xml:space="preserve">” </w:t>
      </w:r>
      <w:r w:rsidR="00360CD2">
        <w:rPr>
          <w:rFonts w:ascii="Times New Roman" w:eastAsia="Times New Roman" w:hAnsi="Times New Roman" w:cs="Times New Roman"/>
          <w:kern w:val="0"/>
          <w:sz w:val="24"/>
          <w:szCs w:val="24"/>
          <w:lang w:val="ro-RO" w:eastAsia="ro-MD"/>
          <w14:ligatures w14:val="none"/>
        </w:rPr>
        <w:t>-</w:t>
      </w:r>
      <w:r w:rsidR="00323494" w:rsidRPr="00C26A9B">
        <w:rPr>
          <w:rFonts w:ascii="Times New Roman" w:eastAsia="Times New Roman" w:hAnsi="Times New Roman" w:cs="Times New Roman"/>
          <w:kern w:val="0"/>
          <w:sz w:val="24"/>
          <w:szCs w:val="24"/>
          <w:lang w:val="ro-RO" w:eastAsia="ro-MD"/>
          <w14:ligatures w14:val="none"/>
        </w:rPr>
        <w:t xml:space="preserve"> riscul de pierderi rezultate din </w:t>
      </w:r>
      <w:proofErr w:type="spellStart"/>
      <w:r w:rsidR="00323494" w:rsidRPr="00C26A9B">
        <w:rPr>
          <w:rFonts w:ascii="Times New Roman" w:eastAsia="Times New Roman" w:hAnsi="Times New Roman" w:cs="Times New Roman"/>
          <w:kern w:val="0"/>
          <w:sz w:val="24"/>
          <w:szCs w:val="24"/>
          <w:lang w:val="ro-RO" w:eastAsia="ro-MD"/>
          <w14:ligatures w14:val="none"/>
        </w:rPr>
        <w:t>variaţiile</w:t>
      </w:r>
      <w:proofErr w:type="spellEnd"/>
      <w:r w:rsidR="00323494" w:rsidRPr="00C26A9B">
        <w:rPr>
          <w:rFonts w:ascii="Times New Roman" w:eastAsia="Times New Roman" w:hAnsi="Times New Roman" w:cs="Times New Roman"/>
          <w:kern w:val="0"/>
          <w:sz w:val="24"/>
          <w:szCs w:val="24"/>
          <w:lang w:val="ro-RO" w:eastAsia="ro-MD"/>
          <w14:ligatures w14:val="none"/>
        </w:rPr>
        <w:t xml:space="preserve"> </w:t>
      </w:r>
      <w:proofErr w:type="spellStart"/>
      <w:r w:rsidR="00323494" w:rsidRPr="00C26A9B">
        <w:rPr>
          <w:rFonts w:ascii="Times New Roman" w:eastAsia="Times New Roman" w:hAnsi="Times New Roman" w:cs="Times New Roman"/>
          <w:kern w:val="0"/>
          <w:sz w:val="24"/>
          <w:szCs w:val="24"/>
          <w:lang w:val="ro-RO" w:eastAsia="ro-MD"/>
          <w14:ligatures w14:val="none"/>
        </w:rPr>
        <w:t>preţurilor</w:t>
      </w:r>
      <w:proofErr w:type="spellEnd"/>
      <w:r w:rsidR="00323494" w:rsidRPr="00C26A9B">
        <w:rPr>
          <w:rFonts w:ascii="Times New Roman" w:eastAsia="Times New Roman" w:hAnsi="Times New Roman" w:cs="Times New Roman"/>
          <w:kern w:val="0"/>
          <w:sz w:val="24"/>
          <w:szCs w:val="24"/>
          <w:lang w:val="ro-RO" w:eastAsia="ro-MD"/>
          <w14:ligatures w14:val="none"/>
        </w:rPr>
        <w:t xml:space="preserve"> de </w:t>
      </w:r>
      <w:proofErr w:type="spellStart"/>
      <w:r w:rsidR="00323494" w:rsidRPr="00C26A9B">
        <w:rPr>
          <w:rFonts w:ascii="Times New Roman" w:eastAsia="Times New Roman" w:hAnsi="Times New Roman" w:cs="Times New Roman"/>
          <w:kern w:val="0"/>
          <w:sz w:val="24"/>
          <w:szCs w:val="24"/>
          <w:lang w:val="ro-RO" w:eastAsia="ro-MD"/>
          <w14:ligatures w14:val="none"/>
        </w:rPr>
        <w:t>piaţă</w:t>
      </w:r>
      <w:proofErr w:type="spellEnd"/>
      <w:r w:rsidR="00323494" w:rsidRPr="00C26A9B">
        <w:rPr>
          <w:rFonts w:ascii="Times New Roman" w:eastAsia="Times New Roman" w:hAnsi="Times New Roman" w:cs="Times New Roman"/>
          <w:kern w:val="0"/>
          <w:sz w:val="24"/>
          <w:szCs w:val="24"/>
          <w:lang w:val="ro-RO" w:eastAsia="ro-MD"/>
          <w14:ligatures w14:val="none"/>
        </w:rPr>
        <w:t xml:space="preserve">, inclusiv ale cursurilor de schimb valutar sau ale </w:t>
      </w:r>
      <w:proofErr w:type="spellStart"/>
      <w:r w:rsidR="00323494" w:rsidRPr="00C26A9B">
        <w:rPr>
          <w:rFonts w:ascii="Times New Roman" w:eastAsia="Times New Roman" w:hAnsi="Times New Roman" w:cs="Times New Roman"/>
          <w:kern w:val="0"/>
          <w:sz w:val="24"/>
          <w:szCs w:val="24"/>
          <w:lang w:val="ro-RO" w:eastAsia="ro-MD"/>
          <w14:ligatures w14:val="none"/>
        </w:rPr>
        <w:t>preţurilor</w:t>
      </w:r>
      <w:proofErr w:type="spellEnd"/>
      <w:r w:rsidR="00323494" w:rsidRPr="00C26A9B">
        <w:rPr>
          <w:rFonts w:ascii="Times New Roman" w:eastAsia="Times New Roman" w:hAnsi="Times New Roman" w:cs="Times New Roman"/>
          <w:kern w:val="0"/>
          <w:sz w:val="24"/>
          <w:szCs w:val="24"/>
          <w:lang w:val="ro-RO" w:eastAsia="ro-MD"/>
          <w14:ligatures w14:val="none"/>
        </w:rPr>
        <w:t xml:space="preserve"> mărfurilor;</w:t>
      </w:r>
      <w:r w:rsidR="00360CD2">
        <w:rPr>
          <w:rFonts w:ascii="Times New Roman" w:eastAsia="Times New Roman" w:hAnsi="Times New Roman" w:cs="Times New Roman"/>
          <w:kern w:val="0"/>
          <w:sz w:val="24"/>
          <w:szCs w:val="24"/>
          <w:lang w:val="ro-RO" w:eastAsia="ro-MD"/>
          <w14:ligatures w14:val="none"/>
        </w:rPr>
        <w:t>”</w:t>
      </w:r>
    </w:p>
    <w:p w14:paraId="38175D79" w14:textId="53ECDAF7" w:rsidR="000806FE" w:rsidRPr="00C26A9B" w:rsidRDefault="000806FE" w:rsidP="000806FE">
      <w:pPr>
        <w:pStyle w:val="ListParagraph"/>
        <w:numPr>
          <w:ilvl w:val="2"/>
          <w:numId w:val="1"/>
        </w:numPr>
        <w:spacing w:after="0" w:line="240" w:lineRule="auto"/>
        <w:rPr>
          <w:rFonts w:ascii="Times New Roman" w:eastAsia="Times New Roman" w:hAnsi="Times New Roman" w:cs="Times New Roman"/>
          <w:kern w:val="0"/>
          <w:sz w:val="24"/>
          <w:szCs w:val="24"/>
          <w:lang w:val="ro-RO" w:eastAsia="ro-MD"/>
          <w14:ligatures w14:val="none"/>
        </w:rPr>
      </w:pPr>
      <w:r w:rsidRPr="00C26A9B">
        <w:rPr>
          <w:rFonts w:ascii="Times New Roman" w:eastAsia="Times New Roman" w:hAnsi="Times New Roman" w:cs="Times New Roman"/>
          <w:kern w:val="0"/>
          <w:sz w:val="24"/>
          <w:szCs w:val="24"/>
          <w:lang w:val="ro-RO" w:eastAsia="ro-MD"/>
          <w14:ligatures w14:val="none"/>
        </w:rPr>
        <w:t xml:space="preserve">se exclude definiția „risc </w:t>
      </w:r>
      <w:r w:rsidR="007F403C" w:rsidRPr="00C26A9B">
        <w:rPr>
          <w:rFonts w:ascii="Times New Roman" w:eastAsia="Times New Roman" w:hAnsi="Times New Roman" w:cs="Times New Roman"/>
          <w:kern w:val="0"/>
          <w:sz w:val="24"/>
          <w:szCs w:val="24"/>
          <w:lang w:val="ro-RO" w:eastAsia="ro-MD"/>
          <w14:ligatures w14:val="none"/>
        </w:rPr>
        <w:t>valutar</w:t>
      </w:r>
      <w:r w:rsidRPr="00C26A9B">
        <w:rPr>
          <w:rFonts w:ascii="Times New Roman" w:eastAsia="Times New Roman" w:hAnsi="Times New Roman" w:cs="Times New Roman"/>
          <w:kern w:val="0"/>
          <w:sz w:val="24"/>
          <w:szCs w:val="24"/>
          <w:lang w:val="ro-RO" w:eastAsia="ro-MD"/>
          <w14:ligatures w14:val="none"/>
        </w:rPr>
        <w:t>”.</w:t>
      </w:r>
    </w:p>
    <w:p w14:paraId="1ED09CF6" w14:textId="0D7B08B0" w:rsidR="00E51CEC" w:rsidRDefault="000806FE" w:rsidP="006D36F8">
      <w:pPr>
        <w:numPr>
          <w:ilvl w:val="0"/>
          <w:numId w:val="1"/>
        </w:numPr>
        <w:spacing w:after="0" w:line="240" w:lineRule="auto"/>
        <w:ind w:left="0" w:firstLine="567"/>
        <w:rPr>
          <w:rFonts w:ascii="Times New Roman" w:eastAsia="Times New Roman" w:hAnsi="Times New Roman" w:cs="Times New Roman"/>
          <w:kern w:val="0"/>
          <w:sz w:val="24"/>
          <w:szCs w:val="24"/>
          <w:lang w:val="ro-RO" w:eastAsia="ro-MD"/>
          <w14:ligatures w14:val="none"/>
        </w:rPr>
      </w:pPr>
      <w:r w:rsidRPr="00E51CEC">
        <w:rPr>
          <w:rFonts w:ascii="Times New Roman" w:eastAsia="Times New Roman" w:hAnsi="Times New Roman" w:cs="Times New Roman"/>
          <w:kern w:val="0"/>
          <w:sz w:val="24"/>
          <w:szCs w:val="24"/>
          <w:lang w:val="ro-RO" w:eastAsia="ro-MD"/>
          <w14:ligatures w14:val="none"/>
        </w:rPr>
        <w:t>Prezenta hotărâre intră în vigoare la 01.01.202</w:t>
      </w:r>
      <w:r w:rsidR="00884301" w:rsidRPr="00E51CEC">
        <w:rPr>
          <w:rFonts w:ascii="Times New Roman" w:eastAsia="Times New Roman" w:hAnsi="Times New Roman" w:cs="Times New Roman"/>
          <w:kern w:val="0"/>
          <w:sz w:val="24"/>
          <w:szCs w:val="24"/>
          <w:lang w:val="ro-RO" w:eastAsia="ro-MD"/>
          <w14:ligatures w14:val="none"/>
        </w:rPr>
        <w:t>8</w:t>
      </w:r>
      <w:r w:rsidR="0070313C" w:rsidRPr="00E51CEC">
        <w:rPr>
          <w:rFonts w:ascii="Times New Roman" w:eastAsia="Times New Roman" w:hAnsi="Times New Roman" w:cs="Times New Roman"/>
          <w:kern w:val="0"/>
          <w:sz w:val="24"/>
          <w:szCs w:val="24"/>
          <w:lang w:val="ro-RO" w:eastAsia="ro-MD"/>
          <w14:ligatures w14:val="none"/>
        </w:rPr>
        <w:t>, cu excepția</w:t>
      </w:r>
      <w:r w:rsidR="004D0250" w:rsidRPr="00E51CEC">
        <w:rPr>
          <w:rFonts w:ascii="Times New Roman" w:eastAsia="Times New Roman" w:hAnsi="Times New Roman" w:cs="Times New Roman"/>
          <w:kern w:val="0"/>
          <w:sz w:val="24"/>
          <w:szCs w:val="24"/>
          <w:lang w:val="ro-RO" w:eastAsia="ro-MD"/>
          <w14:ligatures w14:val="none"/>
        </w:rPr>
        <w:t xml:space="preserve"> pct.</w:t>
      </w:r>
      <w:r w:rsidR="001E5D65" w:rsidRPr="00E51CEC">
        <w:rPr>
          <w:rFonts w:ascii="Times New Roman" w:eastAsia="Times New Roman" w:hAnsi="Times New Roman" w:cs="Times New Roman"/>
          <w:kern w:val="0"/>
          <w:sz w:val="24"/>
          <w:szCs w:val="24"/>
          <w:lang w:val="ro-RO" w:eastAsia="ro-MD"/>
          <w14:ligatures w14:val="none"/>
        </w:rPr>
        <w:t>315-318, ultima propoziție din pct.335, subpct.351.3.1, 366.4 și pct.510</w:t>
      </w:r>
      <w:r w:rsidR="0070313C" w:rsidRPr="00E51CEC">
        <w:rPr>
          <w:rFonts w:ascii="Times New Roman" w:eastAsia="Times New Roman" w:hAnsi="Times New Roman" w:cs="Times New Roman"/>
          <w:kern w:val="0"/>
          <w:sz w:val="24"/>
          <w:szCs w:val="24"/>
          <w:lang w:val="ro-RO" w:eastAsia="ro-MD"/>
          <w14:ligatures w14:val="none"/>
        </w:rPr>
        <w:t xml:space="preserve">  din </w:t>
      </w:r>
      <w:r w:rsidR="004D0250" w:rsidRPr="00E51CEC">
        <w:rPr>
          <w:rFonts w:ascii="Times New Roman" w:eastAsia="Times New Roman" w:hAnsi="Times New Roman" w:cs="Times New Roman"/>
          <w:kern w:val="0"/>
          <w:sz w:val="24"/>
          <w:szCs w:val="24"/>
          <w:lang w:val="ro-RO" w:eastAsia="ro-MD"/>
          <w14:ligatures w14:val="none"/>
        </w:rPr>
        <w:t xml:space="preserve">anexă, care intră în vigoare </w:t>
      </w:r>
      <w:r w:rsidR="00D5198B">
        <w:rPr>
          <w:rFonts w:ascii="Times New Roman" w:eastAsia="Times New Roman" w:hAnsi="Times New Roman" w:cs="Times New Roman"/>
          <w:kern w:val="0"/>
          <w:sz w:val="24"/>
          <w:szCs w:val="24"/>
          <w:lang w:val="ro-RO" w:eastAsia="ro-MD"/>
          <w14:ligatures w14:val="none"/>
        </w:rPr>
        <w:t xml:space="preserve">la </w:t>
      </w:r>
      <w:r w:rsidR="00E51CEC" w:rsidRPr="00E51CEC">
        <w:rPr>
          <w:rFonts w:ascii="Times New Roman" w:eastAsia="Times New Roman" w:hAnsi="Times New Roman" w:cs="Times New Roman"/>
          <w:kern w:val="0"/>
          <w:sz w:val="24"/>
          <w:szCs w:val="24"/>
          <w:lang w:val="ro-RO" w:eastAsia="ro-MD"/>
          <w14:ligatures w14:val="none"/>
        </w:rPr>
        <w:t>data intrării în vigoare a Tratatului de aderare a Republicii Moldova la Uniunea Europeană</w:t>
      </w:r>
      <w:r w:rsidR="00E51CEC">
        <w:rPr>
          <w:rFonts w:ascii="Times New Roman" w:eastAsia="Times New Roman" w:hAnsi="Times New Roman" w:cs="Times New Roman"/>
          <w:kern w:val="0"/>
          <w:sz w:val="24"/>
          <w:szCs w:val="24"/>
          <w:lang w:val="ro-RO" w:eastAsia="ro-MD"/>
          <w14:ligatures w14:val="none"/>
        </w:rPr>
        <w:t>.</w:t>
      </w:r>
    </w:p>
    <w:p w14:paraId="467FF8BC" w14:textId="25DE977C" w:rsidR="000806FE" w:rsidRPr="00C26A9B" w:rsidRDefault="00E51CEC" w:rsidP="00360CD2">
      <w:pPr>
        <w:spacing w:after="0" w:line="240" w:lineRule="auto"/>
        <w:ind w:firstLine="567"/>
        <w:rPr>
          <w:rFonts w:ascii="Times New Roman" w:eastAsia="Times New Roman" w:hAnsi="Times New Roman" w:cs="Times New Roman"/>
          <w:kern w:val="0"/>
          <w:sz w:val="24"/>
          <w:szCs w:val="24"/>
          <w:lang w:val="ro-RO" w:eastAsia="ro-MD"/>
          <w14:ligatures w14:val="none"/>
        </w:rPr>
      </w:pPr>
      <w:r w:rsidRPr="00E14364">
        <w:rPr>
          <w:rFonts w:ascii="Times New Roman" w:eastAsia="Times New Roman" w:hAnsi="Times New Roman" w:cs="Times New Roman"/>
          <w:b/>
          <w:bCs/>
          <w:kern w:val="0"/>
          <w:sz w:val="24"/>
          <w:szCs w:val="24"/>
          <w:lang w:val="ro-RO" w:eastAsia="ro-MD"/>
          <w14:ligatures w14:val="none"/>
        </w:rPr>
        <w:t>5.</w:t>
      </w:r>
      <w:r>
        <w:rPr>
          <w:rFonts w:ascii="Times New Roman" w:eastAsia="Times New Roman" w:hAnsi="Times New Roman" w:cs="Times New Roman"/>
          <w:kern w:val="0"/>
          <w:sz w:val="24"/>
          <w:szCs w:val="24"/>
          <w:lang w:val="ro-RO" w:eastAsia="ro-MD"/>
          <w14:ligatures w14:val="none"/>
        </w:rPr>
        <w:t xml:space="preserve"> </w:t>
      </w:r>
      <w:r w:rsidR="00CA758E">
        <w:rPr>
          <w:rFonts w:ascii="Times New Roman" w:eastAsia="Times New Roman" w:hAnsi="Times New Roman" w:cs="Times New Roman"/>
          <w:kern w:val="0"/>
          <w:sz w:val="24"/>
          <w:szCs w:val="24"/>
          <w:lang w:val="ro-RO" w:eastAsia="ro-MD"/>
          <w14:ligatures w14:val="none"/>
        </w:rPr>
        <w:t xml:space="preserve"> </w:t>
      </w:r>
      <w:r w:rsidRPr="00E51CEC">
        <w:rPr>
          <w:rFonts w:ascii="Times New Roman" w:eastAsia="Times New Roman" w:hAnsi="Times New Roman" w:cs="Times New Roman"/>
          <w:kern w:val="0"/>
          <w:sz w:val="24"/>
          <w:szCs w:val="24"/>
          <w:lang w:val="ro-RO" w:eastAsia="ro-MD"/>
          <w14:ligatures w14:val="none"/>
        </w:rPr>
        <w:t>De la data intrării în vigoare a Tratatului de aderare a Republicii Moldova la Uniunea Europeană</w:t>
      </w:r>
      <w:r w:rsidR="00CA758E">
        <w:rPr>
          <w:rFonts w:ascii="Times New Roman" w:eastAsia="Times New Roman" w:hAnsi="Times New Roman" w:cs="Times New Roman"/>
          <w:kern w:val="0"/>
          <w:sz w:val="24"/>
          <w:szCs w:val="24"/>
          <w:lang w:val="ro-RO" w:eastAsia="ro-MD"/>
          <w14:ligatures w14:val="none"/>
        </w:rPr>
        <w:t>,</w:t>
      </w:r>
      <w:r w:rsidR="00CA758E" w:rsidRPr="00CA758E">
        <w:rPr>
          <w:rFonts w:ascii="Times New Roman" w:eastAsia="Times New Roman" w:hAnsi="Times New Roman" w:cs="Times New Roman"/>
          <w:kern w:val="0"/>
          <w:sz w:val="24"/>
          <w:szCs w:val="24"/>
          <w:lang w:val="ro-RO" w:eastAsia="ro-MD"/>
          <w14:ligatures w14:val="none"/>
        </w:rPr>
        <w:t xml:space="preserve"> pentru prevederile specificate la punctele 252, 441, 443, 470, 471 și 495 </w:t>
      </w:r>
      <w:r w:rsidRPr="00E51CEC">
        <w:rPr>
          <w:rFonts w:ascii="Times New Roman" w:eastAsia="Times New Roman" w:hAnsi="Times New Roman" w:cs="Times New Roman"/>
          <w:kern w:val="0"/>
          <w:sz w:val="24"/>
          <w:szCs w:val="24"/>
          <w:lang w:val="ro-RO" w:eastAsia="ro-MD"/>
          <w14:ligatures w14:val="none"/>
        </w:rPr>
        <w:t xml:space="preserve"> băncile vor </w:t>
      </w:r>
      <w:r w:rsidR="00151DFB">
        <w:rPr>
          <w:rFonts w:ascii="Times New Roman" w:eastAsia="Times New Roman" w:hAnsi="Times New Roman" w:cs="Times New Roman"/>
          <w:kern w:val="0"/>
          <w:sz w:val="24"/>
          <w:szCs w:val="24"/>
          <w:lang w:val="ro-RO" w:eastAsia="ro-MD"/>
          <w14:ligatures w14:val="none"/>
        </w:rPr>
        <w:t>aplica o pondere de risc</w:t>
      </w:r>
      <w:r w:rsidRPr="00E51CEC">
        <w:rPr>
          <w:rFonts w:ascii="Times New Roman" w:eastAsia="Times New Roman" w:hAnsi="Times New Roman" w:cs="Times New Roman"/>
          <w:kern w:val="0"/>
          <w:sz w:val="24"/>
          <w:szCs w:val="24"/>
          <w:lang w:val="ro-RO" w:eastAsia="ro-MD"/>
          <w14:ligatures w14:val="none"/>
        </w:rPr>
        <w:t xml:space="preserve"> egală cu 8 %</w:t>
      </w:r>
      <w:r>
        <w:rPr>
          <w:rFonts w:ascii="Times New Roman" w:eastAsia="Times New Roman" w:hAnsi="Times New Roman" w:cs="Times New Roman"/>
          <w:kern w:val="0"/>
          <w:sz w:val="24"/>
          <w:szCs w:val="24"/>
          <w:lang w:val="ro-RO" w:eastAsia="ro-MD"/>
          <w14:ligatures w14:val="none"/>
        </w:rPr>
        <w:t>.</w:t>
      </w:r>
    </w:p>
    <w:p w14:paraId="367616B8" w14:textId="77777777" w:rsidR="000806FE" w:rsidRPr="00C26A9B" w:rsidRDefault="000806FE" w:rsidP="000806FE">
      <w:pPr>
        <w:spacing w:after="0" w:line="240" w:lineRule="auto"/>
        <w:rPr>
          <w:rFonts w:ascii="Times New Roman" w:eastAsia="Times New Roman" w:hAnsi="Times New Roman" w:cs="Times New Roman"/>
          <w:kern w:val="0"/>
          <w:sz w:val="24"/>
          <w:szCs w:val="24"/>
          <w:lang w:val="ro-RO" w:eastAsia="ro-MD"/>
          <w14:ligatures w14:val="none"/>
        </w:rPr>
      </w:pPr>
    </w:p>
    <w:p w14:paraId="6B526330" w14:textId="77777777" w:rsidR="000806FE" w:rsidRPr="00C26A9B" w:rsidRDefault="000806FE" w:rsidP="000806FE">
      <w:pPr>
        <w:spacing w:after="0" w:line="240" w:lineRule="auto"/>
        <w:jc w:val="right"/>
        <w:rPr>
          <w:rFonts w:ascii="Times New Roman" w:eastAsia="Times New Roman" w:hAnsi="Times New Roman" w:cs="Times New Roman"/>
          <w:kern w:val="0"/>
          <w:sz w:val="24"/>
          <w:szCs w:val="24"/>
          <w:lang w:val="ro-RO" w:eastAsia="ro-MD"/>
          <w14:ligatures w14:val="none"/>
        </w:rPr>
      </w:pPr>
      <w:r w:rsidRPr="00C26A9B">
        <w:rPr>
          <w:rFonts w:ascii="Times New Roman" w:eastAsia="Times New Roman" w:hAnsi="Times New Roman" w:cs="Times New Roman"/>
          <w:kern w:val="0"/>
          <w:sz w:val="24"/>
          <w:szCs w:val="24"/>
          <w:lang w:val="ro-RO" w:eastAsia="ro-MD"/>
          <w14:ligatures w14:val="none"/>
        </w:rPr>
        <w:t>Anexă</w:t>
      </w:r>
    </w:p>
    <w:p w14:paraId="52B41A2E" w14:textId="77777777" w:rsidR="000806FE" w:rsidRPr="00C26A9B" w:rsidRDefault="000806FE" w:rsidP="000806FE">
      <w:pPr>
        <w:spacing w:after="0" w:line="240" w:lineRule="auto"/>
        <w:jc w:val="center"/>
        <w:rPr>
          <w:rFonts w:ascii="Times New Roman" w:eastAsia="Times New Roman" w:hAnsi="Times New Roman" w:cs="Times New Roman"/>
          <w:b/>
          <w:bCs/>
          <w:kern w:val="0"/>
          <w:sz w:val="24"/>
          <w:szCs w:val="24"/>
          <w:lang w:val="ro-RO" w:eastAsia="ro-MD"/>
          <w14:ligatures w14:val="none"/>
        </w:rPr>
      </w:pPr>
    </w:p>
    <w:p w14:paraId="625D265C" w14:textId="67FDBE22" w:rsidR="000806FE" w:rsidRPr="00C26A9B" w:rsidRDefault="000806FE" w:rsidP="000806FE">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C26A9B">
        <w:rPr>
          <w:rFonts w:ascii="Times New Roman" w:eastAsia="Times New Roman" w:hAnsi="Times New Roman" w:cs="Times New Roman"/>
          <w:b/>
          <w:bCs/>
          <w:kern w:val="0"/>
          <w:sz w:val="24"/>
          <w:szCs w:val="24"/>
          <w:lang w:val="ro-RO" w:eastAsia="ro-MD"/>
          <w14:ligatures w14:val="none"/>
        </w:rPr>
        <w:t>REGULAMENT PRIVIND CERINȚ</w:t>
      </w:r>
      <w:r w:rsidR="00B34095" w:rsidRPr="00C26A9B">
        <w:rPr>
          <w:rFonts w:ascii="Times New Roman" w:eastAsia="Times New Roman" w:hAnsi="Times New Roman" w:cs="Times New Roman"/>
          <w:b/>
          <w:bCs/>
          <w:kern w:val="0"/>
          <w:sz w:val="24"/>
          <w:szCs w:val="24"/>
          <w:lang w:val="ro-RO" w:eastAsia="ro-MD"/>
          <w14:ligatures w14:val="none"/>
        </w:rPr>
        <w:t>E</w:t>
      </w:r>
      <w:r w:rsidR="00EE5F5C">
        <w:rPr>
          <w:rFonts w:ascii="Times New Roman" w:eastAsia="Times New Roman" w:hAnsi="Times New Roman" w:cs="Times New Roman"/>
          <w:b/>
          <w:bCs/>
          <w:kern w:val="0"/>
          <w:sz w:val="24"/>
          <w:szCs w:val="24"/>
          <w:lang w:val="ro-RO" w:eastAsia="ro-MD"/>
          <w14:ligatures w14:val="none"/>
        </w:rPr>
        <w:t>LE</w:t>
      </w:r>
      <w:r w:rsidRPr="00C26A9B">
        <w:rPr>
          <w:rFonts w:ascii="Times New Roman" w:eastAsia="Times New Roman" w:hAnsi="Times New Roman" w:cs="Times New Roman"/>
          <w:b/>
          <w:bCs/>
          <w:kern w:val="0"/>
          <w:sz w:val="24"/>
          <w:szCs w:val="24"/>
          <w:lang w:val="ro-RO" w:eastAsia="ro-MD"/>
          <w14:ligatures w14:val="none"/>
        </w:rPr>
        <w:t xml:space="preserve"> DE FONDURI PROPRII </w:t>
      </w:r>
    </w:p>
    <w:p w14:paraId="2A95747C" w14:textId="67664444" w:rsidR="000806FE" w:rsidRPr="00C26A9B" w:rsidRDefault="000806FE" w:rsidP="000806FE">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C26A9B">
        <w:rPr>
          <w:rFonts w:ascii="Times New Roman" w:eastAsia="Times New Roman" w:hAnsi="Times New Roman" w:cs="Times New Roman"/>
          <w:b/>
          <w:bCs/>
          <w:kern w:val="0"/>
          <w:sz w:val="24"/>
          <w:szCs w:val="24"/>
          <w:lang w:val="ro-RO" w:eastAsia="ro-MD"/>
          <w14:ligatures w14:val="none"/>
        </w:rPr>
        <w:t xml:space="preserve">PENTRU RISCUL </w:t>
      </w:r>
      <w:r w:rsidR="00CC1E9B">
        <w:rPr>
          <w:rFonts w:ascii="Times New Roman" w:eastAsia="Times New Roman" w:hAnsi="Times New Roman" w:cs="Times New Roman"/>
          <w:b/>
          <w:bCs/>
          <w:kern w:val="0"/>
          <w:sz w:val="24"/>
          <w:szCs w:val="24"/>
          <w:lang w:val="ro-RO" w:eastAsia="ro-MD"/>
          <w14:ligatures w14:val="none"/>
        </w:rPr>
        <w:t>D</w:t>
      </w:r>
      <w:r w:rsidR="007B6D2D">
        <w:rPr>
          <w:rFonts w:ascii="Times New Roman" w:eastAsia="Times New Roman" w:hAnsi="Times New Roman" w:cs="Times New Roman"/>
          <w:b/>
          <w:bCs/>
          <w:kern w:val="0"/>
          <w:sz w:val="24"/>
          <w:szCs w:val="24"/>
          <w:lang w:val="ro-RO" w:eastAsia="ro-MD"/>
          <w14:ligatures w14:val="none"/>
        </w:rPr>
        <w:t>E</w:t>
      </w:r>
      <w:r w:rsidR="00CC1E9B">
        <w:rPr>
          <w:rFonts w:ascii="Times New Roman" w:eastAsia="Times New Roman" w:hAnsi="Times New Roman" w:cs="Times New Roman"/>
          <w:b/>
          <w:bCs/>
          <w:kern w:val="0"/>
          <w:sz w:val="24"/>
          <w:szCs w:val="24"/>
          <w:lang w:val="ro-RO" w:eastAsia="ro-MD"/>
          <w14:ligatures w14:val="none"/>
        </w:rPr>
        <w:t xml:space="preserve"> PIAȚĂ</w:t>
      </w:r>
    </w:p>
    <w:p w14:paraId="42A28373" w14:textId="77777777" w:rsidR="000806FE" w:rsidRPr="00C26A9B" w:rsidRDefault="000806FE" w:rsidP="000806FE">
      <w:pPr>
        <w:spacing w:after="0" w:line="240" w:lineRule="auto"/>
        <w:rPr>
          <w:rFonts w:ascii="Times New Roman" w:eastAsia="Times New Roman" w:hAnsi="Times New Roman" w:cs="Times New Roman"/>
          <w:b/>
          <w:bCs/>
          <w:kern w:val="0"/>
          <w:sz w:val="24"/>
          <w:szCs w:val="24"/>
          <w:lang w:val="ro-RO" w:eastAsia="ro-MD"/>
          <w14:ligatures w14:val="none"/>
        </w:rPr>
      </w:pPr>
    </w:p>
    <w:p w14:paraId="6F99BAC6" w14:textId="77777777" w:rsidR="000806FE" w:rsidRPr="00C26A9B" w:rsidRDefault="000806FE" w:rsidP="000806FE">
      <w:pPr>
        <w:spacing w:after="0" w:line="240" w:lineRule="auto"/>
        <w:rPr>
          <w:rFonts w:ascii="Times New Roman" w:eastAsia="Times New Roman" w:hAnsi="Times New Roman" w:cs="Times New Roman"/>
          <w:kern w:val="0"/>
          <w:sz w:val="24"/>
          <w:szCs w:val="24"/>
          <w:lang w:val="ro-RO" w:eastAsia="ro-MD"/>
          <w14:ligatures w14:val="none"/>
        </w:rPr>
      </w:pPr>
    </w:p>
    <w:p w14:paraId="4D83F6DA" w14:textId="330D3799" w:rsidR="00E9264A" w:rsidRPr="00C26A9B" w:rsidRDefault="00E9264A" w:rsidP="00E9264A">
      <w:pPr>
        <w:rPr>
          <w:rFonts w:ascii="Times New Roman" w:eastAsia="Times New Roman" w:hAnsi="Times New Roman" w:cs="Times New Roman"/>
          <w:b/>
          <w:kern w:val="0"/>
          <w:sz w:val="24"/>
          <w:szCs w:val="24"/>
          <w:lang w:val="ro-RO" w:eastAsia="ro-MD"/>
          <w14:ligatures w14:val="none"/>
        </w:rPr>
      </w:pPr>
      <w:r w:rsidRPr="00C26A9B">
        <w:rPr>
          <w:rFonts w:ascii="Times New Roman" w:eastAsia="Times New Roman" w:hAnsi="Times New Roman" w:cs="Times New Roman"/>
          <w:b/>
          <w:kern w:val="0"/>
          <w:sz w:val="24"/>
          <w:szCs w:val="24"/>
          <w:lang w:val="ro-RO" w:eastAsia="ro-MD"/>
          <w14:ligatures w14:val="none"/>
        </w:rPr>
        <w:t>TITLUL I. DISPOZIŢII GENERALE</w:t>
      </w:r>
    </w:p>
    <w:p w14:paraId="0A83C569" w14:textId="05649F60" w:rsidR="00E9264A" w:rsidRPr="00C26A9B" w:rsidRDefault="009A1F02" w:rsidP="00E9264A">
      <w:pPr>
        <w:rPr>
          <w:rFonts w:ascii="Times New Roman" w:eastAsia="Times New Roman" w:hAnsi="Times New Roman" w:cs="Times New Roman"/>
          <w:b/>
          <w:i/>
          <w:iCs/>
          <w:kern w:val="0"/>
          <w:sz w:val="24"/>
          <w:szCs w:val="24"/>
          <w:lang w:val="ro-RO" w:eastAsia="ro-MD"/>
          <w14:ligatures w14:val="none"/>
        </w:rPr>
      </w:pPr>
      <w:r w:rsidRPr="00C26A9B">
        <w:rPr>
          <w:rFonts w:ascii="Times New Roman" w:eastAsia="Times New Roman" w:hAnsi="Times New Roman" w:cs="Times New Roman"/>
          <w:b/>
          <w:i/>
          <w:iCs/>
          <w:kern w:val="0"/>
          <w:sz w:val="24"/>
          <w:szCs w:val="24"/>
          <w:lang w:val="ro-RO" w:eastAsia="ro-MD"/>
          <w14:ligatures w14:val="none"/>
        </w:rPr>
        <w:t>CAPITOLUL I. OBIECT ȘI DOMENIU DE APLICARE</w:t>
      </w:r>
    </w:p>
    <w:p w14:paraId="24DBBF76" w14:textId="77777777" w:rsidR="00CC104B" w:rsidRPr="00C26A9B" w:rsidRDefault="00CC104B" w:rsidP="00CC104B">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 Prezentul regulament </w:t>
      </w:r>
      <w:proofErr w:type="spellStart"/>
      <w:r w:rsidRPr="00C26A9B">
        <w:rPr>
          <w:rFonts w:ascii="Times New Roman" w:hAnsi="Times New Roman" w:cs="Times New Roman"/>
          <w:sz w:val="24"/>
          <w:szCs w:val="24"/>
          <w:lang w:val="ro-RO"/>
        </w:rPr>
        <w:t>stabileşte</w:t>
      </w:r>
      <w:proofErr w:type="spellEnd"/>
      <w:r w:rsidRPr="00C26A9B">
        <w:rPr>
          <w:rFonts w:ascii="Times New Roman" w:hAnsi="Times New Roman" w:cs="Times New Roman"/>
          <w:sz w:val="24"/>
          <w:szCs w:val="24"/>
          <w:lang w:val="ro-RO"/>
        </w:rPr>
        <w:t xml:space="preserve"> reguli privind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pentru riscul de piață, în scopul calculării </w:t>
      </w:r>
      <w:proofErr w:type="spellStart"/>
      <w:r w:rsidRPr="00C26A9B">
        <w:rPr>
          <w:rFonts w:ascii="Times New Roman" w:hAnsi="Times New Roman" w:cs="Times New Roman"/>
          <w:sz w:val="24"/>
          <w:szCs w:val="24"/>
          <w:lang w:val="ro-RO"/>
        </w:rPr>
        <w:t>cerinţelor</w:t>
      </w:r>
      <w:proofErr w:type="spellEnd"/>
      <w:r w:rsidRPr="00C26A9B">
        <w:rPr>
          <w:rFonts w:ascii="Times New Roman" w:hAnsi="Times New Roman" w:cs="Times New Roman"/>
          <w:sz w:val="24"/>
          <w:szCs w:val="24"/>
          <w:lang w:val="ro-RO"/>
        </w:rPr>
        <w:t xml:space="preserve"> de fonduri proprii conform actelor normative ale Băncii </w:t>
      </w:r>
      <w:proofErr w:type="spellStart"/>
      <w:r w:rsidRPr="00C26A9B">
        <w:rPr>
          <w:rFonts w:ascii="Times New Roman" w:hAnsi="Times New Roman" w:cs="Times New Roman"/>
          <w:sz w:val="24"/>
          <w:szCs w:val="24"/>
          <w:lang w:val="ro-RO"/>
        </w:rPr>
        <w:t>Naţionale</w:t>
      </w:r>
      <w:proofErr w:type="spellEnd"/>
      <w:r w:rsidRPr="00C26A9B">
        <w:rPr>
          <w:rFonts w:ascii="Times New Roman" w:hAnsi="Times New Roman" w:cs="Times New Roman"/>
          <w:sz w:val="24"/>
          <w:szCs w:val="24"/>
          <w:lang w:val="ro-RO"/>
        </w:rPr>
        <w:t xml:space="preserve"> a Moldovei cu privire la fondurile proprii </w:t>
      </w:r>
      <w:proofErr w:type="spellStart"/>
      <w:r w:rsidRPr="00C26A9B">
        <w:rPr>
          <w:rFonts w:ascii="Times New Roman" w:hAnsi="Times New Roman" w:cs="Times New Roman"/>
          <w:sz w:val="24"/>
          <w:szCs w:val="24"/>
          <w:lang w:val="ro-RO"/>
        </w:rPr>
        <w:t>şi</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capital</w:t>
      </w:r>
    </w:p>
    <w:p w14:paraId="1D4CE783" w14:textId="77777777" w:rsidR="00CC104B" w:rsidRPr="00C26A9B" w:rsidRDefault="00CC104B" w:rsidP="00CC104B">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 Prezentul regulament se aplică băncilor persoane juridice din Republica Moldova, precum </w:t>
      </w:r>
      <w:proofErr w:type="spellStart"/>
      <w:r w:rsidRPr="00C26A9B">
        <w:rPr>
          <w:rFonts w:ascii="Times New Roman" w:hAnsi="Times New Roman" w:cs="Times New Roman"/>
          <w:sz w:val="24"/>
          <w:szCs w:val="24"/>
          <w:lang w:val="ro-RO"/>
        </w:rPr>
        <w:t>şi</w:t>
      </w:r>
      <w:proofErr w:type="spellEnd"/>
      <w:r w:rsidRPr="00C26A9B">
        <w:rPr>
          <w:rFonts w:ascii="Times New Roman" w:hAnsi="Times New Roman" w:cs="Times New Roman"/>
          <w:sz w:val="24"/>
          <w:szCs w:val="24"/>
          <w:lang w:val="ro-RO"/>
        </w:rPr>
        <w:t xml:space="preserve"> sucursalelor din Republica Moldova ale băncilor din alte state.</w:t>
      </w:r>
    </w:p>
    <w:p w14:paraId="61B585EB" w14:textId="2A5A57AB" w:rsidR="00B65ABB" w:rsidRPr="00C26A9B" w:rsidRDefault="00CC104B" w:rsidP="00CC104B">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3. Băncile respectă </w:t>
      </w:r>
      <w:proofErr w:type="spellStart"/>
      <w:r w:rsidRPr="00C26A9B">
        <w:rPr>
          <w:rFonts w:ascii="Times New Roman" w:hAnsi="Times New Roman" w:cs="Times New Roman"/>
          <w:sz w:val="24"/>
          <w:szCs w:val="24"/>
          <w:lang w:val="ro-RO"/>
        </w:rPr>
        <w:t>obligaţiile</w:t>
      </w:r>
      <w:proofErr w:type="spellEnd"/>
      <w:r w:rsidRPr="00C26A9B">
        <w:rPr>
          <w:rFonts w:ascii="Times New Roman" w:hAnsi="Times New Roman" w:cs="Times New Roman"/>
          <w:sz w:val="24"/>
          <w:szCs w:val="24"/>
          <w:lang w:val="ro-RO"/>
        </w:rPr>
        <w:t xml:space="preserve"> prevăzute în prezentul regulament pe bază individuală. După caz, băncile îndeplinesc, în măsura </w:t>
      </w:r>
      <w:proofErr w:type="spellStart"/>
      <w:r w:rsidRPr="00C26A9B">
        <w:rPr>
          <w:rFonts w:ascii="Times New Roman" w:hAnsi="Times New Roman" w:cs="Times New Roman"/>
          <w:sz w:val="24"/>
          <w:szCs w:val="24"/>
          <w:lang w:val="ro-RO"/>
        </w:rPr>
        <w:t>şi</w:t>
      </w:r>
      <w:proofErr w:type="spellEnd"/>
      <w:r w:rsidRPr="00C26A9B">
        <w:rPr>
          <w:rFonts w:ascii="Times New Roman" w:hAnsi="Times New Roman" w:cs="Times New Roman"/>
          <w:sz w:val="24"/>
          <w:szCs w:val="24"/>
          <w:lang w:val="ro-RO"/>
        </w:rPr>
        <w:t xml:space="preserve"> potrivit metodelor prevăzute la capitolul IV din Regulamentul cu privire la supravegherea pe bază consolidată a băncilor, aprobat prin Hotărârea Comitetului executiv al Băncii </w:t>
      </w:r>
      <w:proofErr w:type="spellStart"/>
      <w:r w:rsidRPr="00C26A9B">
        <w:rPr>
          <w:rFonts w:ascii="Times New Roman" w:hAnsi="Times New Roman" w:cs="Times New Roman"/>
          <w:sz w:val="24"/>
          <w:szCs w:val="24"/>
          <w:lang w:val="ro-RO"/>
        </w:rPr>
        <w:t>Naţionale</w:t>
      </w:r>
      <w:proofErr w:type="spellEnd"/>
      <w:r w:rsidRPr="00C26A9B">
        <w:rPr>
          <w:rFonts w:ascii="Times New Roman" w:hAnsi="Times New Roman" w:cs="Times New Roman"/>
          <w:sz w:val="24"/>
          <w:szCs w:val="24"/>
          <w:lang w:val="ro-RO"/>
        </w:rPr>
        <w:t xml:space="preserve"> a Moldovei nr.101/2020 </w:t>
      </w:r>
      <w:proofErr w:type="spellStart"/>
      <w:r w:rsidRPr="00C26A9B">
        <w:rPr>
          <w:rFonts w:ascii="Times New Roman" w:hAnsi="Times New Roman" w:cs="Times New Roman"/>
          <w:sz w:val="24"/>
          <w:szCs w:val="24"/>
          <w:lang w:val="ro-RO"/>
        </w:rPr>
        <w:t>obligaţiile</w:t>
      </w:r>
      <w:proofErr w:type="spellEnd"/>
      <w:r w:rsidRPr="00C26A9B">
        <w:rPr>
          <w:rFonts w:ascii="Times New Roman" w:hAnsi="Times New Roman" w:cs="Times New Roman"/>
          <w:sz w:val="24"/>
          <w:szCs w:val="24"/>
          <w:lang w:val="ro-RO"/>
        </w:rPr>
        <w:t xml:space="preserve"> prevăzute în prezentul regulament pe baza </w:t>
      </w:r>
      <w:proofErr w:type="spellStart"/>
      <w:r w:rsidRPr="00C26A9B">
        <w:rPr>
          <w:rFonts w:ascii="Times New Roman" w:hAnsi="Times New Roman" w:cs="Times New Roman"/>
          <w:sz w:val="24"/>
          <w:szCs w:val="24"/>
          <w:lang w:val="ro-RO"/>
        </w:rPr>
        <w:t>situaţiei</w:t>
      </w:r>
      <w:proofErr w:type="spellEnd"/>
      <w:r w:rsidRPr="00C26A9B">
        <w:rPr>
          <w:rFonts w:ascii="Times New Roman" w:hAnsi="Times New Roman" w:cs="Times New Roman"/>
          <w:sz w:val="24"/>
          <w:szCs w:val="24"/>
          <w:lang w:val="ro-RO"/>
        </w:rPr>
        <w:t xml:space="preserve"> lor consolidate.</w:t>
      </w:r>
    </w:p>
    <w:p w14:paraId="60A1DE59" w14:textId="41BFD63A" w:rsidR="00F800AB" w:rsidRPr="00C26A9B" w:rsidRDefault="009A1F02" w:rsidP="00CC104B">
      <w:pPr>
        <w:rPr>
          <w:rFonts w:ascii="Times New Roman" w:hAnsi="Times New Roman" w:cs="Times New Roman"/>
          <w:b/>
          <w:bCs/>
          <w:i/>
          <w:iCs/>
          <w:sz w:val="24"/>
          <w:szCs w:val="24"/>
          <w:lang w:val="ro-RO"/>
        </w:rPr>
      </w:pPr>
      <w:r w:rsidRPr="00C26A9B">
        <w:rPr>
          <w:rFonts w:ascii="Times New Roman" w:hAnsi="Times New Roman" w:cs="Times New Roman"/>
          <w:b/>
          <w:bCs/>
          <w:i/>
          <w:iCs/>
          <w:sz w:val="24"/>
          <w:szCs w:val="24"/>
          <w:lang w:val="ro-RO"/>
        </w:rPr>
        <w:t>CAPITOLUL II. DEFINIŢII</w:t>
      </w:r>
    </w:p>
    <w:p w14:paraId="6ECB6B0F" w14:textId="0D8FFC1D" w:rsidR="00F800AB" w:rsidRPr="00C26A9B" w:rsidRDefault="00F800AB" w:rsidP="00F800AB">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4. Termenii, </w:t>
      </w:r>
      <w:proofErr w:type="spellStart"/>
      <w:r w:rsidRPr="00C26A9B">
        <w:rPr>
          <w:rFonts w:ascii="Times New Roman" w:hAnsi="Times New Roman" w:cs="Times New Roman"/>
          <w:sz w:val="24"/>
          <w:szCs w:val="24"/>
          <w:lang w:val="ro-RO"/>
        </w:rPr>
        <w:t>noţiunile</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şi</w:t>
      </w:r>
      <w:proofErr w:type="spellEnd"/>
      <w:r w:rsidRPr="00C26A9B">
        <w:rPr>
          <w:rFonts w:ascii="Times New Roman" w:hAnsi="Times New Roman" w:cs="Times New Roman"/>
          <w:sz w:val="24"/>
          <w:szCs w:val="24"/>
          <w:lang w:val="ro-RO"/>
        </w:rPr>
        <w:t xml:space="preserve"> expresiile utilizate în prezentul regulament au </w:t>
      </w:r>
      <w:proofErr w:type="spellStart"/>
      <w:r w:rsidRPr="00C26A9B">
        <w:rPr>
          <w:rFonts w:ascii="Times New Roman" w:hAnsi="Times New Roman" w:cs="Times New Roman"/>
          <w:sz w:val="24"/>
          <w:szCs w:val="24"/>
          <w:lang w:val="ro-RO"/>
        </w:rPr>
        <w:t>semnificaţia</w:t>
      </w:r>
      <w:proofErr w:type="spellEnd"/>
      <w:r w:rsidRPr="00C26A9B">
        <w:rPr>
          <w:rFonts w:ascii="Times New Roman" w:hAnsi="Times New Roman" w:cs="Times New Roman"/>
          <w:sz w:val="24"/>
          <w:szCs w:val="24"/>
          <w:lang w:val="ro-RO"/>
        </w:rPr>
        <w:t xml:space="preserve"> prevăzută în Legea nr.202 din 6 octombrie 2017 privind activitatea băncilor (în continuare – Legea nr.202 din 6 octombrie 2017) </w:t>
      </w:r>
      <w:proofErr w:type="spellStart"/>
      <w:r w:rsidRPr="00C26A9B">
        <w:rPr>
          <w:rFonts w:ascii="Times New Roman" w:hAnsi="Times New Roman" w:cs="Times New Roman"/>
          <w:sz w:val="24"/>
          <w:szCs w:val="24"/>
          <w:lang w:val="ro-RO"/>
        </w:rPr>
        <w:t>şi</w:t>
      </w:r>
      <w:proofErr w:type="spellEnd"/>
      <w:r w:rsidRPr="00C26A9B">
        <w:rPr>
          <w:rFonts w:ascii="Times New Roman" w:hAnsi="Times New Roman" w:cs="Times New Roman"/>
          <w:sz w:val="24"/>
          <w:szCs w:val="24"/>
          <w:lang w:val="ro-RO"/>
        </w:rPr>
        <w:t xml:space="preserve"> în actele normative ale Băncii </w:t>
      </w:r>
      <w:proofErr w:type="spellStart"/>
      <w:r w:rsidRPr="00C26A9B">
        <w:rPr>
          <w:rFonts w:ascii="Times New Roman" w:hAnsi="Times New Roman" w:cs="Times New Roman"/>
          <w:sz w:val="24"/>
          <w:szCs w:val="24"/>
          <w:lang w:val="ro-RO"/>
        </w:rPr>
        <w:t>Naţionale</w:t>
      </w:r>
      <w:proofErr w:type="spellEnd"/>
      <w:r w:rsidRPr="00C26A9B">
        <w:rPr>
          <w:rFonts w:ascii="Times New Roman" w:hAnsi="Times New Roman" w:cs="Times New Roman"/>
          <w:sz w:val="24"/>
          <w:szCs w:val="24"/>
          <w:lang w:val="ro-RO"/>
        </w:rPr>
        <w:t xml:space="preserve"> a Moldovei emise în aplicarea legii </w:t>
      </w:r>
      <w:proofErr w:type="spellStart"/>
      <w:r w:rsidRPr="00C26A9B">
        <w:rPr>
          <w:rFonts w:ascii="Times New Roman" w:hAnsi="Times New Roman" w:cs="Times New Roman"/>
          <w:sz w:val="24"/>
          <w:szCs w:val="24"/>
          <w:lang w:val="ro-RO"/>
        </w:rPr>
        <w:t>menţionate</w:t>
      </w:r>
      <w:proofErr w:type="spellEnd"/>
      <w:r w:rsidRPr="00C26A9B">
        <w:rPr>
          <w:rFonts w:ascii="Times New Roman" w:hAnsi="Times New Roman" w:cs="Times New Roman"/>
          <w:sz w:val="24"/>
          <w:szCs w:val="24"/>
          <w:lang w:val="ro-RO"/>
        </w:rPr>
        <w:t>.</w:t>
      </w:r>
    </w:p>
    <w:p w14:paraId="761E049A" w14:textId="6E61C54B" w:rsidR="00F800AB" w:rsidRPr="00C26A9B" w:rsidRDefault="00F800AB" w:rsidP="00F800AB">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5. În sensul prezentului regulament termenii </w:t>
      </w:r>
      <w:proofErr w:type="spellStart"/>
      <w:r w:rsidRPr="00C26A9B">
        <w:rPr>
          <w:rFonts w:ascii="Times New Roman" w:hAnsi="Times New Roman" w:cs="Times New Roman"/>
          <w:sz w:val="24"/>
          <w:szCs w:val="24"/>
          <w:lang w:val="ro-RO"/>
        </w:rPr>
        <w:t>şi</w:t>
      </w:r>
      <w:proofErr w:type="spellEnd"/>
      <w:r w:rsidRPr="00C26A9B">
        <w:rPr>
          <w:rFonts w:ascii="Times New Roman" w:hAnsi="Times New Roman" w:cs="Times New Roman"/>
          <w:sz w:val="24"/>
          <w:szCs w:val="24"/>
          <w:lang w:val="ro-RO"/>
        </w:rPr>
        <w:t xml:space="preserve"> expresiile de mai jos au următoarele </w:t>
      </w:r>
      <w:proofErr w:type="spellStart"/>
      <w:r w:rsidRPr="00C26A9B">
        <w:rPr>
          <w:rFonts w:ascii="Times New Roman" w:hAnsi="Times New Roman" w:cs="Times New Roman"/>
          <w:sz w:val="24"/>
          <w:szCs w:val="24"/>
          <w:lang w:val="ro-RO"/>
        </w:rPr>
        <w:t>semnificaţii</w:t>
      </w:r>
      <w:proofErr w:type="spellEnd"/>
      <w:r w:rsidRPr="00C26A9B">
        <w:rPr>
          <w:rFonts w:ascii="Times New Roman" w:hAnsi="Times New Roman" w:cs="Times New Roman"/>
          <w:sz w:val="24"/>
          <w:szCs w:val="24"/>
          <w:lang w:val="ro-RO"/>
        </w:rPr>
        <w:t>:</w:t>
      </w:r>
    </w:p>
    <w:p w14:paraId="7B8858BA" w14:textId="75192B4F" w:rsidR="00F800AB" w:rsidRPr="00C26A9B" w:rsidRDefault="004309C5" w:rsidP="00F800AB">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5.1. </w:t>
      </w:r>
      <w:r w:rsidRPr="00C26A9B">
        <w:rPr>
          <w:rFonts w:ascii="Times New Roman" w:hAnsi="Times New Roman" w:cs="Times New Roman"/>
          <w:i/>
          <w:iCs/>
          <w:sz w:val="24"/>
          <w:szCs w:val="24"/>
          <w:lang w:val="ro-RO"/>
        </w:rPr>
        <w:t>„acoperire internă”</w:t>
      </w:r>
      <w:r w:rsidRPr="00C26A9B">
        <w:rPr>
          <w:rFonts w:ascii="Times New Roman" w:hAnsi="Times New Roman" w:cs="Times New Roman"/>
          <w:sz w:val="24"/>
          <w:szCs w:val="24"/>
          <w:lang w:val="ro-RO"/>
        </w:rPr>
        <w:t xml:space="preserve"> înseamnă o </w:t>
      </w:r>
      <w:proofErr w:type="spellStart"/>
      <w:r w:rsidRPr="00C26A9B">
        <w:rPr>
          <w:rFonts w:ascii="Times New Roman" w:hAnsi="Times New Roman" w:cs="Times New Roman"/>
          <w:sz w:val="24"/>
          <w:szCs w:val="24"/>
          <w:lang w:val="ro-RO"/>
        </w:rPr>
        <w:t>poziţie</w:t>
      </w:r>
      <w:proofErr w:type="spellEnd"/>
      <w:r w:rsidRPr="00C26A9B">
        <w:rPr>
          <w:rFonts w:ascii="Times New Roman" w:hAnsi="Times New Roman" w:cs="Times New Roman"/>
          <w:sz w:val="24"/>
          <w:szCs w:val="24"/>
          <w:lang w:val="ro-RO"/>
        </w:rPr>
        <w:t xml:space="preserve"> care compensează în mod semnificativ elementele de risc componente între o </w:t>
      </w:r>
      <w:proofErr w:type="spellStart"/>
      <w:r w:rsidRPr="00C26A9B">
        <w:rPr>
          <w:rFonts w:ascii="Times New Roman" w:hAnsi="Times New Roman" w:cs="Times New Roman"/>
          <w:sz w:val="24"/>
          <w:szCs w:val="24"/>
          <w:lang w:val="ro-RO"/>
        </w:rPr>
        <w:t>poziţie</w:t>
      </w:r>
      <w:proofErr w:type="spellEnd"/>
      <w:r w:rsidRPr="00C26A9B">
        <w:rPr>
          <w:rFonts w:ascii="Times New Roman" w:hAnsi="Times New Roman" w:cs="Times New Roman"/>
          <w:sz w:val="24"/>
          <w:szCs w:val="24"/>
          <w:lang w:val="ro-RO"/>
        </w:rPr>
        <w:t xml:space="preserve"> din portofoliul de tranzacţionare și una sau mai multe </w:t>
      </w:r>
      <w:proofErr w:type="spellStart"/>
      <w:r w:rsidRPr="00C26A9B">
        <w:rPr>
          <w:rFonts w:ascii="Times New Roman" w:hAnsi="Times New Roman" w:cs="Times New Roman"/>
          <w:sz w:val="24"/>
          <w:szCs w:val="24"/>
          <w:lang w:val="ro-RO"/>
        </w:rPr>
        <w:t>poziţii</w:t>
      </w:r>
      <w:proofErr w:type="spellEnd"/>
      <w:r w:rsidRPr="00C26A9B">
        <w:rPr>
          <w:rFonts w:ascii="Times New Roman" w:hAnsi="Times New Roman" w:cs="Times New Roman"/>
          <w:sz w:val="24"/>
          <w:szCs w:val="24"/>
          <w:lang w:val="ro-RO"/>
        </w:rPr>
        <w:t xml:space="preserve"> din afara portofoliului de tranzacţionare sau între două birouri de tranzacţionare;</w:t>
      </w:r>
    </w:p>
    <w:p w14:paraId="68A54BF9" w14:textId="4BD970F0" w:rsidR="004309C5" w:rsidRPr="00C26A9B" w:rsidRDefault="004309C5" w:rsidP="00F800AB">
      <w:pPr>
        <w:rPr>
          <w:rFonts w:ascii="Times New Roman" w:hAnsi="Times New Roman" w:cs="Times New Roman"/>
          <w:bCs/>
          <w:sz w:val="24"/>
          <w:szCs w:val="24"/>
          <w:lang w:val="ro-RO"/>
        </w:rPr>
      </w:pPr>
      <w:r w:rsidRPr="00C26A9B">
        <w:rPr>
          <w:rFonts w:ascii="Times New Roman" w:hAnsi="Times New Roman" w:cs="Times New Roman"/>
          <w:sz w:val="24"/>
          <w:szCs w:val="24"/>
          <w:lang w:val="ro-RO"/>
        </w:rPr>
        <w:lastRenderedPageBreak/>
        <w:t xml:space="preserve">5.2. </w:t>
      </w:r>
      <w:r w:rsidRPr="00C26A9B">
        <w:rPr>
          <w:rFonts w:ascii="Times New Roman" w:hAnsi="Times New Roman" w:cs="Times New Roman"/>
          <w:i/>
          <w:iCs/>
          <w:sz w:val="24"/>
          <w:szCs w:val="24"/>
          <w:lang w:val="ro-RO"/>
        </w:rPr>
        <w:t xml:space="preserve">„acord </w:t>
      </w:r>
      <w:proofErr w:type="spellStart"/>
      <w:r w:rsidRPr="00C26A9B">
        <w:rPr>
          <w:rFonts w:ascii="Times New Roman" w:hAnsi="Times New Roman" w:cs="Times New Roman"/>
          <w:i/>
          <w:iCs/>
          <w:sz w:val="24"/>
          <w:szCs w:val="24"/>
          <w:lang w:val="ro-RO"/>
        </w:rPr>
        <w:t>repo</w:t>
      </w:r>
      <w:proofErr w:type="spellEnd"/>
      <w:r w:rsidRPr="00C26A9B">
        <w:rPr>
          <w:rFonts w:ascii="Times New Roman" w:hAnsi="Times New Roman" w:cs="Times New Roman"/>
          <w:i/>
          <w:iCs/>
          <w:sz w:val="24"/>
          <w:szCs w:val="24"/>
          <w:lang w:val="ro-RO"/>
        </w:rPr>
        <w:t xml:space="preserve">” </w:t>
      </w:r>
      <w:r w:rsidRPr="00C26A9B">
        <w:rPr>
          <w:rFonts w:ascii="Times New Roman" w:hAnsi="Times New Roman" w:cs="Times New Roman"/>
          <w:sz w:val="24"/>
          <w:szCs w:val="24"/>
          <w:lang w:val="ro-RO"/>
        </w:rPr>
        <w:t>și</w:t>
      </w:r>
      <w:r w:rsidRPr="00C26A9B">
        <w:rPr>
          <w:rFonts w:ascii="Times New Roman" w:hAnsi="Times New Roman" w:cs="Times New Roman"/>
          <w:i/>
          <w:iCs/>
          <w:sz w:val="24"/>
          <w:szCs w:val="24"/>
          <w:lang w:val="ro-RO"/>
        </w:rPr>
        <w:t xml:space="preserve"> „acord reverse </w:t>
      </w:r>
      <w:proofErr w:type="spellStart"/>
      <w:r w:rsidRPr="00C26A9B">
        <w:rPr>
          <w:rFonts w:ascii="Times New Roman" w:hAnsi="Times New Roman" w:cs="Times New Roman"/>
          <w:i/>
          <w:iCs/>
          <w:sz w:val="24"/>
          <w:szCs w:val="24"/>
          <w:lang w:val="ro-RO"/>
        </w:rPr>
        <w:t>repo</w:t>
      </w:r>
      <w:proofErr w:type="spellEnd"/>
      <w:r w:rsidRPr="00C26A9B">
        <w:rPr>
          <w:rFonts w:ascii="Times New Roman" w:hAnsi="Times New Roman" w:cs="Times New Roman"/>
          <w:i/>
          <w:iCs/>
          <w:sz w:val="24"/>
          <w:szCs w:val="24"/>
          <w:lang w:val="ro-RO"/>
        </w:rPr>
        <w:t>”</w:t>
      </w:r>
      <w:r w:rsidRPr="00C26A9B">
        <w:rPr>
          <w:rFonts w:ascii="Times New Roman" w:hAnsi="Times New Roman" w:cs="Times New Roman"/>
          <w:sz w:val="24"/>
          <w:szCs w:val="24"/>
          <w:lang w:val="ro-RO"/>
        </w:rPr>
        <w:t xml:space="preserve"> </w:t>
      </w:r>
      <w:r w:rsidRPr="00C26A9B">
        <w:rPr>
          <w:rFonts w:ascii="Times New Roman" w:hAnsi="Times New Roman" w:cs="Times New Roman"/>
          <w:bCs/>
          <w:sz w:val="24"/>
          <w:szCs w:val="24"/>
          <w:lang w:val="ro-RO"/>
        </w:rPr>
        <w:t xml:space="preserve">înseamnă orice acord în care o bancă sau </w:t>
      </w:r>
      <w:proofErr w:type="spellStart"/>
      <w:r w:rsidRPr="00C26A9B">
        <w:rPr>
          <w:rFonts w:ascii="Times New Roman" w:hAnsi="Times New Roman" w:cs="Times New Roman"/>
          <w:bCs/>
          <w:sz w:val="24"/>
          <w:szCs w:val="24"/>
          <w:lang w:val="ro-RO"/>
        </w:rPr>
        <w:t>contrapartea</w:t>
      </w:r>
      <w:proofErr w:type="spellEnd"/>
      <w:r w:rsidRPr="00C26A9B">
        <w:rPr>
          <w:rFonts w:ascii="Times New Roman" w:hAnsi="Times New Roman" w:cs="Times New Roman"/>
          <w:bCs/>
          <w:sz w:val="24"/>
          <w:szCs w:val="24"/>
          <w:lang w:val="ro-RO"/>
        </w:rPr>
        <w:t xml:space="preserve"> sa transferă titluri, mărfuri sau drepturi garantate referitoare la proprietatea asupra titlurilor sau a mărfurilor în cazul în care </w:t>
      </w:r>
      <w:proofErr w:type="spellStart"/>
      <w:r w:rsidRPr="00C26A9B">
        <w:rPr>
          <w:rFonts w:ascii="Times New Roman" w:hAnsi="Times New Roman" w:cs="Times New Roman"/>
          <w:bCs/>
          <w:sz w:val="24"/>
          <w:szCs w:val="24"/>
          <w:lang w:val="ro-RO"/>
        </w:rPr>
        <w:t>garanţia</w:t>
      </w:r>
      <w:proofErr w:type="spellEnd"/>
      <w:r w:rsidRPr="00C26A9B">
        <w:rPr>
          <w:rFonts w:ascii="Times New Roman" w:hAnsi="Times New Roman" w:cs="Times New Roman"/>
          <w:bCs/>
          <w:sz w:val="24"/>
          <w:szCs w:val="24"/>
          <w:lang w:val="ro-RO"/>
        </w:rPr>
        <w:t xml:space="preserve"> respectivă este emisă de o bursă recunoscută care </w:t>
      </w:r>
      <w:proofErr w:type="spellStart"/>
      <w:r w:rsidRPr="00C26A9B">
        <w:rPr>
          <w:rFonts w:ascii="Times New Roman" w:hAnsi="Times New Roman" w:cs="Times New Roman"/>
          <w:bCs/>
          <w:sz w:val="24"/>
          <w:szCs w:val="24"/>
          <w:lang w:val="ro-RO"/>
        </w:rPr>
        <w:t>deţine</w:t>
      </w:r>
      <w:proofErr w:type="spellEnd"/>
      <w:r w:rsidRPr="00C26A9B">
        <w:rPr>
          <w:rFonts w:ascii="Times New Roman" w:hAnsi="Times New Roman" w:cs="Times New Roman"/>
          <w:bCs/>
          <w:sz w:val="24"/>
          <w:szCs w:val="24"/>
          <w:lang w:val="ro-RO"/>
        </w:rPr>
        <w:t xml:space="preserve"> drepturile asupra titlurilor sau a mărfurilor, iar acordul nu permite unei bănci să transfere sau să dea în gaj un anumit titlu sau marfă mai multor </w:t>
      </w:r>
      <w:proofErr w:type="spellStart"/>
      <w:r w:rsidRPr="00C26A9B">
        <w:rPr>
          <w:rFonts w:ascii="Times New Roman" w:hAnsi="Times New Roman" w:cs="Times New Roman"/>
          <w:bCs/>
          <w:sz w:val="24"/>
          <w:szCs w:val="24"/>
          <w:lang w:val="ro-RO"/>
        </w:rPr>
        <w:t>contrapărţi</w:t>
      </w:r>
      <w:proofErr w:type="spellEnd"/>
      <w:r w:rsidRPr="00C26A9B">
        <w:rPr>
          <w:rFonts w:ascii="Times New Roman" w:hAnsi="Times New Roman" w:cs="Times New Roman"/>
          <w:bCs/>
          <w:sz w:val="24"/>
          <w:szCs w:val="24"/>
          <w:lang w:val="ro-RO"/>
        </w:rPr>
        <w:t xml:space="preserve"> în același timp, cu angajamentul de a le răscumpăra, sau la titluri sau mărfuri substituite, prezentând aceleași caracteristici, la un </w:t>
      </w:r>
      <w:proofErr w:type="spellStart"/>
      <w:r w:rsidRPr="00C26A9B">
        <w:rPr>
          <w:rFonts w:ascii="Times New Roman" w:hAnsi="Times New Roman" w:cs="Times New Roman"/>
          <w:bCs/>
          <w:sz w:val="24"/>
          <w:szCs w:val="24"/>
          <w:lang w:val="ro-RO"/>
        </w:rPr>
        <w:t>preţ</w:t>
      </w:r>
      <w:proofErr w:type="spellEnd"/>
      <w:r w:rsidRPr="00C26A9B">
        <w:rPr>
          <w:rFonts w:ascii="Times New Roman" w:hAnsi="Times New Roman" w:cs="Times New Roman"/>
          <w:bCs/>
          <w:sz w:val="24"/>
          <w:szCs w:val="24"/>
          <w:lang w:val="ro-RO"/>
        </w:rPr>
        <w:t xml:space="preserve"> specificat, la o dată viitoare precizată sau care urmează a fi precizată de entitatea care transferă, reprezentând un acord </w:t>
      </w:r>
      <w:proofErr w:type="spellStart"/>
      <w:r w:rsidRPr="00C26A9B">
        <w:rPr>
          <w:rFonts w:ascii="Times New Roman" w:hAnsi="Times New Roman" w:cs="Times New Roman"/>
          <w:bCs/>
          <w:sz w:val="24"/>
          <w:szCs w:val="24"/>
          <w:lang w:val="ro-RO"/>
        </w:rPr>
        <w:t>repo</w:t>
      </w:r>
      <w:proofErr w:type="spellEnd"/>
      <w:r w:rsidRPr="00C26A9B">
        <w:rPr>
          <w:rFonts w:ascii="Times New Roman" w:hAnsi="Times New Roman" w:cs="Times New Roman"/>
          <w:bCs/>
          <w:sz w:val="24"/>
          <w:szCs w:val="24"/>
          <w:lang w:val="ro-RO"/>
        </w:rPr>
        <w:t xml:space="preserve"> pentru banca care vinde titlurile sau mărfurile și un acord reverse </w:t>
      </w:r>
      <w:proofErr w:type="spellStart"/>
      <w:r w:rsidRPr="00C26A9B">
        <w:rPr>
          <w:rFonts w:ascii="Times New Roman" w:hAnsi="Times New Roman" w:cs="Times New Roman"/>
          <w:bCs/>
          <w:sz w:val="24"/>
          <w:szCs w:val="24"/>
          <w:lang w:val="ro-RO"/>
        </w:rPr>
        <w:t>repo</w:t>
      </w:r>
      <w:proofErr w:type="spellEnd"/>
      <w:r w:rsidRPr="00C26A9B">
        <w:rPr>
          <w:rFonts w:ascii="Times New Roman" w:hAnsi="Times New Roman" w:cs="Times New Roman"/>
          <w:bCs/>
          <w:sz w:val="24"/>
          <w:szCs w:val="24"/>
          <w:lang w:val="ro-RO"/>
        </w:rPr>
        <w:t xml:space="preserve"> pentru banca care le cumpără;</w:t>
      </w:r>
    </w:p>
    <w:p w14:paraId="31400D74" w14:textId="0C424105" w:rsidR="005F4EDB" w:rsidRPr="00C26A9B" w:rsidRDefault="005F4EDB" w:rsidP="00F800AB">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5.3. </w:t>
      </w:r>
      <w:r w:rsidRPr="00C26A9B">
        <w:rPr>
          <w:rFonts w:ascii="Times New Roman" w:hAnsi="Times New Roman" w:cs="Times New Roman"/>
          <w:bCs/>
          <w:i/>
          <w:iCs/>
          <w:sz w:val="24"/>
          <w:szCs w:val="24"/>
          <w:lang w:val="ro-RO"/>
        </w:rPr>
        <w:t xml:space="preserve">„acord </w:t>
      </w:r>
      <w:proofErr w:type="spellStart"/>
      <w:r w:rsidRPr="00C26A9B">
        <w:rPr>
          <w:rFonts w:ascii="Times New Roman" w:hAnsi="Times New Roman" w:cs="Times New Roman"/>
          <w:bCs/>
          <w:i/>
          <w:iCs/>
          <w:sz w:val="24"/>
          <w:szCs w:val="24"/>
          <w:lang w:val="ro-RO"/>
        </w:rPr>
        <w:t>repo</w:t>
      </w:r>
      <w:proofErr w:type="spellEnd"/>
      <w:r w:rsidRPr="00C26A9B">
        <w:rPr>
          <w:rFonts w:ascii="Times New Roman" w:hAnsi="Times New Roman" w:cs="Times New Roman"/>
          <w:bCs/>
          <w:i/>
          <w:iCs/>
          <w:sz w:val="24"/>
          <w:szCs w:val="24"/>
          <w:lang w:val="ro-RO"/>
        </w:rPr>
        <w:t xml:space="preserve"> simplu”</w:t>
      </w:r>
      <w:r w:rsidRPr="00C26A9B">
        <w:rPr>
          <w:rFonts w:ascii="Times New Roman" w:hAnsi="Times New Roman" w:cs="Times New Roman"/>
          <w:bCs/>
          <w:sz w:val="24"/>
          <w:szCs w:val="24"/>
          <w:lang w:val="ro-RO"/>
        </w:rPr>
        <w:t xml:space="preserve"> înseamnă o </w:t>
      </w:r>
      <w:proofErr w:type="spellStart"/>
      <w:r w:rsidRPr="00C26A9B">
        <w:rPr>
          <w:rFonts w:ascii="Times New Roman" w:hAnsi="Times New Roman" w:cs="Times New Roman"/>
          <w:bCs/>
          <w:sz w:val="24"/>
          <w:szCs w:val="24"/>
          <w:lang w:val="ro-RO"/>
        </w:rPr>
        <w:t>tranzacţie</w:t>
      </w:r>
      <w:proofErr w:type="spellEnd"/>
      <w:r w:rsidRPr="00C26A9B">
        <w:rPr>
          <w:rFonts w:ascii="Times New Roman" w:hAnsi="Times New Roman" w:cs="Times New Roman"/>
          <w:bCs/>
          <w:sz w:val="24"/>
          <w:szCs w:val="24"/>
          <w:lang w:val="ro-RO"/>
        </w:rPr>
        <w:t xml:space="preserve"> de răscumpărare a unui singur activ sau a unor active similare, </w:t>
      </w:r>
      <w:proofErr w:type="spellStart"/>
      <w:r w:rsidRPr="00C26A9B">
        <w:rPr>
          <w:rFonts w:ascii="Times New Roman" w:hAnsi="Times New Roman" w:cs="Times New Roman"/>
          <w:bCs/>
          <w:sz w:val="24"/>
          <w:szCs w:val="24"/>
          <w:lang w:val="ro-RO"/>
        </w:rPr>
        <w:t>necomplexe</w:t>
      </w:r>
      <w:proofErr w:type="spellEnd"/>
      <w:r w:rsidRPr="00C26A9B">
        <w:rPr>
          <w:rFonts w:ascii="Times New Roman" w:hAnsi="Times New Roman" w:cs="Times New Roman"/>
          <w:bCs/>
          <w:sz w:val="24"/>
          <w:szCs w:val="24"/>
          <w:lang w:val="ro-RO"/>
        </w:rPr>
        <w:t xml:space="preserve">, prin </w:t>
      </w:r>
      <w:proofErr w:type="spellStart"/>
      <w:r w:rsidRPr="00C26A9B">
        <w:rPr>
          <w:rFonts w:ascii="Times New Roman" w:hAnsi="Times New Roman" w:cs="Times New Roman"/>
          <w:bCs/>
          <w:sz w:val="24"/>
          <w:szCs w:val="24"/>
          <w:lang w:val="ro-RO"/>
        </w:rPr>
        <w:t>opoziţie</w:t>
      </w:r>
      <w:proofErr w:type="spellEnd"/>
      <w:r w:rsidRPr="00C26A9B">
        <w:rPr>
          <w:rFonts w:ascii="Times New Roman" w:hAnsi="Times New Roman" w:cs="Times New Roman"/>
          <w:bCs/>
          <w:sz w:val="24"/>
          <w:szCs w:val="24"/>
          <w:lang w:val="ro-RO"/>
        </w:rPr>
        <w:t xml:space="preserve"> cu un coș de active;</w:t>
      </w:r>
    </w:p>
    <w:p w14:paraId="73F7B54D" w14:textId="28B11B6D" w:rsidR="005F4EDB" w:rsidRPr="00C26A9B" w:rsidRDefault="005F4EDB" w:rsidP="00F800AB">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5.4. </w:t>
      </w:r>
      <w:r w:rsidRPr="00C26A9B">
        <w:rPr>
          <w:rFonts w:ascii="Times New Roman" w:hAnsi="Times New Roman" w:cs="Times New Roman"/>
          <w:bCs/>
          <w:i/>
          <w:iCs/>
          <w:sz w:val="24"/>
          <w:szCs w:val="24"/>
          <w:lang w:val="ro-RO"/>
        </w:rPr>
        <w:t>„birou de tranzacţionare”</w:t>
      </w:r>
      <w:r w:rsidRPr="00C26A9B">
        <w:rPr>
          <w:rFonts w:ascii="Times New Roman" w:hAnsi="Times New Roman" w:cs="Times New Roman"/>
          <w:bCs/>
          <w:sz w:val="24"/>
          <w:szCs w:val="24"/>
          <w:lang w:val="ro-RO"/>
        </w:rPr>
        <w:t xml:space="preserve"> înseamnă un grup de dealeri clar identificat, care este creat de bancă în conformitate cu </w:t>
      </w:r>
      <w:r w:rsidR="006A3F23">
        <w:rPr>
          <w:rFonts w:ascii="Times New Roman" w:hAnsi="Times New Roman" w:cs="Times New Roman"/>
          <w:bCs/>
          <w:sz w:val="24"/>
          <w:szCs w:val="24"/>
          <w:lang w:val="ro-RO"/>
        </w:rPr>
        <w:t>pct.32</w:t>
      </w:r>
      <w:r w:rsidRPr="00C26A9B">
        <w:rPr>
          <w:rFonts w:ascii="Times New Roman" w:hAnsi="Times New Roman" w:cs="Times New Roman"/>
          <w:bCs/>
          <w:sz w:val="24"/>
          <w:szCs w:val="24"/>
          <w:lang w:val="ro-RO"/>
        </w:rPr>
        <w:t xml:space="preserve"> pentru a gestiona împreună un portofoliu de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din portofoliul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sau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din afara portofoliului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la </w:t>
      </w:r>
      <w:r w:rsidR="00167AE8" w:rsidRPr="00167AE8">
        <w:rPr>
          <w:rFonts w:ascii="Times New Roman" w:hAnsi="Times New Roman" w:cs="Times New Roman"/>
          <w:bCs/>
          <w:sz w:val="24"/>
          <w:szCs w:val="24"/>
          <w:lang w:val="ro-RO"/>
        </w:rPr>
        <w:t>pct.</w:t>
      </w:r>
      <w:r w:rsidR="00167AE8">
        <w:rPr>
          <w:rFonts w:ascii="Times New Roman" w:hAnsi="Times New Roman" w:cs="Times New Roman"/>
          <w:bCs/>
          <w:sz w:val="24"/>
          <w:szCs w:val="24"/>
          <w:lang w:val="ro-RO"/>
        </w:rPr>
        <w:t>36 și 37</w:t>
      </w:r>
      <w:r w:rsidRPr="00C26A9B">
        <w:rPr>
          <w:rFonts w:ascii="Times New Roman" w:hAnsi="Times New Roman" w:cs="Times New Roman"/>
          <w:bCs/>
          <w:sz w:val="24"/>
          <w:szCs w:val="24"/>
          <w:lang w:val="ro-RO"/>
        </w:rPr>
        <w:t>, în conformitate cu o strategie de afaceri bine definită și coerentă, și care își desfășoară activitatea în cadrul aceleiași structuri de gestionare a riscurilor;</w:t>
      </w:r>
    </w:p>
    <w:p w14:paraId="17F44A5D" w14:textId="77777777" w:rsidR="00C47740" w:rsidRPr="00C26A9B" w:rsidRDefault="00C47740" w:rsidP="00C47740">
      <w:pPr>
        <w:rPr>
          <w:rFonts w:ascii="Times New Roman" w:hAnsi="Times New Roman" w:cs="Times New Roman"/>
          <w:bCs/>
          <w:sz w:val="24"/>
          <w:szCs w:val="24"/>
          <w:lang w:val="ro-RO"/>
        </w:rPr>
      </w:pPr>
      <w:bookmarkStart w:id="6" w:name="_Hlk200466960"/>
      <w:r w:rsidRPr="00C26A9B">
        <w:rPr>
          <w:rFonts w:ascii="Times New Roman" w:hAnsi="Times New Roman" w:cs="Times New Roman"/>
          <w:bCs/>
          <w:sz w:val="24"/>
          <w:szCs w:val="24"/>
          <w:lang w:val="ro-RO"/>
        </w:rPr>
        <w:t xml:space="preserve">5.5. </w:t>
      </w:r>
      <w:r w:rsidRPr="00C26A9B">
        <w:rPr>
          <w:rFonts w:ascii="Times New Roman" w:hAnsi="Times New Roman" w:cs="Times New Roman"/>
          <w:bCs/>
          <w:i/>
          <w:iCs/>
          <w:sz w:val="24"/>
          <w:szCs w:val="24"/>
          <w:lang w:val="ro-RO"/>
        </w:rPr>
        <w:t>„bursă recunoscută”</w:t>
      </w:r>
      <w:r w:rsidRPr="00C26A9B">
        <w:rPr>
          <w:rFonts w:ascii="Times New Roman" w:hAnsi="Times New Roman" w:cs="Times New Roman"/>
          <w:bCs/>
          <w:sz w:val="24"/>
          <w:szCs w:val="24"/>
          <w:lang w:val="ro-RO"/>
        </w:rPr>
        <w:t xml:space="preserve"> înseamnă o bursă care îndeplinește cumulativ următoarele </w:t>
      </w:r>
      <w:proofErr w:type="spellStart"/>
      <w:r w:rsidRPr="00C26A9B">
        <w:rPr>
          <w:rFonts w:ascii="Times New Roman" w:hAnsi="Times New Roman" w:cs="Times New Roman"/>
          <w:bCs/>
          <w:sz w:val="24"/>
          <w:szCs w:val="24"/>
          <w:lang w:val="ro-RO"/>
        </w:rPr>
        <w:t>condiţii</w:t>
      </w:r>
      <w:proofErr w:type="spellEnd"/>
      <w:r w:rsidRPr="00C26A9B">
        <w:rPr>
          <w:rFonts w:ascii="Times New Roman" w:hAnsi="Times New Roman" w:cs="Times New Roman"/>
          <w:bCs/>
          <w:sz w:val="24"/>
          <w:szCs w:val="24"/>
          <w:lang w:val="ro-RO"/>
        </w:rPr>
        <w:t>:</w:t>
      </w:r>
    </w:p>
    <w:p w14:paraId="479FAA6D" w14:textId="21B4CB9D" w:rsidR="00C47740" w:rsidRPr="00C26A9B" w:rsidRDefault="00C47740" w:rsidP="00C47740">
      <w:pPr>
        <w:rPr>
          <w:rFonts w:ascii="Times New Roman" w:hAnsi="Times New Roman" w:cs="Times New Roman"/>
          <w:bCs/>
          <w:sz w:val="24"/>
          <w:szCs w:val="24"/>
          <w:lang w:val="ro-RO"/>
        </w:rPr>
      </w:pPr>
      <w:r w:rsidRPr="00526E63">
        <w:rPr>
          <w:rFonts w:ascii="Times New Roman" w:hAnsi="Times New Roman" w:cs="Times New Roman"/>
          <w:bCs/>
          <w:sz w:val="24"/>
          <w:szCs w:val="24"/>
          <w:lang w:val="ro-RO"/>
        </w:rPr>
        <w:t>5.5.1.</w:t>
      </w:r>
      <w:r w:rsidRPr="00C26A9B">
        <w:rPr>
          <w:rFonts w:ascii="Times New Roman" w:hAnsi="Times New Roman" w:cs="Times New Roman"/>
          <w:bCs/>
          <w:sz w:val="24"/>
          <w:szCs w:val="24"/>
          <w:lang w:val="ro-RO"/>
        </w:rPr>
        <w:t xml:space="preserve"> este o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reglementată sau o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dintr-un alt stat considerată a fi echivalentă cu o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reglementată în conformitate cu </w:t>
      </w:r>
      <w:r w:rsidR="00526E63">
        <w:rPr>
          <w:rFonts w:ascii="Times New Roman" w:hAnsi="Times New Roman" w:cs="Times New Roman"/>
          <w:bCs/>
          <w:sz w:val="24"/>
          <w:szCs w:val="24"/>
          <w:lang w:val="ro-RO"/>
        </w:rPr>
        <w:t xml:space="preserve">prevederile Legii </w:t>
      </w:r>
      <w:r w:rsidR="00526E63" w:rsidRPr="00526E63">
        <w:rPr>
          <w:rFonts w:ascii="Times New Roman" w:hAnsi="Times New Roman" w:cs="Times New Roman"/>
          <w:bCs/>
          <w:sz w:val="24"/>
          <w:szCs w:val="24"/>
          <w:lang w:val="ro-RO"/>
        </w:rPr>
        <w:t xml:space="preserve">privind </w:t>
      </w:r>
      <w:proofErr w:type="spellStart"/>
      <w:r w:rsidR="00526E63" w:rsidRPr="00526E63">
        <w:rPr>
          <w:rFonts w:ascii="Times New Roman" w:hAnsi="Times New Roman" w:cs="Times New Roman"/>
          <w:bCs/>
          <w:sz w:val="24"/>
          <w:szCs w:val="24"/>
          <w:lang w:val="ro-RO"/>
        </w:rPr>
        <w:t>pieţele</w:t>
      </w:r>
      <w:proofErr w:type="spellEnd"/>
      <w:r w:rsidR="00526E63" w:rsidRPr="00526E63">
        <w:rPr>
          <w:rFonts w:ascii="Times New Roman" w:hAnsi="Times New Roman" w:cs="Times New Roman"/>
          <w:bCs/>
          <w:sz w:val="24"/>
          <w:szCs w:val="24"/>
          <w:lang w:val="ro-RO"/>
        </w:rPr>
        <w:t xml:space="preserve"> instrumentelor financiare și activitățile de investiții</w:t>
      </w:r>
      <w:r w:rsidRPr="00C26A9B">
        <w:rPr>
          <w:rFonts w:ascii="Times New Roman" w:hAnsi="Times New Roman" w:cs="Times New Roman"/>
          <w:bCs/>
          <w:sz w:val="24"/>
          <w:szCs w:val="24"/>
          <w:lang w:val="ro-RO"/>
        </w:rPr>
        <w:t>;</w:t>
      </w:r>
    </w:p>
    <w:p w14:paraId="51E8FEE9" w14:textId="489E090E" w:rsidR="005F4EDB" w:rsidRPr="00C26A9B" w:rsidRDefault="00C47740" w:rsidP="00C47740">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5.5.2. are un mecanism de compensare prin care contractele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în anexa nr.1 fac obiectul </w:t>
      </w:r>
      <w:proofErr w:type="spellStart"/>
      <w:r w:rsidRPr="00C26A9B">
        <w:rPr>
          <w:rFonts w:ascii="Times New Roman" w:hAnsi="Times New Roman" w:cs="Times New Roman"/>
          <w:bCs/>
          <w:sz w:val="24"/>
          <w:szCs w:val="24"/>
          <w:lang w:val="ro-RO"/>
        </w:rPr>
        <w:t>cerinţelor</w:t>
      </w:r>
      <w:proofErr w:type="spellEnd"/>
      <w:r w:rsidRPr="00C26A9B">
        <w:rPr>
          <w:rFonts w:ascii="Times New Roman" w:hAnsi="Times New Roman" w:cs="Times New Roman"/>
          <w:bCs/>
          <w:sz w:val="24"/>
          <w:szCs w:val="24"/>
          <w:lang w:val="ro-RO"/>
        </w:rPr>
        <w:t xml:space="preserve"> de marjă zilnică care, în opinia CNPF /</w:t>
      </w:r>
      <w:proofErr w:type="spellStart"/>
      <w:r w:rsidRPr="00C26A9B">
        <w:rPr>
          <w:rFonts w:ascii="Times New Roman" w:hAnsi="Times New Roman" w:cs="Times New Roman"/>
          <w:bCs/>
          <w:sz w:val="24"/>
          <w:szCs w:val="24"/>
          <w:lang w:val="ro-RO"/>
        </w:rPr>
        <w:t>autorităţilor</w:t>
      </w:r>
      <w:proofErr w:type="spellEnd"/>
      <w:r w:rsidRPr="00C26A9B">
        <w:rPr>
          <w:rFonts w:ascii="Times New Roman" w:hAnsi="Times New Roman" w:cs="Times New Roman"/>
          <w:bCs/>
          <w:sz w:val="24"/>
          <w:szCs w:val="24"/>
          <w:lang w:val="ro-RO"/>
        </w:rPr>
        <w:t xml:space="preserve"> competente</w:t>
      </w:r>
      <w:r w:rsidR="00D5198B">
        <w:rPr>
          <w:rFonts w:ascii="Times New Roman" w:hAnsi="Times New Roman" w:cs="Times New Roman"/>
          <w:bCs/>
          <w:sz w:val="24"/>
          <w:szCs w:val="24"/>
          <w:lang w:val="ro-RO"/>
        </w:rPr>
        <w:t xml:space="preserve"> din Uniunea Europeană</w:t>
      </w:r>
      <w:r w:rsidRPr="00C26A9B">
        <w:rPr>
          <w:rFonts w:ascii="Times New Roman" w:hAnsi="Times New Roman" w:cs="Times New Roman"/>
          <w:bCs/>
          <w:sz w:val="24"/>
          <w:szCs w:val="24"/>
          <w:lang w:val="ro-RO"/>
        </w:rPr>
        <w:t xml:space="preserve">, oferă o </w:t>
      </w:r>
      <w:proofErr w:type="spellStart"/>
      <w:r w:rsidRPr="00C26A9B">
        <w:rPr>
          <w:rFonts w:ascii="Times New Roman" w:hAnsi="Times New Roman" w:cs="Times New Roman"/>
          <w:bCs/>
          <w:sz w:val="24"/>
          <w:szCs w:val="24"/>
          <w:lang w:val="ro-RO"/>
        </w:rPr>
        <w:t>protecţie</w:t>
      </w:r>
      <w:proofErr w:type="spellEnd"/>
      <w:r w:rsidRPr="00C26A9B">
        <w:rPr>
          <w:rFonts w:ascii="Times New Roman" w:hAnsi="Times New Roman" w:cs="Times New Roman"/>
          <w:bCs/>
          <w:sz w:val="24"/>
          <w:szCs w:val="24"/>
          <w:lang w:val="ro-RO"/>
        </w:rPr>
        <w:t xml:space="preserve"> corespunzătoare;</w:t>
      </w:r>
      <w:bookmarkEnd w:id="6"/>
    </w:p>
    <w:p w14:paraId="6295E5D4" w14:textId="77777777" w:rsidR="006133A2" w:rsidRPr="00C26A9B" w:rsidRDefault="006133A2" w:rsidP="006133A2">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5.6. </w:t>
      </w:r>
      <w:r w:rsidRPr="00C26A9B">
        <w:rPr>
          <w:rFonts w:ascii="Times New Roman" w:hAnsi="Times New Roman" w:cs="Times New Roman"/>
          <w:bCs/>
          <w:i/>
          <w:iCs/>
          <w:sz w:val="24"/>
          <w:szCs w:val="24"/>
          <w:lang w:val="ro-RO"/>
        </w:rPr>
        <w:t>„instrument financiar”</w:t>
      </w:r>
      <w:r w:rsidRPr="00C26A9B">
        <w:rPr>
          <w:rFonts w:ascii="Times New Roman" w:hAnsi="Times New Roman" w:cs="Times New Roman"/>
          <w:bCs/>
          <w:sz w:val="24"/>
          <w:szCs w:val="24"/>
          <w:lang w:val="ro-RO"/>
        </w:rPr>
        <w:t xml:space="preserve"> înseamnă oricare dintre următoarele:</w:t>
      </w:r>
    </w:p>
    <w:p w14:paraId="2B9EE2AA" w14:textId="77777777" w:rsidR="006133A2" w:rsidRPr="00C26A9B" w:rsidRDefault="006133A2" w:rsidP="006133A2">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5.6.1. un contract care generează simultan un activ financiar, pentru una dintre </w:t>
      </w:r>
      <w:proofErr w:type="spellStart"/>
      <w:r w:rsidRPr="00C26A9B">
        <w:rPr>
          <w:rFonts w:ascii="Times New Roman" w:hAnsi="Times New Roman" w:cs="Times New Roman"/>
          <w:bCs/>
          <w:sz w:val="24"/>
          <w:szCs w:val="24"/>
          <w:lang w:val="ro-RO"/>
        </w:rPr>
        <w:t>părţi</w:t>
      </w:r>
      <w:proofErr w:type="spellEnd"/>
      <w:r w:rsidRPr="00C26A9B">
        <w:rPr>
          <w:rFonts w:ascii="Times New Roman" w:hAnsi="Times New Roman" w:cs="Times New Roman"/>
          <w:bCs/>
          <w:sz w:val="24"/>
          <w:szCs w:val="24"/>
          <w:lang w:val="ro-RO"/>
        </w:rPr>
        <w:t xml:space="preserve">, și un pasiv financiar sau un titlu de capital pentru cealaltă dintre </w:t>
      </w:r>
      <w:proofErr w:type="spellStart"/>
      <w:r w:rsidRPr="00C26A9B">
        <w:rPr>
          <w:rFonts w:ascii="Times New Roman" w:hAnsi="Times New Roman" w:cs="Times New Roman"/>
          <w:bCs/>
          <w:sz w:val="24"/>
          <w:szCs w:val="24"/>
          <w:lang w:val="ro-RO"/>
        </w:rPr>
        <w:t>părţi</w:t>
      </w:r>
      <w:proofErr w:type="spellEnd"/>
      <w:r w:rsidRPr="00C26A9B">
        <w:rPr>
          <w:rFonts w:ascii="Times New Roman" w:hAnsi="Times New Roman" w:cs="Times New Roman"/>
          <w:bCs/>
          <w:sz w:val="24"/>
          <w:szCs w:val="24"/>
          <w:lang w:val="ro-RO"/>
        </w:rPr>
        <w:t>;</w:t>
      </w:r>
    </w:p>
    <w:p w14:paraId="096A55C6" w14:textId="21F5C178" w:rsidR="006133A2" w:rsidRPr="00C26A9B" w:rsidRDefault="006133A2" w:rsidP="006133A2">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5.6.2. un instrument </w:t>
      </w:r>
      <w:r w:rsidR="00B75482">
        <w:rPr>
          <w:rFonts w:ascii="Times New Roman" w:hAnsi="Times New Roman" w:cs="Times New Roman"/>
          <w:bCs/>
          <w:sz w:val="24"/>
          <w:szCs w:val="24"/>
          <w:lang w:val="ro-RO"/>
        </w:rPr>
        <w:t>financiar definit de</w:t>
      </w:r>
      <w:r w:rsidRPr="00C26A9B">
        <w:rPr>
          <w:rFonts w:ascii="Times New Roman" w:hAnsi="Times New Roman" w:cs="Times New Roman"/>
          <w:bCs/>
          <w:sz w:val="24"/>
          <w:szCs w:val="24"/>
          <w:lang w:val="ro-RO"/>
        </w:rPr>
        <w:t xml:space="preserve"> Legea </w:t>
      </w:r>
      <w:r w:rsidR="006347B3" w:rsidRPr="006347B3">
        <w:rPr>
          <w:rFonts w:ascii="Times New Roman" w:hAnsi="Times New Roman" w:cs="Times New Roman"/>
          <w:bCs/>
          <w:sz w:val="24"/>
          <w:szCs w:val="24"/>
          <w:lang w:val="ro-RO"/>
        </w:rPr>
        <w:t xml:space="preserve">privind </w:t>
      </w:r>
      <w:proofErr w:type="spellStart"/>
      <w:r w:rsidR="006347B3" w:rsidRPr="006347B3">
        <w:rPr>
          <w:rFonts w:ascii="Times New Roman" w:hAnsi="Times New Roman" w:cs="Times New Roman"/>
          <w:bCs/>
          <w:sz w:val="24"/>
          <w:szCs w:val="24"/>
          <w:lang w:val="ro-RO"/>
        </w:rPr>
        <w:t>pieţele</w:t>
      </w:r>
      <w:proofErr w:type="spellEnd"/>
      <w:r w:rsidR="006347B3" w:rsidRPr="006347B3">
        <w:rPr>
          <w:rFonts w:ascii="Times New Roman" w:hAnsi="Times New Roman" w:cs="Times New Roman"/>
          <w:bCs/>
          <w:sz w:val="24"/>
          <w:szCs w:val="24"/>
          <w:lang w:val="ro-RO"/>
        </w:rPr>
        <w:t xml:space="preserve"> instrumentelor financiare și activitățile de investiții</w:t>
      </w:r>
      <w:r w:rsidRPr="00C26A9B">
        <w:rPr>
          <w:rFonts w:ascii="Times New Roman" w:hAnsi="Times New Roman" w:cs="Times New Roman"/>
          <w:bCs/>
          <w:sz w:val="24"/>
          <w:szCs w:val="24"/>
          <w:lang w:val="ro-RO"/>
        </w:rPr>
        <w:t>;</w:t>
      </w:r>
    </w:p>
    <w:p w14:paraId="4F694161" w14:textId="77777777" w:rsidR="006133A2" w:rsidRPr="00C26A9B" w:rsidRDefault="006133A2" w:rsidP="006133A2">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5.6.3. un instrument financiar derivat;</w:t>
      </w:r>
    </w:p>
    <w:p w14:paraId="13FE05C6" w14:textId="77777777" w:rsidR="006133A2" w:rsidRPr="00C26A9B" w:rsidRDefault="006133A2" w:rsidP="006133A2">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5.6.4. un instrument financiar primar;</w:t>
      </w:r>
    </w:p>
    <w:p w14:paraId="1330471D" w14:textId="77777777" w:rsidR="006133A2" w:rsidRPr="00C26A9B" w:rsidRDefault="006133A2" w:rsidP="006133A2">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5.6.5. un instrument de numerar.</w:t>
      </w:r>
    </w:p>
    <w:p w14:paraId="58B607CE" w14:textId="3E24D045" w:rsidR="006133A2" w:rsidRPr="00C26A9B" w:rsidRDefault="006133A2" w:rsidP="006133A2">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Instrumentele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la subpct.5.6.1, 5.6.2 și 5.6.3 sunt instrumente financiare numai dacă valoarea lor derivă din </w:t>
      </w:r>
      <w:proofErr w:type="spellStart"/>
      <w:r w:rsidRPr="00C26A9B">
        <w:rPr>
          <w:rFonts w:ascii="Times New Roman" w:hAnsi="Times New Roman" w:cs="Times New Roman"/>
          <w:bCs/>
          <w:sz w:val="24"/>
          <w:szCs w:val="24"/>
          <w:lang w:val="ro-RO"/>
        </w:rPr>
        <w:t>preţul</w:t>
      </w:r>
      <w:proofErr w:type="spellEnd"/>
      <w:r w:rsidRPr="00C26A9B">
        <w:rPr>
          <w:rFonts w:ascii="Times New Roman" w:hAnsi="Times New Roman" w:cs="Times New Roman"/>
          <w:bCs/>
          <w:sz w:val="24"/>
          <w:szCs w:val="24"/>
          <w:lang w:val="ro-RO"/>
        </w:rPr>
        <w:t xml:space="preserve"> unui instrument financiar-suport sau al altui element-suport, dintr-un indicator sau un indice.</w:t>
      </w:r>
    </w:p>
    <w:p w14:paraId="7C563305" w14:textId="11F03078" w:rsidR="006133A2" w:rsidRPr="00C26A9B" w:rsidRDefault="006133A2" w:rsidP="006133A2">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5.7. </w:t>
      </w:r>
      <w:r w:rsidRPr="00C26A9B">
        <w:rPr>
          <w:rFonts w:ascii="Times New Roman" w:hAnsi="Times New Roman" w:cs="Times New Roman"/>
          <w:bCs/>
          <w:i/>
          <w:iCs/>
          <w:sz w:val="24"/>
          <w:szCs w:val="24"/>
          <w:lang w:val="ro-RO"/>
        </w:rPr>
        <w:t>„marcarea la model”</w:t>
      </w:r>
      <w:r w:rsidRPr="00C26A9B">
        <w:rPr>
          <w:rFonts w:ascii="Times New Roman" w:hAnsi="Times New Roman" w:cs="Times New Roman"/>
          <w:bCs/>
          <w:sz w:val="24"/>
          <w:szCs w:val="24"/>
          <w:lang w:val="ro-RO"/>
        </w:rPr>
        <w:t xml:space="preserve"> înseamnă orice evaluare care trebuie raportată la un nivel de </w:t>
      </w:r>
      <w:proofErr w:type="spellStart"/>
      <w:r w:rsidRPr="00C26A9B">
        <w:rPr>
          <w:rFonts w:ascii="Times New Roman" w:hAnsi="Times New Roman" w:cs="Times New Roman"/>
          <w:bCs/>
          <w:sz w:val="24"/>
          <w:szCs w:val="24"/>
          <w:lang w:val="ro-RO"/>
        </w:rPr>
        <w:t>referinţă</w:t>
      </w:r>
      <w:proofErr w:type="spellEnd"/>
      <w:r w:rsidRPr="00C26A9B">
        <w:rPr>
          <w:rFonts w:ascii="Times New Roman" w:hAnsi="Times New Roman" w:cs="Times New Roman"/>
          <w:bCs/>
          <w:sz w:val="24"/>
          <w:szCs w:val="24"/>
          <w:lang w:val="ro-RO"/>
        </w:rPr>
        <w:t xml:space="preserve">, extrapolată sau calculată în alt mod pornind de la una sau mai multe date de intrare de pe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w:t>
      </w:r>
    </w:p>
    <w:p w14:paraId="0DD5894B" w14:textId="147FBCE5" w:rsidR="006133A2" w:rsidRPr="00C26A9B" w:rsidRDefault="006133A2" w:rsidP="006133A2">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5.8. </w:t>
      </w:r>
      <w:r w:rsidRPr="00C26A9B">
        <w:rPr>
          <w:rFonts w:ascii="Times New Roman" w:hAnsi="Times New Roman" w:cs="Times New Roman"/>
          <w:bCs/>
          <w:i/>
          <w:iCs/>
          <w:sz w:val="24"/>
          <w:szCs w:val="24"/>
          <w:lang w:val="ro-RO"/>
        </w:rPr>
        <w:t xml:space="preserve">„marcarea la </w:t>
      </w:r>
      <w:proofErr w:type="spellStart"/>
      <w:r w:rsidRPr="00C26A9B">
        <w:rPr>
          <w:rFonts w:ascii="Times New Roman" w:hAnsi="Times New Roman" w:cs="Times New Roman"/>
          <w:bCs/>
          <w:i/>
          <w:iCs/>
          <w:sz w:val="24"/>
          <w:szCs w:val="24"/>
          <w:lang w:val="ro-RO"/>
        </w:rPr>
        <w:t>piaţă</w:t>
      </w:r>
      <w:proofErr w:type="spellEnd"/>
      <w:r w:rsidRPr="00C26A9B">
        <w:rPr>
          <w:rFonts w:ascii="Times New Roman" w:hAnsi="Times New Roman" w:cs="Times New Roman"/>
          <w:bCs/>
          <w:i/>
          <w:iCs/>
          <w:sz w:val="24"/>
          <w:szCs w:val="24"/>
          <w:lang w:val="ro-RO"/>
        </w:rPr>
        <w:t>”</w:t>
      </w:r>
      <w:r w:rsidRPr="00C26A9B">
        <w:rPr>
          <w:rFonts w:ascii="Times New Roman" w:hAnsi="Times New Roman" w:cs="Times New Roman"/>
          <w:bCs/>
          <w:sz w:val="24"/>
          <w:szCs w:val="24"/>
          <w:lang w:val="ro-RO"/>
        </w:rPr>
        <w:t xml:space="preserve"> înseamnă evaluarea </w:t>
      </w:r>
      <w:proofErr w:type="spellStart"/>
      <w:r w:rsidRPr="00C26A9B">
        <w:rPr>
          <w:rFonts w:ascii="Times New Roman" w:hAnsi="Times New Roman" w:cs="Times New Roman"/>
          <w:bCs/>
          <w:sz w:val="24"/>
          <w:szCs w:val="24"/>
          <w:lang w:val="ro-RO"/>
        </w:rPr>
        <w:t>poziţiilor</w:t>
      </w:r>
      <w:proofErr w:type="spellEnd"/>
      <w:r w:rsidRPr="00C26A9B">
        <w:rPr>
          <w:rFonts w:ascii="Times New Roman" w:hAnsi="Times New Roman" w:cs="Times New Roman"/>
          <w:bCs/>
          <w:sz w:val="24"/>
          <w:szCs w:val="24"/>
          <w:lang w:val="ro-RO"/>
        </w:rPr>
        <w:t xml:space="preserve"> la </w:t>
      </w:r>
      <w:proofErr w:type="spellStart"/>
      <w:r w:rsidRPr="00C26A9B">
        <w:rPr>
          <w:rFonts w:ascii="Times New Roman" w:hAnsi="Times New Roman" w:cs="Times New Roman"/>
          <w:bCs/>
          <w:sz w:val="24"/>
          <w:szCs w:val="24"/>
          <w:lang w:val="ro-RO"/>
        </w:rPr>
        <w:t>preţuri</w:t>
      </w:r>
      <w:proofErr w:type="spellEnd"/>
      <w:r w:rsidRPr="00C26A9B">
        <w:rPr>
          <w:rFonts w:ascii="Times New Roman" w:hAnsi="Times New Roman" w:cs="Times New Roman"/>
          <w:bCs/>
          <w:sz w:val="24"/>
          <w:szCs w:val="24"/>
          <w:lang w:val="ro-RO"/>
        </w:rPr>
        <w:t xml:space="preserve"> de închidere direct disponibile, care provin din surse independente, inclusiv </w:t>
      </w:r>
      <w:proofErr w:type="spellStart"/>
      <w:r w:rsidRPr="00C26A9B">
        <w:rPr>
          <w:rFonts w:ascii="Times New Roman" w:hAnsi="Times New Roman" w:cs="Times New Roman"/>
          <w:bCs/>
          <w:sz w:val="24"/>
          <w:szCs w:val="24"/>
          <w:lang w:val="ro-RO"/>
        </w:rPr>
        <w:t>cotaţii</w:t>
      </w:r>
      <w:proofErr w:type="spellEnd"/>
      <w:r w:rsidRPr="00C26A9B">
        <w:rPr>
          <w:rFonts w:ascii="Times New Roman" w:hAnsi="Times New Roman" w:cs="Times New Roman"/>
          <w:bCs/>
          <w:sz w:val="24"/>
          <w:szCs w:val="24"/>
          <w:lang w:val="ro-RO"/>
        </w:rPr>
        <w:t xml:space="preserve"> bursiere, </w:t>
      </w:r>
      <w:proofErr w:type="spellStart"/>
      <w:r w:rsidRPr="00C26A9B">
        <w:rPr>
          <w:rFonts w:ascii="Times New Roman" w:hAnsi="Times New Roman" w:cs="Times New Roman"/>
          <w:bCs/>
          <w:sz w:val="24"/>
          <w:szCs w:val="24"/>
          <w:lang w:val="ro-RO"/>
        </w:rPr>
        <w:t>cotaţii</w:t>
      </w:r>
      <w:proofErr w:type="spellEnd"/>
      <w:r w:rsidRPr="00C26A9B">
        <w:rPr>
          <w:rFonts w:ascii="Times New Roman" w:hAnsi="Times New Roman" w:cs="Times New Roman"/>
          <w:bCs/>
          <w:sz w:val="24"/>
          <w:szCs w:val="24"/>
          <w:lang w:val="ro-RO"/>
        </w:rPr>
        <w:t xml:space="preserve"> electronice sau </w:t>
      </w:r>
      <w:proofErr w:type="spellStart"/>
      <w:r w:rsidRPr="00C26A9B">
        <w:rPr>
          <w:rFonts w:ascii="Times New Roman" w:hAnsi="Times New Roman" w:cs="Times New Roman"/>
          <w:bCs/>
          <w:sz w:val="24"/>
          <w:szCs w:val="24"/>
          <w:lang w:val="ro-RO"/>
        </w:rPr>
        <w:t>cotaţii</w:t>
      </w:r>
      <w:proofErr w:type="spellEnd"/>
      <w:r w:rsidRPr="00C26A9B">
        <w:rPr>
          <w:rFonts w:ascii="Times New Roman" w:hAnsi="Times New Roman" w:cs="Times New Roman"/>
          <w:bCs/>
          <w:sz w:val="24"/>
          <w:szCs w:val="24"/>
          <w:lang w:val="ro-RO"/>
        </w:rPr>
        <w:t xml:space="preserve"> provenite de la mai </w:t>
      </w:r>
      <w:proofErr w:type="spellStart"/>
      <w:r w:rsidRPr="00C26A9B">
        <w:rPr>
          <w:rFonts w:ascii="Times New Roman" w:hAnsi="Times New Roman" w:cs="Times New Roman"/>
          <w:bCs/>
          <w:sz w:val="24"/>
          <w:szCs w:val="24"/>
          <w:lang w:val="ro-RO"/>
        </w:rPr>
        <w:t>mulţi</w:t>
      </w:r>
      <w:proofErr w:type="spellEnd"/>
      <w:r w:rsidRPr="00C26A9B">
        <w:rPr>
          <w:rFonts w:ascii="Times New Roman" w:hAnsi="Times New Roman" w:cs="Times New Roman"/>
          <w:bCs/>
          <w:sz w:val="24"/>
          <w:szCs w:val="24"/>
          <w:lang w:val="ro-RO"/>
        </w:rPr>
        <w:t xml:space="preserve"> brokeri </w:t>
      </w:r>
      <w:proofErr w:type="spellStart"/>
      <w:r w:rsidRPr="00C26A9B">
        <w:rPr>
          <w:rFonts w:ascii="Times New Roman" w:hAnsi="Times New Roman" w:cs="Times New Roman"/>
          <w:bCs/>
          <w:sz w:val="24"/>
          <w:szCs w:val="24"/>
          <w:lang w:val="ro-RO"/>
        </w:rPr>
        <w:t>independenţi</w:t>
      </w:r>
      <w:proofErr w:type="spellEnd"/>
      <w:r w:rsidRPr="00C26A9B">
        <w:rPr>
          <w:rFonts w:ascii="Times New Roman" w:hAnsi="Times New Roman" w:cs="Times New Roman"/>
          <w:bCs/>
          <w:sz w:val="24"/>
          <w:szCs w:val="24"/>
          <w:lang w:val="ro-RO"/>
        </w:rPr>
        <w:t xml:space="preserve"> de renume;</w:t>
      </w:r>
    </w:p>
    <w:p w14:paraId="51A9246D" w14:textId="59E67AC4" w:rsidR="006133A2" w:rsidRPr="00C26A9B" w:rsidRDefault="006133A2" w:rsidP="006133A2">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5.9. </w:t>
      </w:r>
      <w:r w:rsidRPr="00C26A9B">
        <w:rPr>
          <w:rFonts w:ascii="Times New Roman" w:hAnsi="Times New Roman" w:cs="Times New Roman"/>
          <w:bCs/>
          <w:i/>
          <w:iCs/>
          <w:sz w:val="24"/>
          <w:szCs w:val="24"/>
          <w:lang w:val="ro-RO"/>
        </w:rPr>
        <w:t>„</w:t>
      </w:r>
      <w:proofErr w:type="spellStart"/>
      <w:r w:rsidRPr="00C26A9B">
        <w:rPr>
          <w:rFonts w:ascii="Times New Roman" w:hAnsi="Times New Roman" w:cs="Times New Roman"/>
          <w:bCs/>
          <w:i/>
          <w:iCs/>
          <w:sz w:val="24"/>
          <w:szCs w:val="24"/>
          <w:lang w:val="ro-RO"/>
        </w:rPr>
        <w:t>obligaţie</w:t>
      </w:r>
      <w:proofErr w:type="spellEnd"/>
      <w:r w:rsidRPr="00C26A9B">
        <w:rPr>
          <w:rFonts w:ascii="Times New Roman" w:hAnsi="Times New Roman" w:cs="Times New Roman"/>
          <w:bCs/>
          <w:i/>
          <w:iCs/>
          <w:sz w:val="24"/>
          <w:szCs w:val="24"/>
          <w:lang w:val="ro-RO"/>
        </w:rPr>
        <w:t xml:space="preserve"> de </w:t>
      </w:r>
      <w:proofErr w:type="spellStart"/>
      <w:r w:rsidRPr="00C26A9B">
        <w:rPr>
          <w:rFonts w:ascii="Times New Roman" w:hAnsi="Times New Roman" w:cs="Times New Roman"/>
          <w:bCs/>
          <w:i/>
          <w:iCs/>
          <w:sz w:val="24"/>
          <w:szCs w:val="24"/>
          <w:lang w:val="ro-RO"/>
        </w:rPr>
        <w:t>referinţă</w:t>
      </w:r>
      <w:proofErr w:type="spellEnd"/>
      <w:r w:rsidRPr="00C26A9B">
        <w:rPr>
          <w:rFonts w:ascii="Times New Roman" w:hAnsi="Times New Roman" w:cs="Times New Roman"/>
          <w:bCs/>
          <w:i/>
          <w:iCs/>
          <w:sz w:val="24"/>
          <w:szCs w:val="24"/>
          <w:lang w:val="ro-RO"/>
        </w:rPr>
        <w:t>”</w:t>
      </w:r>
      <w:r w:rsidRPr="00C26A9B">
        <w:rPr>
          <w:rFonts w:ascii="Times New Roman" w:hAnsi="Times New Roman" w:cs="Times New Roman"/>
          <w:bCs/>
          <w:sz w:val="24"/>
          <w:szCs w:val="24"/>
          <w:lang w:val="ro-RO"/>
        </w:rPr>
        <w:t xml:space="preserve"> înseamnă o </w:t>
      </w:r>
      <w:proofErr w:type="spellStart"/>
      <w:r w:rsidRPr="00C26A9B">
        <w:rPr>
          <w:rFonts w:ascii="Times New Roman" w:hAnsi="Times New Roman" w:cs="Times New Roman"/>
          <w:bCs/>
          <w:sz w:val="24"/>
          <w:szCs w:val="24"/>
          <w:lang w:val="ro-RO"/>
        </w:rPr>
        <w:t>obligaţie</w:t>
      </w:r>
      <w:proofErr w:type="spellEnd"/>
      <w:r w:rsidRPr="00C26A9B">
        <w:rPr>
          <w:rFonts w:ascii="Times New Roman" w:hAnsi="Times New Roman" w:cs="Times New Roman"/>
          <w:bCs/>
          <w:sz w:val="24"/>
          <w:szCs w:val="24"/>
          <w:lang w:val="ro-RO"/>
        </w:rPr>
        <w:t xml:space="preserve"> folosită în vederea stabilirii valorii de decontare în numerar a unui instrument financiar derivat de credit</w:t>
      </w:r>
      <w:r w:rsidR="008665A4" w:rsidRPr="00C26A9B">
        <w:rPr>
          <w:rFonts w:ascii="Times New Roman" w:hAnsi="Times New Roman" w:cs="Times New Roman"/>
          <w:bCs/>
          <w:sz w:val="24"/>
          <w:szCs w:val="24"/>
          <w:lang w:val="ro-RO"/>
        </w:rPr>
        <w:t>;</w:t>
      </w:r>
    </w:p>
    <w:p w14:paraId="44588636" w14:textId="1B208582" w:rsidR="008665A4" w:rsidRPr="00C26A9B" w:rsidRDefault="008665A4" w:rsidP="006133A2">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lastRenderedPageBreak/>
        <w:t xml:space="preserve">5.10. </w:t>
      </w:r>
      <w:r w:rsidRPr="00C26A9B">
        <w:rPr>
          <w:rFonts w:ascii="Times New Roman" w:hAnsi="Times New Roman" w:cs="Times New Roman"/>
          <w:bCs/>
          <w:i/>
          <w:iCs/>
          <w:sz w:val="24"/>
          <w:szCs w:val="24"/>
          <w:lang w:val="ro-RO"/>
        </w:rPr>
        <w:t>„</w:t>
      </w:r>
      <w:proofErr w:type="spellStart"/>
      <w:r w:rsidRPr="00C26A9B">
        <w:rPr>
          <w:rFonts w:ascii="Times New Roman" w:hAnsi="Times New Roman" w:cs="Times New Roman"/>
          <w:bCs/>
          <w:i/>
          <w:iCs/>
          <w:sz w:val="24"/>
          <w:szCs w:val="24"/>
          <w:lang w:val="ro-RO"/>
        </w:rPr>
        <w:t>operaţiune</w:t>
      </w:r>
      <w:proofErr w:type="spellEnd"/>
      <w:r w:rsidRPr="00C26A9B">
        <w:rPr>
          <w:rFonts w:ascii="Times New Roman" w:hAnsi="Times New Roman" w:cs="Times New Roman"/>
          <w:bCs/>
          <w:i/>
          <w:iCs/>
          <w:sz w:val="24"/>
          <w:szCs w:val="24"/>
          <w:lang w:val="ro-RO"/>
        </w:rPr>
        <w:t xml:space="preserve"> de </w:t>
      </w:r>
      <w:proofErr w:type="spellStart"/>
      <w:r w:rsidRPr="00C26A9B">
        <w:rPr>
          <w:rFonts w:ascii="Times New Roman" w:hAnsi="Times New Roman" w:cs="Times New Roman"/>
          <w:bCs/>
          <w:i/>
          <w:iCs/>
          <w:sz w:val="24"/>
          <w:szCs w:val="24"/>
          <w:lang w:val="ro-RO"/>
        </w:rPr>
        <w:t>finanţare</w:t>
      </w:r>
      <w:proofErr w:type="spellEnd"/>
      <w:r w:rsidRPr="00C26A9B">
        <w:rPr>
          <w:rFonts w:ascii="Times New Roman" w:hAnsi="Times New Roman" w:cs="Times New Roman"/>
          <w:bCs/>
          <w:i/>
          <w:iCs/>
          <w:sz w:val="24"/>
          <w:szCs w:val="24"/>
          <w:lang w:val="ro-RO"/>
        </w:rPr>
        <w:t xml:space="preserve"> prin instrumente financiare”</w:t>
      </w:r>
      <w:r w:rsidRPr="00C26A9B">
        <w:rPr>
          <w:rFonts w:ascii="Times New Roman" w:hAnsi="Times New Roman" w:cs="Times New Roman"/>
          <w:bCs/>
          <w:sz w:val="24"/>
          <w:szCs w:val="24"/>
          <w:lang w:val="ro-RO"/>
        </w:rPr>
        <w:t xml:space="preserve"> înseamnă o </w:t>
      </w:r>
      <w:proofErr w:type="spellStart"/>
      <w:r w:rsidRPr="00C26A9B">
        <w:rPr>
          <w:rFonts w:ascii="Times New Roman" w:hAnsi="Times New Roman" w:cs="Times New Roman"/>
          <w:bCs/>
          <w:sz w:val="24"/>
          <w:szCs w:val="24"/>
          <w:lang w:val="ro-RO"/>
        </w:rPr>
        <w:t>tranzacţie</w:t>
      </w:r>
      <w:proofErr w:type="spellEnd"/>
      <w:r w:rsidRPr="00C26A9B">
        <w:rPr>
          <w:rFonts w:ascii="Times New Roman" w:hAnsi="Times New Roman" w:cs="Times New Roman"/>
          <w:bCs/>
          <w:sz w:val="24"/>
          <w:szCs w:val="24"/>
          <w:lang w:val="ro-RO"/>
        </w:rPr>
        <w:t xml:space="preserve"> de răscumpărare, o </w:t>
      </w:r>
      <w:proofErr w:type="spellStart"/>
      <w:r w:rsidRPr="00C26A9B">
        <w:rPr>
          <w:rFonts w:ascii="Times New Roman" w:hAnsi="Times New Roman" w:cs="Times New Roman"/>
          <w:bCs/>
          <w:sz w:val="24"/>
          <w:szCs w:val="24"/>
          <w:lang w:val="ro-RO"/>
        </w:rPr>
        <w:t>tranzacţie</w:t>
      </w:r>
      <w:proofErr w:type="spellEnd"/>
      <w:r w:rsidRPr="00C26A9B">
        <w:rPr>
          <w:rFonts w:ascii="Times New Roman" w:hAnsi="Times New Roman" w:cs="Times New Roman"/>
          <w:bCs/>
          <w:sz w:val="24"/>
          <w:szCs w:val="24"/>
          <w:lang w:val="ro-RO"/>
        </w:rPr>
        <w:t xml:space="preserve"> de dare sau luare cu împrumut de titluri de valoare sau mărfuri sau o </w:t>
      </w:r>
      <w:proofErr w:type="spellStart"/>
      <w:r w:rsidRPr="00C26A9B">
        <w:rPr>
          <w:rFonts w:ascii="Times New Roman" w:hAnsi="Times New Roman" w:cs="Times New Roman"/>
          <w:bCs/>
          <w:sz w:val="24"/>
          <w:szCs w:val="24"/>
          <w:lang w:val="ro-RO"/>
        </w:rPr>
        <w:t>tranzacţie</w:t>
      </w:r>
      <w:proofErr w:type="spellEnd"/>
      <w:r w:rsidRPr="00C26A9B">
        <w:rPr>
          <w:rFonts w:ascii="Times New Roman" w:hAnsi="Times New Roman" w:cs="Times New Roman"/>
          <w:bCs/>
          <w:sz w:val="24"/>
          <w:szCs w:val="24"/>
          <w:lang w:val="ro-RO"/>
        </w:rPr>
        <w:t xml:space="preserve"> de creditare în marjă;</w:t>
      </w:r>
    </w:p>
    <w:p w14:paraId="6FCC3E70" w14:textId="2085E7D4" w:rsidR="00D4476B" w:rsidRPr="00C26A9B" w:rsidRDefault="00D4476B" w:rsidP="006133A2">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5.11. </w:t>
      </w:r>
      <w:r w:rsidRPr="00C26A9B">
        <w:rPr>
          <w:rFonts w:ascii="Times New Roman" w:hAnsi="Times New Roman" w:cs="Times New Roman"/>
          <w:bCs/>
          <w:i/>
          <w:iCs/>
          <w:sz w:val="24"/>
          <w:szCs w:val="24"/>
          <w:lang w:val="ro-RO"/>
        </w:rPr>
        <w:t>„</w:t>
      </w:r>
      <w:proofErr w:type="spellStart"/>
      <w:r w:rsidRPr="00C26A9B">
        <w:rPr>
          <w:rFonts w:ascii="Times New Roman" w:hAnsi="Times New Roman" w:cs="Times New Roman"/>
          <w:bCs/>
          <w:i/>
          <w:iCs/>
          <w:sz w:val="24"/>
          <w:szCs w:val="24"/>
          <w:lang w:val="ro-RO"/>
        </w:rPr>
        <w:t>piaţă</w:t>
      </w:r>
      <w:proofErr w:type="spellEnd"/>
      <w:r w:rsidRPr="00C26A9B">
        <w:rPr>
          <w:rFonts w:ascii="Times New Roman" w:hAnsi="Times New Roman" w:cs="Times New Roman"/>
          <w:bCs/>
          <w:i/>
          <w:iCs/>
          <w:sz w:val="24"/>
          <w:szCs w:val="24"/>
          <w:lang w:val="ro-RO"/>
        </w:rPr>
        <w:t xml:space="preserve"> reglementată”</w:t>
      </w:r>
      <w:r w:rsidRPr="00C26A9B">
        <w:rPr>
          <w:rFonts w:ascii="Times New Roman" w:hAnsi="Times New Roman" w:cs="Times New Roman"/>
          <w:bCs/>
          <w:sz w:val="24"/>
          <w:szCs w:val="24"/>
          <w:lang w:val="ro-RO"/>
        </w:rPr>
        <w:t xml:space="preserve"> înseamnă o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reglementată astfel cum este definită </w:t>
      </w:r>
      <w:r w:rsidR="00B75482">
        <w:rPr>
          <w:rFonts w:ascii="Times New Roman" w:hAnsi="Times New Roman" w:cs="Times New Roman"/>
          <w:bCs/>
          <w:sz w:val="24"/>
          <w:szCs w:val="24"/>
          <w:lang w:val="ro-RO"/>
        </w:rPr>
        <w:t>în</w:t>
      </w:r>
      <w:r w:rsidR="00526E63">
        <w:rPr>
          <w:rFonts w:ascii="Times New Roman" w:hAnsi="Times New Roman" w:cs="Times New Roman"/>
          <w:bCs/>
          <w:sz w:val="24"/>
          <w:szCs w:val="24"/>
          <w:lang w:val="ro-RO"/>
        </w:rPr>
        <w:t xml:space="preserve"> Legea </w:t>
      </w:r>
      <w:r w:rsidR="00526E63" w:rsidRPr="00526E63">
        <w:rPr>
          <w:rFonts w:ascii="Times New Roman" w:hAnsi="Times New Roman" w:cs="Times New Roman"/>
          <w:bCs/>
          <w:sz w:val="24"/>
          <w:szCs w:val="24"/>
          <w:lang w:val="ro-RO"/>
        </w:rPr>
        <w:t xml:space="preserve">privind </w:t>
      </w:r>
      <w:proofErr w:type="spellStart"/>
      <w:r w:rsidR="00526E63" w:rsidRPr="00526E63">
        <w:rPr>
          <w:rFonts w:ascii="Times New Roman" w:hAnsi="Times New Roman" w:cs="Times New Roman"/>
          <w:bCs/>
          <w:sz w:val="24"/>
          <w:szCs w:val="24"/>
          <w:lang w:val="ro-RO"/>
        </w:rPr>
        <w:t>pieţele</w:t>
      </w:r>
      <w:proofErr w:type="spellEnd"/>
      <w:r w:rsidR="00526E63" w:rsidRPr="00526E63">
        <w:rPr>
          <w:rFonts w:ascii="Times New Roman" w:hAnsi="Times New Roman" w:cs="Times New Roman"/>
          <w:bCs/>
          <w:sz w:val="24"/>
          <w:szCs w:val="24"/>
          <w:lang w:val="ro-RO"/>
        </w:rPr>
        <w:t xml:space="preserve"> instrumentelor financiare și activitățile de investiții</w:t>
      </w:r>
      <w:r w:rsidRPr="00C26A9B">
        <w:rPr>
          <w:rFonts w:ascii="Times New Roman" w:hAnsi="Times New Roman" w:cs="Times New Roman"/>
          <w:bCs/>
          <w:sz w:val="24"/>
          <w:szCs w:val="24"/>
          <w:lang w:val="ro-RO"/>
        </w:rPr>
        <w:t>;</w:t>
      </w:r>
    </w:p>
    <w:p w14:paraId="1A0271BA" w14:textId="2548C88E" w:rsidR="00D4476B" w:rsidRPr="00C26A9B" w:rsidRDefault="00D4476B" w:rsidP="006133A2">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5.12. </w:t>
      </w:r>
      <w:r w:rsidRPr="00C26A9B">
        <w:rPr>
          <w:rFonts w:ascii="Times New Roman" w:hAnsi="Times New Roman" w:cs="Times New Roman"/>
          <w:bCs/>
          <w:i/>
          <w:iCs/>
          <w:sz w:val="24"/>
          <w:szCs w:val="24"/>
          <w:lang w:val="ro-RO"/>
        </w:rPr>
        <w:t xml:space="preserve">„portofoliu de </w:t>
      </w:r>
      <w:proofErr w:type="spellStart"/>
      <w:r w:rsidRPr="00C26A9B">
        <w:rPr>
          <w:rFonts w:ascii="Times New Roman" w:hAnsi="Times New Roman" w:cs="Times New Roman"/>
          <w:bCs/>
          <w:i/>
          <w:iCs/>
          <w:sz w:val="24"/>
          <w:szCs w:val="24"/>
          <w:lang w:val="ro-RO"/>
        </w:rPr>
        <w:t>tranzacţionare</w:t>
      </w:r>
      <w:proofErr w:type="spellEnd"/>
      <w:r w:rsidRPr="00C26A9B">
        <w:rPr>
          <w:rFonts w:ascii="Times New Roman" w:hAnsi="Times New Roman" w:cs="Times New Roman"/>
          <w:bCs/>
          <w:i/>
          <w:iCs/>
          <w:sz w:val="24"/>
          <w:szCs w:val="24"/>
          <w:lang w:val="ro-RO"/>
        </w:rPr>
        <w:t>”</w:t>
      </w:r>
      <w:r w:rsidRPr="00C26A9B">
        <w:rPr>
          <w:rFonts w:ascii="Times New Roman" w:hAnsi="Times New Roman" w:cs="Times New Roman"/>
          <w:bCs/>
          <w:sz w:val="24"/>
          <w:szCs w:val="24"/>
          <w:lang w:val="ro-RO"/>
        </w:rPr>
        <w:t xml:space="preserve"> înseamnă toate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pe instrumente financiare și pe mărfuri </w:t>
      </w:r>
      <w:proofErr w:type="spellStart"/>
      <w:r w:rsidRPr="00C26A9B">
        <w:rPr>
          <w:rFonts w:ascii="Times New Roman" w:hAnsi="Times New Roman" w:cs="Times New Roman"/>
          <w:bCs/>
          <w:sz w:val="24"/>
          <w:szCs w:val="24"/>
          <w:lang w:val="ro-RO"/>
        </w:rPr>
        <w:t>deţinute</w:t>
      </w:r>
      <w:proofErr w:type="spellEnd"/>
      <w:r w:rsidRPr="00C26A9B">
        <w:rPr>
          <w:rFonts w:ascii="Times New Roman" w:hAnsi="Times New Roman" w:cs="Times New Roman"/>
          <w:bCs/>
          <w:sz w:val="24"/>
          <w:szCs w:val="24"/>
          <w:lang w:val="ro-RO"/>
        </w:rPr>
        <w:t xml:space="preserve"> de o bancă, fie cu </w:t>
      </w:r>
      <w:proofErr w:type="spellStart"/>
      <w:r w:rsidRPr="00C26A9B">
        <w:rPr>
          <w:rFonts w:ascii="Times New Roman" w:hAnsi="Times New Roman" w:cs="Times New Roman"/>
          <w:bCs/>
          <w:sz w:val="24"/>
          <w:szCs w:val="24"/>
          <w:lang w:val="ro-RO"/>
        </w:rPr>
        <w:t>intenţia</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tranzacţionării</w:t>
      </w:r>
      <w:proofErr w:type="spellEnd"/>
      <w:r w:rsidRPr="00C26A9B">
        <w:rPr>
          <w:rFonts w:ascii="Times New Roman" w:hAnsi="Times New Roman" w:cs="Times New Roman"/>
          <w:bCs/>
          <w:sz w:val="24"/>
          <w:szCs w:val="24"/>
          <w:lang w:val="ro-RO"/>
        </w:rPr>
        <w:t xml:space="preserve">, fie cu scopul de a acoperi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deţinute</w:t>
      </w:r>
      <w:proofErr w:type="spellEnd"/>
      <w:r w:rsidRPr="00C26A9B">
        <w:rPr>
          <w:rFonts w:ascii="Times New Roman" w:hAnsi="Times New Roman" w:cs="Times New Roman"/>
          <w:bCs/>
          <w:sz w:val="24"/>
          <w:szCs w:val="24"/>
          <w:lang w:val="ro-RO"/>
        </w:rPr>
        <w:t xml:space="preserve"> cu </w:t>
      </w:r>
      <w:proofErr w:type="spellStart"/>
      <w:r w:rsidRPr="00C26A9B">
        <w:rPr>
          <w:rFonts w:ascii="Times New Roman" w:hAnsi="Times New Roman" w:cs="Times New Roman"/>
          <w:bCs/>
          <w:sz w:val="24"/>
          <w:szCs w:val="24"/>
          <w:lang w:val="ro-RO"/>
        </w:rPr>
        <w:t>intenţia</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tranzacţionării</w:t>
      </w:r>
      <w:proofErr w:type="spellEnd"/>
      <w:r w:rsidRPr="00C26A9B">
        <w:rPr>
          <w:rFonts w:ascii="Times New Roman" w:hAnsi="Times New Roman" w:cs="Times New Roman"/>
          <w:bCs/>
          <w:sz w:val="24"/>
          <w:szCs w:val="24"/>
          <w:lang w:val="ro-RO"/>
        </w:rPr>
        <w:t xml:space="preserve"> în conformitate cu </w:t>
      </w:r>
      <w:r w:rsidR="00FF6FEE" w:rsidRPr="00C26A9B">
        <w:rPr>
          <w:rFonts w:ascii="Times New Roman" w:hAnsi="Times New Roman" w:cs="Times New Roman"/>
          <w:bCs/>
          <w:sz w:val="24"/>
          <w:szCs w:val="24"/>
          <w:lang w:val="ro-RO"/>
        </w:rPr>
        <w:t>secțiunea 3 din capitolul III</w:t>
      </w:r>
      <w:r w:rsidRPr="00C26A9B">
        <w:rPr>
          <w:rFonts w:ascii="Times New Roman" w:hAnsi="Times New Roman" w:cs="Times New Roman"/>
          <w:bCs/>
          <w:sz w:val="24"/>
          <w:szCs w:val="24"/>
          <w:lang w:val="ro-RO"/>
        </w:rPr>
        <w:t>;</w:t>
      </w:r>
    </w:p>
    <w:p w14:paraId="5AFAE324" w14:textId="77777777" w:rsidR="00D4476B" w:rsidRPr="00C26A9B" w:rsidRDefault="00D4476B" w:rsidP="00D4476B">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5.13. </w:t>
      </w:r>
      <w:r w:rsidRPr="00C26A9B">
        <w:rPr>
          <w:rFonts w:ascii="Times New Roman" w:hAnsi="Times New Roman" w:cs="Times New Roman"/>
          <w:bCs/>
          <w:i/>
          <w:iCs/>
          <w:sz w:val="24"/>
          <w:szCs w:val="24"/>
          <w:lang w:val="ro-RO"/>
        </w:rPr>
        <w:t>„</w:t>
      </w:r>
      <w:proofErr w:type="spellStart"/>
      <w:r w:rsidRPr="00C26A9B">
        <w:rPr>
          <w:rFonts w:ascii="Times New Roman" w:hAnsi="Times New Roman" w:cs="Times New Roman"/>
          <w:bCs/>
          <w:i/>
          <w:iCs/>
          <w:sz w:val="24"/>
          <w:szCs w:val="24"/>
          <w:lang w:val="ro-RO"/>
        </w:rPr>
        <w:t>poziţii</w:t>
      </w:r>
      <w:proofErr w:type="spellEnd"/>
      <w:r w:rsidRPr="00C26A9B">
        <w:rPr>
          <w:rFonts w:ascii="Times New Roman" w:hAnsi="Times New Roman" w:cs="Times New Roman"/>
          <w:bCs/>
          <w:i/>
          <w:iCs/>
          <w:sz w:val="24"/>
          <w:szCs w:val="24"/>
          <w:lang w:val="ro-RO"/>
        </w:rPr>
        <w:t xml:space="preserve"> </w:t>
      </w:r>
      <w:proofErr w:type="spellStart"/>
      <w:r w:rsidRPr="00C26A9B">
        <w:rPr>
          <w:rFonts w:ascii="Times New Roman" w:hAnsi="Times New Roman" w:cs="Times New Roman"/>
          <w:bCs/>
          <w:i/>
          <w:iCs/>
          <w:sz w:val="24"/>
          <w:szCs w:val="24"/>
          <w:lang w:val="ro-RO"/>
        </w:rPr>
        <w:t>deţinute</w:t>
      </w:r>
      <w:proofErr w:type="spellEnd"/>
      <w:r w:rsidRPr="00C26A9B">
        <w:rPr>
          <w:rFonts w:ascii="Times New Roman" w:hAnsi="Times New Roman" w:cs="Times New Roman"/>
          <w:bCs/>
          <w:i/>
          <w:iCs/>
          <w:sz w:val="24"/>
          <w:szCs w:val="24"/>
          <w:lang w:val="ro-RO"/>
        </w:rPr>
        <w:t xml:space="preserve"> cu </w:t>
      </w:r>
      <w:proofErr w:type="spellStart"/>
      <w:r w:rsidRPr="00C26A9B">
        <w:rPr>
          <w:rFonts w:ascii="Times New Roman" w:hAnsi="Times New Roman" w:cs="Times New Roman"/>
          <w:bCs/>
          <w:i/>
          <w:iCs/>
          <w:sz w:val="24"/>
          <w:szCs w:val="24"/>
          <w:lang w:val="ro-RO"/>
        </w:rPr>
        <w:t>intenţia</w:t>
      </w:r>
      <w:proofErr w:type="spellEnd"/>
      <w:r w:rsidRPr="00C26A9B">
        <w:rPr>
          <w:rFonts w:ascii="Times New Roman" w:hAnsi="Times New Roman" w:cs="Times New Roman"/>
          <w:bCs/>
          <w:i/>
          <w:iCs/>
          <w:sz w:val="24"/>
          <w:szCs w:val="24"/>
          <w:lang w:val="ro-RO"/>
        </w:rPr>
        <w:t xml:space="preserve"> </w:t>
      </w:r>
      <w:proofErr w:type="spellStart"/>
      <w:r w:rsidRPr="00C26A9B">
        <w:rPr>
          <w:rFonts w:ascii="Times New Roman" w:hAnsi="Times New Roman" w:cs="Times New Roman"/>
          <w:bCs/>
          <w:i/>
          <w:iCs/>
          <w:sz w:val="24"/>
          <w:szCs w:val="24"/>
          <w:lang w:val="ro-RO"/>
        </w:rPr>
        <w:t>tranzacţionării</w:t>
      </w:r>
      <w:proofErr w:type="spellEnd"/>
      <w:r w:rsidRPr="00C26A9B">
        <w:rPr>
          <w:rFonts w:ascii="Times New Roman" w:hAnsi="Times New Roman" w:cs="Times New Roman"/>
          <w:bCs/>
          <w:i/>
          <w:iCs/>
          <w:sz w:val="24"/>
          <w:szCs w:val="24"/>
          <w:lang w:val="ro-RO"/>
        </w:rPr>
        <w:t>”</w:t>
      </w:r>
      <w:r w:rsidRPr="00C26A9B">
        <w:rPr>
          <w:rFonts w:ascii="Times New Roman" w:hAnsi="Times New Roman" w:cs="Times New Roman"/>
          <w:bCs/>
          <w:sz w:val="24"/>
          <w:szCs w:val="24"/>
          <w:lang w:val="ro-RO"/>
        </w:rPr>
        <w:t xml:space="preserve"> înseamnă oricare dintre următoarele:</w:t>
      </w:r>
    </w:p>
    <w:p w14:paraId="65E8D47C" w14:textId="77777777" w:rsidR="00D4476B" w:rsidRPr="00C26A9B" w:rsidRDefault="00D4476B" w:rsidP="00D4476B">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5.13.1.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în cont propriu și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provenind din serviciile pentru </w:t>
      </w:r>
      <w:proofErr w:type="spellStart"/>
      <w:r w:rsidRPr="00C26A9B">
        <w:rPr>
          <w:rFonts w:ascii="Times New Roman" w:hAnsi="Times New Roman" w:cs="Times New Roman"/>
          <w:bCs/>
          <w:sz w:val="24"/>
          <w:szCs w:val="24"/>
          <w:lang w:val="ro-RO"/>
        </w:rPr>
        <w:t>clienţi</w:t>
      </w:r>
      <w:proofErr w:type="spellEnd"/>
      <w:r w:rsidRPr="00C26A9B">
        <w:rPr>
          <w:rFonts w:ascii="Times New Roman" w:hAnsi="Times New Roman" w:cs="Times New Roman"/>
          <w:bCs/>
          <w:sz w:val="24"/>
          <w:szCs w:val="24"/>
          <w:lang w:val="ro-RO"/>
        </w:rPr>
        <w:t xml:space="preserve"> și din formarea </w:t>
      </w:r>
      <w:proofErr w:type="spellStart"/>
      <w:r w:rsidRPr="00C26A9B">
        <w:rPr>
          <w:rFonts w:ascii="Times New Roman" w:hAnsi="Times New Roman" w:cs="Times New Roman"/>
          <w:bCs/>
          <w:sz w:val="24"/>
          <w:szCs w:val="24"/>
          <w:lang w:val="ro-RO"/>
        </w:rPr>
        <w:t>pieţei</w:t>
      </w:r>
      <w:proofErr w:type="spellEnd"/>
      <w:r w:rsidRPr="00C26A9B">
        <w:rPr>
          <w:rFonts w:ascii="Times New Roman" w:hAnsi="Times New Roman" w:cs="Times New Roman"/>
          <w:bCs/>
          <w:sz w:val="24"/>
          <w:szCs w:val="24"/>
          <w:lang w:val="ro-RO"/>
        </w:rPr>
        <w:t>;</w:t>
      </w:r>
    </w:p>
    <w:p w14:paraId="302C9547" w14:textId="77777777" w:rsidR="00D4476B" w:rsidRPr="00C26A9B" w:rsidRDefault="00D4476B" w:rsidP="00D4476B">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5.13.2.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destinate revânzării pe termen scurt;</w:t>
      </w:r>
    </w:p>
    <w:p w14:paraId="36CDCA75" w14:textId="3967A4C7" w:rsidR="00D4476B" w:rsidRPr="00C26A9B" w:rsidRDefault="00D4476B" w:rsidP="00D4476B">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5.13.3.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destinate să beneficieze de </w:t>
      </w:r>
      <w:proofErr w:type="spellStart"/>
      <w:r w:rsidRPr="00C26A9B">
        <w:rPr>
          <w:rFonts w:ascii="Times New Roman" w:hAnsi="Times New Roman" w:cs="Times New Roman"/>
          <w:bCs/>
          <w:sz w:val="24"/>
          <w:szCs w:val="24"/>
          <w:lang w:val="ro-RO"/>
        </w:rPr>
        <w:t>diferenţele</w:t>
      </w:r>
      <w:proofErr w:type="spellEnd"/>
      <w:r w:rsidRPr="00C26A9B">
        <w:rPr>
          <w:rFonts w:ascii="Times New Roman" w:hAnsi="Times New Roman" w:cs="Times New Roman"/>
          <w:bCs/>
          <w:sz w:val="24"/>
          <w:szCs w:val="24"/>
          <w:lang w:val="ro-RO"/>
        </w:rPr>
        <w:t xml:space="preserve">, reale sau așteptate pe termen scurt, dintre </w:t>
      </w:r>
      <w:proofErr w:type="spellStart"/>
      <w:r w:rsidRPr="00C26A9B">
        <w:rPr>
          <w:rFonts w:ascii="Times New Roman" w:hAnsi="Times New Roman" w:cs="Times New Roman"/>
          <w:bCs/>
          <w:sz w:val="24"/>
          <w:szCs w:val="24"/>
          <w:lang w:val="ro-RO"/>
        </w:rPr>
        <w:t>preţurile</w:t>
      </w:r>
      <w:proofErr w:type="spellEnd"/>
      <w:r w:rsidRPr="00C26A9B">
        <w:rPr>
          <w:rFonts w:ascii="Times New Roman" w:hAnsi="Times New Roman" w:cs="Times New Roman"/>
          <w:bCs/>
          <w:sz w:val="24"/>
          <w:szCs w:val="24"/>
          <w:lang w:val="ro-RO"/>
        </w:rPr>
        <w:t xml:space="preserve"> de cumpărare și cele de vânzare sau de alte </w:t>
      </w:r>
      <w:proofErr w:type="spellStart"/>
      <w:r w:rsidRPr="00C26A9B">
        <w:rPr>
          <w:rFonts w:ascii="Times New Roman" w:hAnsi="Times New Roman" w:cs="Times New Roman"/>
          <w:bCs/>
          <w:sz w:val="24"/>
          <w:szCs w:val="24"/>
          <w:lang w:val="ro-RO"/>
        </w:rPr>
        <w:t>variaţii</w:t>
      </w:r>
      <w:proofErr w:type="spellEnd"/>
      <w:r w:rsidRPr="00C26A9B">
        <w:rPr>
          <w:rFonts w:ascii="Times New Roman" w:hAnsi="Times New Roman" w:cs="Times New Roman"/>
          <w:bCs/>
          <w:sz w:val="24"/>
          <w:szCs w:val="24"/>
          <w:lang w:val="ro-RO"/>
        </w:rPr>
        <w:t xml:space="preserve"> ale </w:t>
      </w:r>
      <w:proofErr w:type="spellStart"/>
      <w:r w:rsidRPr="00C26A9B">
        <w:rPr>
          <w:rFonts w:ascii="Times New Roman" w:hAnsi="Times New Roman" w:cs="Times New Roman"/>
          <w:bCs/>
          <w:sz w:val="24"/>
          <w:szCs w:val="24"/>
          <w:lang w:val="ro-RO"/>
        </w:rPr>
        <w:t>preţurilor</w:t>
      </w:r>
      <w:proofErr w:type="spellEnd"/>
      <w:r w:rsidRPr="00C26A9B">
        <w:rPr>
          <w:rFonts w:ascii="Times New Roman" w:hAnsi="Times New Roman" w:cs="Times New Roman"/>
          <w:bCs/>
          <w:sz w:val="24"/>
          <w:szCs w:val="24"/>
          <w:lang w:val="ro-RO"/>
        </w:rPr>
        <w:t xml:space="preserve"> sau ale ratei dobânzii;</w:t>
      </w:r>
    </w:p>
    <w:p w14:paraId="3C1C0584" w14:textId="158F2F7F" w:rsidR="00D4476B" w:rsidRPr="00C26A9B" w:rsidRDefault="00901938" w:rsidP="006133A2">
      <w:pPr>
        <w:rPr>
          <w:rFonts w:ascii="Times New Roman" w:hAnsi="Times New Roman" w:cs="Times New Roman"/>
          <w:sz w:val="24"/>
          <w:szCs w:val="24"/>
          <w:lang w:val="ro-RO"/>
        </w:rPr>
      </w:pPr>
      <w:r w:rsidRPr="00C26A9B">
        <w:rPr>
          <w:rFonts w:ascii="Times New Roman" w:hAnsi="Times New Roman" w:cs="Times New Roman"/>
          <w:bCs/>
          <w:sz w:val="24"/>
          <w:szCs w:val="24"/>
          <w:lang w:val="ro-RO"/>
        </w:rPr>
        <w:t xml:space="preserve">5.14. </w:t>
      </w:r>
      <w:r w:rsidRPr="00C26A9B">
        <w:rPr>
          <w:rFonts w:ascii="Times New Roman" w:hAnsi="Times New Roman" w:cs="Times New Roman"/>
          <w:bCs/>
          <w:i/>
          <w:iCs/>
          <w:sz w:val="24"/>
          <w:szCs w:val="24"/>
          <w:lang w:val="ro-RO"/>
        </w:rPr>
        <w:t>„risc de marfă”</w:t>
      </w:r>
      <w:r w:rsidRPr="00C26A9B">
        <w:rPr>
          <w:rFonts w:ascii="Times New Roman" w:hAnsi="Times New Roman" w:cs="Times New Roman"/>
          <w:bCs/>
          <w:sz w:val="24"/>
          <w:szCs w:val="24"/>
          <w:lang w:val="ro-RO"/>
        </w:rPr>
        <w:t xml:space="preserve"> înseamnă riscul de pierderi rezultate din </w:t>
      </w:r>
      <w:proofErr w:type="spellStart"/>
      <w:r w:rsidRPr="00C26A9B">
        <w:rPr>
          <w:rFonts w:ascii="Times New Roman" w:hAnsi="Times New Roman" w:cs="Times New Roman"/>
          <w:bCs/>
          <w:sz w:val="24"/>
          <w:szCs w:val="24"/>
          <w:lang w:val="ro-RO"/>
        </w:rPr>
        <w:t>variaţiile</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preţurilor</w:t>
      </w:r>
      <w:proofErr w:type="spellEnd"/>
      <w:r w:rsidRPr="00C26A9B">
        <w:rPr>
          <w:rFonts w:ascii="Times New Roman" w:hAnsi="Times New Roman" w:cs="Times New Roman"/>
          <w:bCs/>
          <w:sz w:val="24"/>
          <w:szCs w:val="24"/>
          <w:lang w:val="ro-RO"/>
        </w:rPr>
        <w:t xml:space="preserve"> mărfurilor;</w:t>
      </w:r>
    </w:p>
    <w:p w14:paraId="0D243A69" w14:textId="41E19361" w:rsidR="00901938" w:rsidRPr="00C26A9B" w:rsidRDefault="00901938" w:rsidP="006133A2">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5.15. </w:t>
      </w:r>
      <w:r w:rsidRPr="00C26A9B">
        <w:rPr>
          <w:rFonts w:ascii="Times New Roman" w:hAnsi="Times New Roman" w:cs="Times New Roman"/>
          <w:bCs/>
          <w:i/>
          <w:iCs/>
          <w:sz w:val="24"/>
          <w:szCs w:val="24"/>
          <w:lang w:val="ro-RO"/>
        </w:rPr>
        <w:t>„risc valutar”</w:t>
      </w:r>
      <w:r w:rsidRPr="00C26A9B">
        <w:rPr>
          <w:rFonts w:ascii="Times New Roman" w:hAnsi="Times New Roman" w:cs="Times New Roman"/>
          <w:bCs/>
          <w:sz w:val="24"/>
          <w:szCs w:val="24"/>
          <w:lang w:val="ro-RO"/>
        </w:rPr>
        <w:t xml:space="preserve"> înseamnă riscul de pierderi rezultate din </w:t>
      </w:r>
      <w:proofErr w:type="spellStart"/>
      <w:r w:rsidRPr="00C26A9B">
        <w:rPr>
          <w:rFonts w:ascii="Times New Roman" w:hAnsi="Times New Roman" w:cs="Times New Roman"/>
          <w:bCs/>
          <w:sz w:val="24"/>
          <w:szCs w:val="24"/>
          <w:lang w:val="ro-RO"/>
        </w:rPr>
        <w:t>variaţiile</w:t>
      </w:r>
      <w:proofErr w:type="spellEnd"/>
      <w:r w:rsidRPr="00C26A9B">
        <w:rPr>
          <w:rFonts w:ascii="Times New Roman" w:hAnsi="Times New Roman" w:cs="Times New Roman"/>
          <w:bCs/>
          <w:sz w:val="24"/>
          <w:szCs w:val="24"/>
          <w:lang w:val="ro-RO"/>
        </w:rPr>
        <w:t xml:space="preserve"> cursurilor de schimb valutar;</w:t>
      </w:r>
    </w:p>
    <w:p w14:paraId="0755494C" w14:textId="26D887AA" w:rsidR="007F6206" w:rsidRPr="00C26A9B" w:rsidRDefault="007F6206" w:rsidP="006133A2">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5.16. </w:t>
      </w:r>
      <w:r w:rsidRPr="00C26A9B">
        <w:rPr>
          <w:rFonts w:ascii="Times New Roman" w:hAnsi="Times New Roman" w:cs="Times New Roman"/>
          <w:bCs/>
          <w:i/>
          <w:iCs/>
          <w:sz w:val="24"/>
          <w:szCs w:val="24"/>
          <w:lang w:val="ro-RO"/>
        </w:rPr>
        <w:t>„</w:t>
      </w:r>
      <w:proofErr w:type="spellStart"/>
      <w:r w:rsidRPr="00C26A9B">
        <w:rPr>
          <w:rFonts w:ascii="Times New Roman" w:hAnsi="Times New Roman" w:cs="Times New Roman"/>
          <w:bCs/>
          <w:i/>
          <w:iCs/>
          <w:sz w:val="24"/>
          <w:szCs w:val="24"/>
          <w:lang w:val="ro-RO"/>
        </w:rPr>
        <w:t>tranzacţie</w:t>
      </w:r>
      <w:proofErr w:type="spellEnd"/>
      <w:r w:rsidRPr="00C26A9B">
        <w:rPr>
          <w:rFonts w:ascii="Times New Roman" w:hAnsi="Times New Roman" w:cs="Times New Roman"/>
          <w:bCs/>
          <w:i/>
          <w:iCs/>
          <w:sz w:val="24"/>
          <w:szCs w:val="24"/>
          <w:lang w:val="ro-RO"/>
        </w:rPr>
        <w:t xml:space="preserve"> de răscumpărare”</w:t>
      </w:r>
      <w:r w:rsidRPr="00C26A9B">
        <w:rPr>
          <w:rFonts w:ascii="Times New Roman" w:hAnsi="Times New Roman" w:cs="Times New Roman"/>
          <w:bCs/>
          <w:sz w:val="24"/>
          <w:szCs w:val="24"/>
          <w:lang w:val="ro-RO"/>
        </w:rPr>
        <w:t xml:space="preserve"> înseamnă orice </w:t>
      </w:r>
      <w:proofErr w:type="spellStart"/>
      <w:r w:rsidRPr="00C26A9B">
        <w:rPr>
          <w:rFonts w:ascii="Times New Roman" w:hAnsi="Times New Roman" w:cs="Times New Roman"/>
          <w:bCs/>
          <w:sz w:val="24"/>
          <w:szCs w:val="24"/>
          <w:lang w:val="ro-RO"/>
        </w:rPr>
        <w:t>tranzacţie</w:t>
      </w:r>
      <w:proofErr w:type="spellEnd"/>
      <w:r w:rsidRPr="00C26A9B">
        <w:rPr>
          <w:rFonts w:ascii="Times New Roman" w:hAnsi="Times New Roman" w:cs="Times New Roman"/>
          <w:bCs/>
          <w:sz w:val="24"/>
          <w:szCs w:val="24"/>
          <w:lang w:val="ro-RO"/>
        </w:rPr>
        <w:t xml:space="preserve"> derulată în baza unui „acord </w:t>
      </w:r>
      <w:proofErr w:type="spellStart"/>
      <w:r w:rsidRPr="00C26A9B">
        <w:rPr>
          <w:rFonts w:ascii="Times New Roman" w:hAnsi="Times New Roman" w:cs="Times New Roman"/>
          <w:bCs/>
          <w:sz w:val="24"/>
          <w:szCs w:val="24"/>
          <w:lang w:val="ro-RO"/>
        </w:rPr>
        <w:t>repo</w:t>
      </w:r>
      <w:proofErr w:type="spellEnd"/>
      <w:r w:rsidRPr="00C26A9B">
        <w:rPr>
          <w:rFonts w:ascii="Times New Roman" w:hAnsi="Times New Roman" w:cs="Times New Roman"/>
          <w:bCs/>
          <w:sz w:val="24"/>
          <w:szCs w:val="24"/>
          <w:lang w:val="ro-RO"/>
        </w:rPr>
        <w:t xml:space="preserve">” sau a unui „acord reverse </w:t>
      </w:r>
      <w:proofErr w:type="spellStart"/>
      <w:r w:rsidRPr="00C26A9B">
        <w:rPr>
          <w:rFonts w:ascii="Times New Roman" w:hAnsi="Times New Roman" w:cs="Times New Roman"/>
          <w:bCs/>
          <w:sz w:val="24"/>
          <w:szCs w:val="24"/>
          <w:lang w:val="ro-RO"/>
        </w:rPr>
        <w:t>repo</w:t>
      </w:r>
      <w:proofErr w:type="spellEnd"/>
      <w:r w:rsidRPr="00C26A9B">
        <w:rPr>
          <w:rFonts w:ascii="Times New Roman" w:hAnsi="Times New Roman" w:cs="Times New Roman"/>
          <w:bCs/>
          <w:sz w:val="24"/>
          <w:szCs w:val="24"/>
          <w:lang w:val="ro-RO"/>
        </w:rPr>
        <w:t>”;</w:t>
      </w:r>
    </w:p>
    <w:p w14:paraId="2AB3E415" w14:textId="6DCC9A59" w:rsidR="007F6206" w:rsidRPr="00C26A9B" w:rsidRDefault="007F6206" w:rsidP="006133A2">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5.17. </w:t>
      </w:r>
      <w:r w:rsidRPr="00C26A9B">
        <w:rPr>
          <w:rFonts w:ascii="Times New Roman" w:hAnsi="Times New Roman" w:cs="Times New Roman"/>
          <w:bCs/>
          <w:i/>
          <w:iCs/>
          <w:sz w:val="24"/>
          <w:szCs w:val="24"/>
          <w:lang w:val="ro-RO"/>
        </w:rPr>
        <w:t xml:space="preserve">„verificare independentă a </w:t>
      </w:r>
      <w:proofErr w:type="spellStart"/>
      <w:r w:rsidRPr="00C26A9B">
        <w:rPr>
          <w:rFonts w:ascii="Times New Roman" w:hAnsi="Times New Roman" w:cs="Times New Roman"/>
          <w:bCs/>
          <w:i/>
          <w:iCs/>
          <w:sz w:val="24"/>
          <w:szCs w:val="24"/>
          <w:lang w:val="ro-RO"/>
        </w:rPr>
        <w:t>preţurilor</w:t>
      </w:r>
      <w:proofErr w:type="spellEnd"/>
      <w:r w:rsidRPr="00C26A9B">
        <w:rPr>
          <w:rFonts w:ascii="Times New Roman" w:hAnsi="Times New Roman" w:cs="Times New Roman"/>
          <w:bCs/>
          <w:i/>
          <w:iCs/>
          <w:sz w:val="24"/>
          <w:szCs w:val="24"/>
          <w:lang w:val="ro-RO"/>
        </w:rPr>
        <w:t>”</w:t>
      </w:r>
      <w:r w:rsidRPr="00C26A9B">
        <w:rPr>
          <w:rFonts w:ascii="Times New Roman" w:hAnsi="Times New Roman" w:cs="Times New Roman"/>
          <w:bCs/>
          <w:sz w:val="24"/>
          <w:szCs w:val="24"/>
          <w:lang w:val="ro-RO"/>
        </w:rPr>
        <w:t xml:space="preserve"> înseamnă un proces de verificare regulată a preciziei și </w:t>
      </w:r>
      <w:proofErr w:type="spellStart"/>
      <w:r w:rsidRPr="00C26A9B">
        <w:rPr>
          <w:rFonts w:ascii="Times New Roman" w:hAnsi="Times New Roman" w:cs="Times New Roman"/>
          <w:bCs/>
          <w:sz w:val="24"/>
          <w:szCs w:val="24"/>
          <w:lang w:val="ro-RO"/>
        </w:rPr>
        <w:t>independenţei</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preţurilor</w:t>
      </w:r>
      <w:proofErr w:type="spellEnd"/>
      <w:r w:rsidRPr="00C26A9B">
        <w:rPr>
          <w:rFonts w:ascii="Times New Roman" w:hAnsi="Times New Roman" w:cs="Times New Roman"/>
          <w:bCs/>
          <w:sz w:val="24"/>
          <w:szCs w:val="24"/>
          <w:lang w:val="ro-RO"/>
        </w:rPr>
        <w:t xml:space="preserve">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sau a datelor de intrare utilizate pentru marcarea la model</w:t>
      </w:r>
      <w:r w:rsidR="00812E6D" w:rsidRPr="00C26A9B">
        <w:rPr>
          <w:rFonts w:ascii="Times New Roman" w:hAnsi="Times New Roman" w:cs="Times New Roman"/>
          <w:bCs/>
          <w:sz w:val="24"/>
          <w:szCs w:val="24"/>
          <w:lang w:val="ro-RO"/>
        </w:rPr>
        <w:t>.</w:t>
      </w:r>
    </w:p>
    <w:p w14:paraId="6B3248CB" w14:textId="4B8361AB" w:rsidR="00FF6FEE" w:rsidRPr="00C26A9B" w:rsidRDefault="009A1F02" w:rsidP="006133A2">
      <w:pPr>
        <w:rPr>
          <w:rFonts w:ascii="Times New Roman" w:hAnsi="Times New Roman" w:cs="Times New Roman"/>
          <w:b/>
          <w:i/>
          <w:iCs/>
          <w:sz w:val="24"/>
          <w:szCs w:val="24"/>
          <w:lang w:val="ro-RO"/>
        </w:rPr>
      </w:pPr>
      <w:r w:rsidRPr="00C26A9B">
        <w:rPr>
          <w:rFonts w:ascii="Times New Roman" w:hAnsi="Times New Roman" w:cs="Times New Roman"/>
          <w:b/>
          <w:i/>
          <w:iCs/>
          <w:sz w:val="24"/>
          <w:szCs w:val="24"/>
          <w:lang w:val="ro-RO"/>
        </w:rPr>
        <w:t>CAPITOLUL III. PORTOFOLIUL DE TRANZACŢIONARE</w:t>
      </w:r>
    </w:p>
    <w:p w14:paraId="38CCDC81" w14:textId="7484BD23" w:rsidR="006C590E" w:rsidRPr="00C26A9B" w:rsidRDefault="006C590E" w:rsidP="006C590E">
      <w:pPr>
        <w:rPr>
          <w:rFonts w:ascii="Times New Roman" w:hAnsi="Times New Roman" w:cs="Times New Roman"/>
          <w:bCs/>
          <w:sz w:val="24"/>
          <w:szCs w:val="24"/>
          <w:lang w:val="ro-RO"/>
        </w:rPr>
      </w:pPr>
      <w:proofErr w:type="spellStart"/>
      <w:r w:rsidRPr="00CC1E9B">
        <w:rPr>
          <w:rFonts w:ascii="Times New Roman" w:hAnsi="Times New Roman" w:cs="Times New Roman"/>
          <w:b/>
          <w:sz w:val="24"/>
          <w:szCs w:val="24"/>
          <w:lang w:val="ro-RO"/>
        </w:rPr>
        <w:t>Secţiunea</w:t>
      </w:r>
      <w:proofErr w:type="spellEnd"/>
      <w:r w:rsidRPr="00CC1E9B">
        <w:rPr>
          <w:rFonts w:ascii="Times New Roman" w:hAnsi="Times New Roman" w:cs="Times New Roman"/>
          <w:b/>
          <w:sz w:val="24"/>
          <w:szCs w:val="24"/>
          <w:lang w:val="ro-RO"/>
        </w:rPr>
        <w:t xml:space="preserve"> 1.</w:t>
      </w:r>
      <w:r w:rsidRPr="00C26A9B">
        <w:rPr>
          <w:rFonts w:ascii="Times New Roman" w:hAnsi="Times New Roman" w:cs="Times New Roman"/>
          <w:bCs/>
          <w:i/>
          <w:iCs/>
          <w:sz w:val="24"/>
          <w:szCs w:val="24"/>
          <w:lang w:val="ro-RO"/>
        </w:rPr>
        <w:t xml:space="preserve"> </w:t>
      </w:r>
      <w:proofErr w:type="spellStart"/>
      <w:r w:rsidRPr="00C26A9B">
        <w:rPr>
          <w:rFonts w:ascii="Times New Roman" w:hAnsi="Times New Roman" w:cs="Times New Roman"/>
          <w:b/>
          <w:bCs/>
          <w:sz w:val="24"/>
          <w:szCs w:val="24"/>
          <w:lang w:val="ro-RO"/>
        </w:rPr>
        <w:t>Cerinţe</w:t>
      </w:r>
      <w:proofErr w:type="spellEnd"/>
      <w:r w:rsidRPr="00C26A9B">
        <w:rPr>
          <w:rFonts w:ascii="Times New Roman" w:hAnsi="Times New Roman" w:cs="Times New Roman"/>
          <w:b/>
          <w:bCs/>
          <w:sz w:val="24"/>
          <w:szCs w:val="24"/>
          <w:lang w:val="ro-RO"/>
        </w:rPr>
        <w:t xml:space="preserve"> pentru portofoliul de tranzacţionare</w:t>
      </w:r>
    </w:p>
    <w:p w14:paraId="0485D043" w14:textId="293D8966" w:rsidR="00812E6D" w:rsidRPr="00C26A9B" w:rsidRDefault="006C590E" w:rsidP="006C590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6. </w:t>
      </w:r>
      <w:proofErr w:type="spellStart"/>
      <w:r w:rsidR="00FF6FEE" w:rsidRPr="00C26A9B">
        <w:rPr>
          <w:rFonts w:ascii="Times New Roman" w:hAnsi="Times New Roman" w:cs="Times New Roman"/>
          <w:bCs/>
          <w:sz w:val="24"/>
          <w:szCs w:val="24"/>
          <w:lang w:val="ro-RO"/>
        </w:rPr>
        <w:t>Poziţiile</w:t>
      </w:r>
      <w:proofErr w:type="spellEnd"/>
      <w:r w:rsidR="00FF6FEE" w:rsidRPr="00C26A9B">
        <w:rPr>
          <w:rFonts w:ascii="Times New Roman" w:hAnsi="Times New Roman" w:cs="Times New Roman"/>
          <w:bCs/>
          <w:sz w:val="24"/>
          <w:szCs w:val="24"/>
          <w:lang w:val="ro-RO"/>
        </w:rPr>
        <w:t xml:space="preserve"> din portofoliul de tranzacţionare fie sunt lipsite de </w:t>
      </w:r>
      <w:proofErr w:type="spellStart"/>
      <w:r w:rsidR="00FF6FEE" w:rsidRPr="00C26A9B">
        <w:rPr>
          <w:rFonts w:ascii="Times New Roman" w:hAnsi="Times New Roman" w:cs="Times New Roman"/>
          <w:bCs/>
          <w:sz w:val="24"/>
          <w:szCs w:val="24"/>
          <w:lang w:val="ro-RO"/>
        </w:rPr>
        <w:t>restricţii</w:t>
      </w:r>
      <w:proofErr w:type="spellEnd"/>
      <w:r w:rsidR="00FF6FEE" w:rsidRPr="00C26A9B">
        <w:rPr>
          <w:rFonts w:ascii="Times New Roman" w:hAnsi="Times New Roman" w:cs="Times New Roman"/>
          <w:bCs/>
          <w:sz w:val="24"/>
          <w:szCs w:val="24"/>
          <w:lang w:val="ro-RO"/>
        </w:rPr>
        <w:t xml:space="preserve"> la </w:t>
      </w:r>
      <w:proofErr w:type="spellStart"/>
      <w:r w:rsidR="00FF6FEE" w:rsidRPr="00C26A9B">
        <w:rPr>
          <w:rFonts w:ascii="Times New Roman" w:hAnsi="Times New Roman" w:cs="Times New Roman"/>
          <w:bCs/>
          <w:sz w:val="24"/>
          <w:szCs w:val="24"/>
          <w:lang w:val="ro-RO"/>
        </w:rPr>
        <w:t>tranzacţionare</w:t>
      </w:r>
      <w:proofErr w:type="spellEnd"/>
      <w:r w:rsidR="00FF6FEE" w:rsidRPr="00C26A9B">
        <w:rPr>
          <w:rFonts w:ascii="Times New Roman" w:hAnsi="Times New Roman" w:cs="Times New Roman"/>
          <w:bCs/>
          <w:sz w:val="24"/>
          <w:szCs w:val="24"/>
          <w:lang w:val="ro-RO"/>
        </w:rPr>
        <w:t>, fie pot beneficia de acoperire.</w:t>
      </w:r>
    </w:p>
    <w:p w14:paraId="4B41E689" w14:textId="5DAFBD9C" w:rsidR="00FF6FEE" w:rsidRPr="00C26A9B" w:rsidRDefault="006C590E" w:rsidP="006C590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7.</w:t>
      </w:r>
      <w:r w:rsidRPr="00C26A9B">
        <w:rPr>
          <w:rFonts w:ascii="Times New Roman" w:hAnsi="Times New Roman" w:cs="Times New Roman"/>
          <w:bCs/>
          <w:color w:val="000000" w:themeColor="text1"/>
          <w:kern w:val="0"/>
          <w:lang w:val="ro-RO"/>
          <w14:ligatures w14:val="none"/>
        </w:rPr>
        <w:t xml:space="preserve"> </w:t>
      </w:r>
      <w:proofErr w:type="spellStart"/>
      <w:r w:rsidRPr="00C26A9B">
        <w:rPr>
          <w:rFonts w:ascii="Times New Roman" w:hAnsi="Times New Roman" w:cs="Times New Roman"/>
          <w:bCs/>
          <w:sz w:val="24"/>
          <w:szCs w:val="24"/>
          <w:lang w:val="ro-RO"/>
        </w:rPr>
        <w:t>Intenţia</w:t>
      </w:r>
      <w:proofErr w:type="spellEnd"/>
      <w:r w:rsidRPr="00C26A9B">
        <w:rPr>
          <w:rFonts w:ascii="Times New Roman" w:hAnsi="Times New Roman" w:cs="Times New Roman"/>
          <w:bCs/>
          <w:sz w:val="24"/>
          <w:szCs w:val="24"/>
          <w:lang w:val="ro-RO"/>
        </w:rPr>
        <w:t xml:space="preserve">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se demonstrează pe baza strategiilor, politicilor și procedurilor elaborate de bancă pentru a administra </w:t>
      </w:r>
      <w:proofErr w:type="spellStart"/>
      <w:r w:rsidRPr="00C26A9B">
        <w:rPr>
          <w:rFonts w:ascii="Times New Roman" w:hAnsi="Times New Roman" w:cs="Times New Roman"/>
          <w:bCs/>
          <w:sz w:val="24"/>
          <w:szCs w:val="24"/>
          <w:lang w:val="ro-RO"/>
        </w:rPr>
        <w:t>poziţia</w:t>
      </w:r>
      <w:proofErr w:type="spellEnd"/>
      <w:r w:rsidRPr="00C26A9B">
        <w:rPr>
          <w:rFonts w:ascii="Times New Roman" w:hAnsi="Times New Roman" w:cs="Times New Roman"/>
          <w:bCs/>
          <w:sz w:val="24"/>
          <w:szCs w:val="24"/>
          <w:lang w:val="ro-RO"/>
        </w:rPr>
        <w:t xml:space="preserve"> sau portofoliul în conformitate cu secțiunile 1, 2 și 3.</w:t>
      </w:r>
    </w:p>
    <w:p w14:paraId="1B9F80D9" w14:textId="33A96744" w:rsidR="006C590E" w:rsidRPr="00C26A9B" w:rsidRDefault="006C590E" w:rsidP="006C590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8. Băncile pun în </w:t>
      </w:r>
      <w:proofErr w:type="spellStart"/>
      <w:r w:rsidRPr="00C26A9B">
        <w:rPr>
          <w:rFonts w:ascii="Times New Roman" w:hAnsi="Times New Roman" w:cs="Times New Roman"/>
          <w:bCs/>
          <w:sz w:val="24"/>
          <w:szCs w:val="24"/>
          <w:lang w:val="ro-RO"/>
        </w:rPr>
        <w:t>funcţiune</w:t>
      </w:r>
      <w:proofErr w:type="spellEnd"/>
      <w:r w:rsidRPr="00C26A9B">
        <w:rPr>
          <w:rFonts w:ascii="Times New Roman" w:hAnsi="Times New Roman" w:cs="Times New Roman"/>
          <w:bCs/>
          <w:sz w:val="24"/>
          <w:szCs w:val="24"/>
          <w:lang w:val="ro-RO"/>
        </w:rPr>
        <w:t xml:space="preserve"> și </w:t>
      </w:r>
      <w:proofErr w:type="spellStart"/>
      <w:r w:rsidRPr="00C26A9B">
        <w:rPr>
          <w:rFonts w:ascii="Times New Roman" w:hAnsi="Times New Roman" w:cs="Times New Roman"/>
          <w:bCs/>
          <w:sz w:val="24"/>
          <w:szCs w:val="24"/>
          <w:lang w:val="ro-RO"/>
        </w:rPr>
        <w:t>menţin</w:t>
      </w:r>
      <w:proofErr w:type="spellEnd"/>
      <w:r w:rsidRPr="00C26A9B">
        <w:rPr>
          <w:rFonts w:ascii="Times New Roman" w:hAnsi="Times New Roman" w:cs="Times New Roman"/>
          <w:bCs/>
          <w:sz w:val="24"/>
          <w:szCs w:val="24"/>
          <w:lang w:val="ro-RO"/>
        </w:rPr>
        <w:t xml:space="preserve"> sisteme și controale pentru a-și gestiona portofoliul de tranzacţionare în conformitate cu secțiunea 2.</w:t>
      </w:r>
    </w:p>
    <w:p w14:paraId="156EF3D5" w14:textId="3B45D56C" w:rsidR="006C590E" w:rsidRPr="00C26A9B" w:rsidRDefault="006C590E" w:rsidP="006C590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9. În scopul calculării </w:t>
      </w:r>
      <w:proofErr w:type="spellStart"/>
      <w:r w:rsidRPr="00C26A9B">
        <w:rPr>
          <w:rFonts w:ascii="Times New Roman" w:hAnsi="Times New Roman" w:cs="Times New Roman"/>
          <w:bCs/>
          <w:sz w:val="24"/>
          <w:szCs w:val="24"/>
          <w:lang w:val="ro-RO"/>
        </w:rPr>
        <w:t>cerinţelor</w:t>
      </w:r>
      <w:proofErr w:type="spellEnd"/>
      <w:r w:rsidRPr="00C26A9B">
        <w:rPr>
          <w:rFonts w:ascii="Times New Roman" w:hAnsi="Times New Roman" w:cs="Times New Roman"/>
          <w:bCs/>
          <w:sz w:val="24"/>
          <w:szCs w:val="24"/>
          <w:lang w:val="ro-RO"/>
        </w:rPr>
        <w:t xml:space="preserve"> de fonduri proprii pentru riscul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în conformitate cu abordarea </w:t>
      </w:r>
      <w:proofErr w:type="spellStart"/>
      <w:r w:rsidRPr="00C26A9B">
        <w:rPr>
          <w:rFonts w:ascii="Times New Roman" w:hAnsi="Times New Roman" w:cs="Times New Roman"/>
          <w:bCs/>
          <w:sz w:val="24"/>
          <w:szCs w:val="24"/>
          <w:lang w:val="ro-RO"/>
        </w:rPr>
        <w:t>menţionată</w:t>
      </w:r>
      <w:proofErr w:type="spellEnd"/>
      <w:r w:rsidRPr="00C26A9B">
        <w:rPr>
          <w:rFonts w:ascii="Times New Roman" w:hAnsi="Times New Roman" w:cs="Times New Roman"/>
          <w:bCs/>
          <w:sz w:val="24"/>
          <w:szCs w:val="24"/>
          <w:lang w:val="ro-RO"/>
        </w:rPr>
        <w:t xml:space="preserve"> </w:t>
      </w:r>
      <w:r w:rsidRPr="00167AE8">
        <w:rPr>
          <w:rFonts w:ascii="Times New Roman" w:hAnsi="Times New Roman" w:cs="Times New Roman"/>
          <w:bCs/>
          <w:sz w:val="24"/>
          <w:szCs w:val="24"/>
          <w:lang w:val="ro-RO"/>
        </w:rPr>
        <w:t>la</w:t>
      </w:r>
      <w:r w:rsidR="0037463F">
        <w:rPr>
          <w:rFonts w:ascii="Times New Roman" w:hAnsi="Times New Roman" w:cs="Times New Roman"/>
          <w:bCs/>
          <w:sz w:val="24"/>
          <w:szCs w:val="24"/>
          <w:lang w:val="ro-RO"/>
        </w:rPr>
        <w:t xml:space="preserve"> </w:t>
      </w:r>
      <w:r w:rsidR="00167AE8" w:rsidRPr="00167AE8">
        <w:rPr>
          <w:rFonts w:ascii="Times New Roman" w:hAnsi="Times New Roman" w:cs="Times New Roman"/>
          <w:bCs/>
          <w:sz w:val="24"/>
          <w:szCs w:val="24"/>
          <w:lang w:val="ro-RO"/>
        </w:rPr>
        <w:t>subpct</w:t>
      </w:r>
      <w:r w:rsidR="00167AE8">
        <w:rPr>
          <w:rFonts w:ascii="Times New Roman" w:hAnsi="Times New Roman" w:cs="Times New Roman"/>
          <w:bCs/>
          <w:sz w:val="24"/>
          <w:szCs w:val="24"/>
          <w:lang w:val="ro-RO"/>
        </w:rPr>
        <w:t>.69.2</w:t>
      </w:r>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din portofoliul de tranzacţionare sunt atribuite birourilor de tranzacţionare.</w:t>
      </w:r>
    </w:p>
    <w:p w14:paraId="01E00FB1" w14:textId="0BC6A417" w:rsidR="006C590E" w:rsidRPr="00C26A9B" w:rsidRDefault="006C590E" w:rsidP="006C590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10.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din portofoliul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fac obiectul </w:t>
      </w:r>
      <w:proofErr w:type="spellStart"/>
      <w:r w:rsidRPr="00C26A9B">
        <w:rPr>
          <w:rFonts w:ascii="Times New Roman" w:hAnsi="Times New Roman" w:cs="Times New Roman"/>
          <w:bCs/>
          <w:sz w:val="24"/>
          <w:szCs w:val="24"/>
          <w:lang w:val="ro-RO"/>
        </w:rPr>
        <w:t>cerinţelor</w:t>
      </w:r>
      <w:proofErr w:type="spellEnd"/>
      <w:r w:rsidRPr="00C26A9B">
        <w:rPr>
          <w:rFonts w:ascii="Times New Roman" w:hAnsi="Times New Roman" w:cs="Times New Roman"/>
          <w:bCs/>
          <w:sz w:val="24"/>
          <w:szCs w:val="24"/>
          <w:lang w:val="ro-RO"/>
        </w:rPr>
        <w:t xml:space="preserve"> de evaluare prudentă specificate la secțiunea 7.</w:t>
      </w:r>
    </w:p>
    <w:p w14:paraId="3A68A555" w14:textId="5B9B75F5" w:rsidR="006C590E" w:rsidRPr="00C26A9B" w:rsidRDefault="006C590E" w:rsidP="006C590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11. Băncile tratează acoperirile interne în conformitate cu secțiunea 8.</w:t>
      </w:r>
    </w:p>
    <w:p w14:paraId="3C6D41A7" w14:textId="64C8974B" w:rsidR="006C590E" w:rsidRPr="00C26A9B" w:rsidRDefault="00F55564" w:rsidP="006C590E">
      <w:pPr>
        <w:rPr>
          <w:rFonts w:ascii="Times New Roman" w:hAnsi="Times New Roman" w:cs="Times New Roman"/>
          <w:bCs/>
          <w:sz w:val="24"/>
          <w:szCs w:val="24"/>
          <w:lang w:val="ro-RO"/>
        </w:rPr>
      </w:pPr>
      <w:proofErr w:type="spellStart"/>
      <w:r w:rsidRPr="00CC1E9B">
        <w:rPr>
          <w:rFonts w:ascii="Times New Roman" w:hAnsi="Times New Roman" w:cs="Times New Roman"/>
          <w:b/>
          <w:sz w:val="24"/>
          <w:szCs w:val="24"/>
          <w:lang w:val="ro-RO"/>
        </w:rPr>
        <w:t>Secţiunea</w:t>
      </w:r>
      <w:proofErr w:type="spellEnd"/>
      <w:r w:rsidRPr="00CC1E9B">
        <w:rPr>
          <w:rFonts w:ascii="Times New Roman" w:hAnsi="Times New Roman" w:cs="Times New Roman"/>
          <w:b/>
          <w:sz w:val="24"/>
          <w:szCs w:val="24"/>
          <w:lang w:val="ro-RO"/>
        </w:rPr>
        <w:t xml:space="preserve"> 2.</w:t>
      </w:r>
      <w:r w:rsidRPr="00C26A9B">
        <w:rPr>
          <w:rFonts w:ascii="Times New Roman" w:hAnsi="Times New Roman" w:cs="Times New Roman"/>
          <w:bCs/>
          <w:i/>
          <w:iCs/>
          <w:sz w:val="24"/>
          <w:szCs w:val="24"/>
          <w:lang w:val="ro-RO"/>
        </w:rPr>
        <w:t xml:space="preserve"> </w:t>
      </w:r>
      <w:r w:rsidRPr="00C26A9B">
        <w:rPr>
          <w:rFonts w:ascii="Times New Roman" w:hAnsi="Times New Roman" w:cs="Times New Roman"/>
          <w:b/>
          <w:bCs/>
          <w:sz w:val="24"/>
          <w:szCs w:val="24"/>
          <w:lang w:val="ro-RO"/>
        </w:rPr>
        <w:t>Administrarea portofoliului de tranzacţionare</w:t>
      </w:r>
    </w:p>
    <w:p w14:paraId="709249CC" w14:textId="77777777" w:rsidR="00E558C5" w:rsidRPr="00C26A9B" w:rsidRDefault="00E558C5" w:rsidP="00E558C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12. Băncile dispun de politici și proceduri clar definite pentru administrarea globală a portofoliului de tranzacţionare. Politicile și procedurile respective acoperă cel </w:t>
      </w:r>
      <w:proofErr w:type="spellStart"/>
      <w:r w:rsidRPr="00C26A9B">
        <w:rPr>
          <w:rFonts w:ascii="Times New Roman" w:hAnsi="Times New Roman" w:cs="Times New Roman"/>
          <w:bCs/>
          <w:sz w:val="24"/>
          <w:szCs w:val="24"/>
          <w:lang w:val="ro-RO"/>
        </w:rPr>
        <w:t>puţin</w:t>
      </w:r>
      <w:proofErr w:type="spellEnd"/>
      <w:r w:rsidRPr="00C26A9B">
        <w:rPr>
          <w:rFonts w:ascii="Times New Roman" w:hAnsi="Times New Roman" w:cs="Times New Roman"/>
          <w:bCs/>
          <w:sz w:val="24"/>
          <w:szCs w:val="24"/>
          <w:lang w:val="ro-RO"/>
        </w:rPr>
        <w:t>:</w:t>
      </w:r>
    </w:p>
    <w:p w14:paraId="3725FF09" w14:textId="77777777" w:rsidR="00E558C5" w:rsidRPr="00C26A9B" w:rsidRDefault="00E558C5" w:rsidP="00E558C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12.1. </w:t>
      </w:r>
      <w:proofErr w:type="spellStart"/>
      <w:r w:rsidRPr="00C26A9B">
        <w:rPr>
          <w:rFonts w:ascii="Times New Roman" w:hAnsi="Times New Roman" w:cs="Times New Roman"/>
          <w:bCs/>
          <w:sz w:val="24"/>
          <w:szCs w:val="24"/>
          <w:lang w:val="ro-RO"/>
        </w:rPr>
        <w:t>activităţile</w:t>
      </w:r>
      <w:proofErr w:type="spellEnd"/>
      <w:r w:rsidRPr="00C26A9B">
        <w:rPr>
          <w:rFonts w:ascii="Times New Roman" w:hAnsi="Times New Roman" w:cs="Times New Roman"/>
          <w:bCs/>
          <w:sz w:val="24"/>
          <w:szCs w:val="24"/>
          <w:lang w:val="ro-RO"/>
        </w:rPr>
        <w:t xml:space="preserve"> pe care banca le consideră a fi </w:t>
      </w:r>
      <w:proofErr w:type="spellStart"/>
      <w:r w:rsidRPr="00C26A9B">
        <w:rPr>
          <w:rFonts w:ascii="Times New Roman" w:hAnsi="Times New Roman" w:cs="Times New Roman"/>
          <w:bCs/>
          <w:sz w:val="24"/>
          <w:szCs w:val="24"/>
          <w:lang w:val="ro-RO"/>
        </w:rPr>
        <w:t>activităţi</w:t>
      </w:r>
      <w:proofErr w:type="spellEnd"/>
      <w:r w:rsidRPr="00C26A9B">
        <w:rPr>
          <w:rFonts w:ascii="Times New Roman" w:hAnsi="Times New Roman" w:cs="Times New Roman"/>
          <w:bCs/>
          <w:sz w:val="24"/>
          <w:szCs w:val="24"/>
          <w:lang w:val="ro-RO"/>
        </w:rPr>
        <w:t xml:space="preserve">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și parte constitutivă a portofoliului de tranzacţionare în scopul calculării </w:t>
      </w:r>
      <w:proofErr w:type="spellStart"/>
      <w:r w:rsidRPr="00C26A9B">
        <w:rPr>
          <w:rFonts w:ascii="Times New Roman" w:hAnsi="Times New Roman" w:cs="Times New Roman"/>
          <w:bCs/>
          <w:sz w:val="24"/>
          <w:szCs w:val="24"/>
          <w:lang w:val="ro-RO"/>
        </w:rPr>
        <w:t>cerinţelor</w:t>
      </w:r>
      <w:proofErr w:type="spellEnd"/>
      <w:r w:rsidRPr="00C26A9B">
        <w:rPr>
          <w:rFonts w:ascii="Times New Roman" w:hAnsi="Times New Roman" w:cs="Times New Roman"/>
          <w:bCs/>
          <w:sz w:val="24"/>
          <w:szCs w:val="24"/>
          <w:lang w:val="ro-RO"/>
        </w:rPr>
        <w:t xml:space="preserve"> de fonduri proprii;</w:t>
      </w:r>
    </w:p>
    <w:p w14:paraId="47B5D3B6" w14:textId="77777777" w:rsidR="00E558C5" w:rsidRPr="00C26A9B" w:rsidRDefault="00E558C5" w:rsidP="00E558C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lastRenderedPageBreak/>
        <w:t xml:space="preserve">12.2. măsura în care o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poate fi marcată zilnic la </w:t>
      </w:r>
      <w:proofErr w:type="spellStart"/>
      <w:r w:rsidRPr="00C26A9B">
        <w:rPr>
          <w:rFonts w:ascii="Times New Roman" w:hAnsi="Times New Roman" w:cs="Times New Roman"/>
          <w:bCs/>
          <w:sz w:val="24"/>
          <w:szCs w:val="24"/>
          <w:lang w:val="ro-RO"/>
        </w:rPr>
        <w:t>preţul</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pieţei</w:t>
      </w:r>
      <w:proofErr w:type="spellEnd"/>
      <w:r w:rsidRPr="00C26A9B">
        <w:rPr>
          <w:rFonts w:ascii="Times New Roman" w:hAnsi="Times New Roman" w:cs="Times New Roman"/>
          <w:bCs/>
          <w:sz w:val="24"/>
          <w:szCs w:val="24"/>
          <w:lang w:val="ro-RO"/>
        </w:rPr>
        <w:t xml:space="preserve"> prin </w:t>
      </w:r>
      <w:proofErr w:type="spellStart"/>
      <w:r w:rsidRPr="00C26A9B">
        <w:rPr>
          <w:rFonts w:ascii="Times New Roman" w:hAnsi="Times New Roman" w:cs="Times New Roman"/>
          <w:bCs/>
          <w:sz w:val="24"/>
          <w:szCs w:val="24"/>
          <w:lang w:val="ro-RO"/>
        </w:rPr>
        <w:t>referinţă</w:t>
      </w:r>
      <w:proofErr w:type="spellEnd"/>
      <w:r w:rsidRPr="00C26A9B">
        <w:rPr>
          <w:rFonts w:ascii="Times New Roman" w:hAnsi="Times New Roman" w:cs="Times New Roman"/>
          <w:bCs/>
          <w:sz w:val="24"/>
          <w:szCs w:val="24"/>
          <w:lang w:val="ro-RO"/>
        </w:rPr>
        <w:t xml:space="preserve"> la o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bidirecţională</w:t>
      </w:r>
      <w:proofErr w:type="spellEnd"/>
      <w:r w:rsidRPr="00C26A9B">
        <w:rPr>
          <w:rFonts w:ascii="Times New Roman" w:hAnsi="Times New Roman" w:cs="Times New Roman"/>
          <w:bCs/>
          <w:sz w:val="24"/>
          <w:szCs w:val="24"/>
          <w:lang w:val="ro-RO"/>
        </w:rPr>
        <w:t xml:space="preserve"> activă și lichidă;</w:t>
      </w:r>
    </w:p>
    <w:p w14:paraId="2587C5FC" w14:textId="77777777" w:rsidR="00E558C5" w:rsidRPr="00C26A9B" w:rsidRDefault="00E558C5" w:rsidP="00E558C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12.3. pentru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care se marchează la model, măsura în care banca poate:</w:t>
      </w:r>
    </w:p>
    <w:p w14:paraId="64C3185B" w14:textId="77777777" w:rsidR="00E558C5" w:rsidRPr="00C26A9B" w:rsidRDefault="00E558C5" w:rsidP="00E558C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12.3.1. să identifice toate riscurile semnificative ale </w:t>
      </w:r>
      <w:proofErr w:type="spellStart"/>
      <w:r w:rsidRPr="00C26A9B">
        <w:rPr>
          <w:rFonts w:ascii="Times New Roman" w:hAnsi="Times New Roman" w:cs="Times New Roman"/>
          <w:bCs/>
          <w:sz w:val="24"/>
          <w:szCs w:val="24"/>
          <w:lang w:val="ro-RO"/>
        </w:rPr>
        <w:t>poziţiei</w:t>
      </w:r>
      <w:proofErr w:type="spellEnd"/>
      <w:r w:rsidRPr="00C26A9B">
        <w:rPr>
          <w:rFonts w:ascii="Times New Roman" w:hAnsi="Times New Roman" w:cs="Times New Roman"/>
          <w:bCs/>
          <w:sz w:val="24"/>
          <w:szCs w:val="24"/>
          <w:lang w:val="ro-RO"/>
        </w:rPr>
        <w:t>;</w:t>
      </w:r>
    </w:p>
    <w:p w14:paraId="2B8A43A9" w14:textId="77777777" w:rsidR="00E558C5" w:rsidRPr="00E14364" w:rsidRDefault="00E558C5" w:rsidP="00E558C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12.3.2. să acopere toate riscurile semnificative ale </w:t>
      </w:r>
      <w:proofErr w:type="spellStart"/>
      <w:r w:rsidRPr="00C26A9B">
        <w:rPr>
          <w:rFonts w:ascii="Times New Roman" w:hAnsi="Times New Roman" w:cs="Times New Roman"/>
          <w:bCs/>
          <w:sz w:val="24"/>
          <w:szCs w:val="24"/>
          <w:lang w:val="ro-RO"/>
        </w:rPr>
        <w:t>poziţiei</w:t>
      </w:r>
      <w:proofErr w:type="spellEnd"/>
      <w:r w:rsidRPr="00C26A9B">
        <w:rPr>
          <w:rFonts w:ascii="Times New Roman" w:hAnsi="Times New Roman" w:cs="Times New Roman"/>
          <w:bCs/>
          <w:sz w:val="24"/>
          <w:szCs w:val="24"/>
          <w:lang w:val="ro-RO"/>
        </w:rPr>
        <w:t xml:space="preserve"> cu instrumente pentru care există o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bidirecţională</w:t>
      </w:r>
      <w:proofErr w:type="spellEnd"/>
      <w:r w:rsidRPr="00C26A9B">
        <w:rPr>
          <w:rFonts w:ascii="Times New Roman" w:hAnsi="Times New Roman" w:cs="Times New Roman"/>
          <w:bCs/>
          <w:sz w:val="24"/>
          <w:szCs w:val="24"/>
          <w:lang w:val="ro-RO"/>
        </w:rPr>
        <w:t xml:space="preserve"> activă și lichidă;</w:t>
      </w:r>
    </w:p>
    <w:p w14:paraId="725273BF" w14:textId="77777777" w:rsidR="00E558C5" w:rsidRPr="00C26A9B" w:rsidRDefault="00E558C5" w:rsidP="00E558C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12.3.3. să derive estimări fiabile pentru ipotezele și parametrii cheie </w:t>
      </w:r>
      <w:proofErr w:type="spellStart"/>
      <w:r w:rsidRPr="00C26A9B">
        <w:rPr>
          <w:rFonts w:ascii="Times New Roman" w:hAnsi="Times New Roman" w:cs="Times New Roman"/>
          <w:bCs/>
          <w:sz w:val="24"/>
          <w:szCs w:val="24"/>
          <w:lang w:val="ro-RO"/>
        </w:rPr>
        <w:t>folosiţi</w:t>
      </w:r>
      <w:proofErr w:type="spellEnd"/>
      <w:r w:rsidRPr="00C26A9B">
        <w:rPr>
          <w:rFonts w:ascii="Times New Roman" w:hAnsi="Times New Roman" w:cs="Times New Roman"/>
          <w:bCs/>
          <w:sz w:val="24"/>
          <w:szCs w:val="24"/>
          <w:lang w:val="ro-RO"/>
        </w:rPr>
        <w:t xml:space="preserve"> în model;</w:t>
      </w:r>
    </w:p>
    <w:p w14:paraId="602F5FEB" w14:textId="77777777" w:rsidR="00E558C5" w:rsidRPr="00C26A9B" w:rsidRDefault="00E558C5" w:rsidP="00E558C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12.4. măsura în care banca poate și trebuie să genereze evaluări pentru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care pot fi validate extern în mod consecvent;</w:t>
      </w:r>
    </w:p>
    <w:p w14:paraId="147FAC31" w14:textId="77777777" w:rsidR="00E558C5" w:rsidRPr="00C26A9B" w:rsidRDefault="00E558C5" w:rsidP="00E558C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12.5. măsura în care </w:t>
      </w:r>
      <w:proofErr w:type="spellStart"/>
      <w:r w:rsidRPr="00C26A9B">
        <w:rPr>
          <w:rFonts w:ascii="Times New Roman" w:hAnsi="Times New Roman" w:cs="Times New Roman"/>
          <w:bCs/>
          <w:sz w:val="24"/>
          <w:szCs w:val="24"/>
          <w:lang w:val="ro-RO"/>
        </w:rPr>
        <w:t>restricţiile</w:t>
      </w:r>
      <w:proofErr w:type="spellEnd"/>
      <w:r w:rsidRPr="00C26A9B">
        <w:rPr>
          <w:rFonts w:ascii="Times New Roman" w:hAnsi="Times New Roman" w:cs="Times New Roman"/>
          <w:bCs/>
          <w:sz w:val="24"/>
          <w:szCs w:val="24"/>
          <w:lang w:val="ro-RO"/>
        </w:rPr>
        <w:t xml:space="preserve"> legale sau alte </w:t>
      </w:r>
      <w:proofErr w:type="spellStart"/>
      <w:r w:rsidRPr="00C26A9B">
        <w:rPr>
          <w:rFonts w:ascii="Times New Roman" w:hAnsi="Times New Roman" w:cs="Times New Roman"/>
          <w:bCs/>
          <w:sz w:val="24"/>
          <w:szCs w:val="24"/>
          <w:lang w:val="ro-RO"/>
        </w:rPr>
        <w:t>cerinţe</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operaţionale</w:t>
      </w:r>
      <w:proofErr w:type="spellEnd"/>
      <w:r w:rsidRPr="00C26A9B">
        <w:rPr>
          <w:rFonts w:ascii="Times New Roman" w:hAnsi="Times New Roman" w:cs="Times New Roman"/>
          <w:bCs/>
          <w:sz w:val="24"/>
          <w:szCs w:val="24"/>
          <w:lang w:val="ro-RO"/>
        </w:rPr>
        <w:t xml:space="preserve"> ar afecta capacitatea băncii de a lichida sau a acoperi </w:t>
      </w:r>
      <w:proofErr w:type="spellStart"/>
      <w:r w:rsidRPr="00C26A9B">
        <w:rPr>
          <w:rFonts w:ascii="Times New Roman" w:hAnsi="Times New Roman" w:cs="Times New Roman"/>
          <w:bCs/>
          <w:sz w:val="24"/>
          <w:szCs w:val="24"/>
          <w:lang w:val="ro-RO"/>
        </w:rPr>
        <w:t>poziţia</w:t>
      </w:r>
      <w:proofErr w:type="spellEnd"/>
      <w:r w:rsidRPr="00C26A9B">
        <w:rPr>
          <w:rFonts w:ascii="Times New Roman" w:hAnsi="Times New Roman" w:cs="Times New Roman"/>
          <w:bCs/>
          <w:sz w:val="24"/>
          <w:szCs w:val="24"/>
          <w:lang w:val="ro-RO"/>
        </w:rPr>
        <w:t xml:space="preserve"> pe termen scurt;</w:t>
      </w:r>
    </w:p>
    <w:p w14:paraId="00FD83E9" w14:textId="77777777" w:rsidR="00E558C5" w:rsidRPr="00C26A9B" w:rsidRDefault="00E558C5" w:rsidP="00E558C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12.6. măsura în care banca poate și trebuie să procedeze la administrarea activă a riscurilor </w:t>
      </w:r>
      <w:proofErr w:type="spellStart"/>
      <w:r w:rsidRPr="00C26A9B">
        <w:rPr>
          <w:rFonts w:ascii="Times New Roman" w:hAnsi="Times New Roman" w:cs="Times New Roman"/>
          <w:bCs/>
          <w:sz w:val="24"/>
          <w:szCs w:val="24"/>
          <w:lang w:val="ro-RO"/>
        </w:rPr>
        <w:t>poziţiilor</w:t>
      </w:r>
      <w:proofErr w:type="spellEnd"/>
      <w:r w:rsidRPr="00C26A9B">
        <w:rPr>
          <w:rFonts w:ascii="Times New Roman" w:hAnsi="Times New Roman" w:cs="Times New Roman"/>
          <w:bCs/>
          <w:sz w:val="24"/>
          <w:szCs w:val="24"/>
          <w:lang w:val="ro-RO"/>
        </w:rPr>
        <w:t xml:space="preserve"> în cadrul </w:t>
      </w:r>
      <w:proofErr w:type="spellStart"/>
      <w:r w:rsidRPr="00C26A9B">
        <w:rPr>
          <w:rFonts w:ascii="Times New Roman" w:hAnsi="Times New Roman" w:cs="Times New Roman"/>
          <w:bCs/>
          <w:sz w:val="24"/>
          <w:szCs w:val="24"/>
          <w:lang w:val="ro-RO"/>
        </w:rPr>
        <w:t>operaţiunilor</w:t>
      </w:r>
      <w:proofErr w:type="spellEnd"/>
      <w:r w:rsidRPr="00C26A9B">
        <w:rPr>
          <w:rFonts w:ascii="Times New Roman" w:hAnsi="Times New Roman" w:cs="Times New Roman"/>
          <w:bCs/>
          <w:sz w:val="24"/>
          <w:szCs w:val="24"/>
          <w:lang w:val="ro-RO"/>
        </w:rPr>
        <w:t xml:space="preserve"> de tranzacţionare;</w:t>
      </w:r>
    </w:p>
    <w:p w14:paraId="0684F2C0" w14:textId="18BA264A" w:rsidR="007F6206" w:rsidRPr="00C26A9B" w:rsidRDefault="00E558C5" w:rsidP="00E558C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12.7. măsura în care banca poate reclasifica riscul sau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din portofoliul de tranzacţionare în afara acestuia sau invers, precum și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pentru astfel de reclasificări, astfel cum sunt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la secțiunea 4.</w:t>
      </w:r>
    </w:p>
    <w:p w14:paraId="377184BA" w14:textId="77777777" w:rsidR="009D1D1E" w:rsidRPr="00C26A9B" w:rsidRDefault="009D1D1E" w:rsidP="009D1D1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13. În administrarea </w:t>
      </w:r>
      <w:proofErr w:type="spellStart"/>
      <w:r w:rsidRPr="00C26A9B">
        <w:rPr>
          <w:rFonts w:ascii="Times New Roman" w:hAnsi="Times New Roman" w:cs="Times New Roman"/>
          <w:bCs/>
          <w:sz w:val="24"/>
          <w:szCs w:val="24"/>
          <w:lang w:val="ro-RO"/>
        </w:rPr>
        <w:t>poziţiilor</w:t>
      </w:r>
      <w:proofErr w:type="spellEnd"/>
      <w:r w:rsidRPr="00C26A9B">
        <w:rPr>
          <w:rFonts w:ascii="Times New Roman" w:hAnsi="Times New Roman" w:cs="Times New Roman"/>
          <w:bCs/>
          <w:sz w:val="24"/>
          <w:szCs w:val="24"/>
          <w:lang w:val="ro-RO"/>
        </w:rPr>
        <w:t xml:space="preserve"> sau a portofoliilor de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din portofoliul de tranzacţionare, banca respectă toate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următoare:</w:t>
      </w:r>
    </w:p>
    <w:p w14:paraId="18FD9895" w14:textId="77777777" w:rsidR="009D1D1E" w:rsidRPr="00C26A9B" w:rsidRDefault="009D1D1E" w:rsidP="009D1D1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13.1. banca dispune de o strategie de tranzacţionare clar documentată în ceea ce privește </w:t>
      </w:r>
      <w:proofErr w:type="spellStart"/>
      <w:r w:rsidRPr="00C26A9B">
        <w:rPr>
          <w:rFonts w:ascii="Times New Roman" w:hAnsi="Times New Roman" w:cs="Times New Roman"/>
          <w:bCs/>
          <w:sz w:val="24"/>
          <w:szCs w:val="24"/>
          <w:lang w:val="ro-RO"/>
        </w:rPr>
        <w:t>poziţia</w:t>
      </w:r>
      <w:proofErr w:type="spellEnd"/>
      <w:r w:rsidRPr="00C26A9B">
        <w:rPr>
          <w:rFonts w:ascii="Times New Roman" w:hAnsi="Times New Roman" w:cs="Times New Roman"/>
          <w:bCs/>
          <w:sz w:val="24"/>
          <w:szCs w:val="24"/>
          <w:lang w:val="ro-RO"/>
        </w:rPr>
        <w:t xml:space="preserve"> sau portofoliile din portofoliul de tranzacţionare, care să fie aprobată de conducerea superioară și să includă perioada de </w:t>
      </w:r>
      <w:proofErr w:type="spellStart"/>
      <w:r w:rsidRPr="00C26A9B">
        <w:rPr>
          <w:rFonts w:ascii="Times New Roman" w:hAnsi="Times New Roman" w:cs="Times New Roman"/>
          <w:bCs/>
          <w:sz w:val="24"/>
          <w:szCs w:val="24"/>
          <w:lang w:val="ro-RO"/>
        </w:rPr>
        <w:t>deţinere</w:t>
      </w:r>
      <w:proofErr w:type="spellEnd"/>
      <w:r w:rsidRPr="00C26A9B">
        <w:rPr>
          <w:rFonts w:ascii="Times New Roman" w:hAnsi="Times New Roman" w:cs="Times New Roman"/>
          <w:bCs/>
          <w:sz w:val="24"/>
          <w:szCs w:val="24"/>
          <w:lang w:val="ro-RO"/>
        </w:rPr>
        <w:t xml:space="preserve"> prevăzută;</w:t>
      </w:r>
    </w:p>
    <w:p w14:paraId="53D34AC5" w14:textId="77777777" w:rsidR="009D1D1E" w:rsidRPr="00C26A9B" w:rsidRDefault="009D1D1E" w:rsidP="009D1D1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13.2. banca dispune de politici și proceduri clar definite pentru administrarea activă a </w:t>
      </w:r>
      <w:proofErr w:type="spellStart"/>
      <w:r w:rsidRPr="00C26A9B">
        <w:rPr>
          <w:rFonts w:ascii="Times New Roman" w:hAnsi="Times New Roman" w:cs="Times New Roman"/>
          <w:bCs/>
          <w:sz w:val="24"/>
          <w:szCs w:val="24"/>
          <w:lang w:val="ro-RO"/>
        </w:rPr>
        <w:t>poziţiilor</w:t>
      </w:r>
      <w:proofErr w:type="spellEnd"/>
      <w:r w:rsidRPr="00C26A9B">
        <w:rPr>
          <w:rFonts w:ascii="Times New Roman" w:hAnsi="Times New Roman" w:cs="Times New Roman"/>
          <w:bCs/>
          <w:sz w:val="24"/>
          <w:szCs w:val="24"/>
          <w:lang w:val="ro-RO"/>
        </w:rPr>
        <w:t xml:space="preserve"> sau a portofoliilor din portofoliul de tranzacţionare; aceste politici și proceduri prevăd:</w:t>
      </w:r>
    </w:p>
    <w:p w14:paraId="6BE83BB5" w14:textId="77777777" w:rsidR="009D1D1E" w:rsidRPr="00C26A9B" w:rsidRDefault="009D1D1E" w:rsidP="009D1D1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13.2.1.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sau portofoliile de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care pot fi deschise de fiecare birou de tranzacţionare sau, după caz, de dealeri </w:t>
      </w:r>
      <w:proofErr w:type="spellStart"/>
      <w:r w:rsidRPr="00C26A9B">
        <w:rPr>
          <w:rFonts w:ascii="Times New Roman" w:hAnsi="Times New Roman" w:cs="Times New Roman"/>
          <w:bCs/>
          <w:sz w:val="24"/>
          <w:szCs w:val="24"/>
          <w:lang w:val="ro-RO"/>
        </w:rPr>
        <w:t>desemnaţi</w:t>
      </w:r>
      <w:proofErr w:type="spellEnd"/>
      <w:r w:rsidRPr="00C26A9B">
        <w:rPr>
          <w:rFonts w:ascii="Times New Roman" w:hAnsi="Times New Roman" w:cs="Times New Roman"/>
          <w:bCs/>
          <w:sz w:val="24"/>
          <w:szCs w:val="24"/>
          <w:lang w:val="ro-RO"/>
        </w:rPr>
        <w:t>;</w:t>
      </w:r>
    </w:p>
    <w:p w14:paraId="47478E48" w14:textId="77777777" w:rsidR="009D1D1E" w:rsidRPr="00C26A9B" w:rsidRDefault="009D1D1E" w:rsidP="009D1D1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13.2.2. stabilirea unor limite ale </w:t>
      </w:r>
      <w:proofErr w:type="spellStart"/>
      <w:r w:rsidRPr="00C26A9B">
        <w:rPr>
          <w:rFonts w:ascii="Times New Roman" w:hAnsi="Times New Roman" w:cs="Times New Roman"/>
          <w:bCs/>
          <w:sz w:val="24"/>
          <w:szCs w:val="24"/>
          <w:lang w:val="ro-RO"/>
        </w:rPr>
        <w:t>poziţiilor</w:t>
      </w:r>
      <w:proofErr w:type="spellEnd"/>
      <w:r w:rsidRPr="00C26A9B">
        <w:rPr>
          <w:rFonts w:ascii="Times New Roman" w:hAnsi="Times New Roman" w:cs="Times New Roman"/>
          <w:bCs/>
          <w:sz w:val="24"/>
          <w:szCs w:val="24"/>
          <w:lang w:val="ro-RO"/>
        </w:rPr>
        <w:t xml:space="preserve"> și monitorizarea acestora pentru a asigura caracterul adecvat al acestora;</w:t>
      </w:r>
    </w:p>
    <w:p w14:paraId="1F2A3FFE" w14:textId="77777777" w:rsidR="009D1D1E" w:rsidRPr="00C26A9B" w:rsidRDefault="009D1D1E" w:rsidP="009D1D1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13.2.3. asigurarea faptului că dealerii au autonomia de a deschide și administra </w:t>
      </w:r>
      <w:proofErr w:type="spellStart"/>
      <w:r w:rsidRPr="00C26A9B">
        <w:rPr>
          <w:rFonts w:ascii="Times New Roman" w:hAnsi="Times New Roman" w:cs="Times New Roman"/>
          <w:bCs/>
          <w:sz w:val="24"/>
          <w:szCs w:val="24"/>
          <w:lang w:val="ro-RO"/>
        </w:rPr>
        <w:t>poziţia</w:t>
      </w:r>
      <w:proofErr w:type="spellEnd"/>
      <w:r w:rsidRPr="00C26A9B">
        <w:rPr>
          <w:rFonts w:ascii="Times New Roman" w:hAnsi="Times New Roman" w:cs="Times New Roman"/>
          <w:bCs/>
          <w:sz w:val="24"/>
          <w:szCs w:val="24"/>
          <w:lang w:val="ro-RO"/>
        </w:rPr>
        <w:t xml:space="preserve"> în limitele agreate și conform strategiei aprobate;</w:t>
      </w:r>
    </w:p>
    <w:p w14:paraId="32E5B2F7" w14:textId="77777777" w:rsidR="009D1D1E" w:rsidRPr="00C26A9B" w:rsidRDefault="009D1D1E" w:rsidP="009D1D1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13.2.4. asigurarea faptului că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sunt raportate conducerii superioare ca parte integrantă a procesului de gestionare a riscurilor al băncii;</w:t>
      </w:r>
    </w:p>
    <w:p w14:paraId="310F7058" w14:textId="77777777" w:rsidR="009D1D1E" w:rsidRPr="00C26A9B" w:rsidRDefault="009D1D1E" w:rsidP="009D1D1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13.2.5. asigurarea faptului că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sunt monitorizate activ cu trimitere la sursele de </w:t>
      </w:r>
      <w:proofErr w:type="spellStart"/>
      <w:r w:rsidRPr="00C26A9B">
        <w:rPr>
          <w:rFonts w:ascii="Times New Roman" w:hAnsi="Times New Roman" w:cs="Times New Roman"/>
          <w:bCs/>
          <w:sz w:val="24"/>
          <w:szCs w:val="24"/>
          <w:lang w:val="ro-RO"/>
        </w:rPr>
        <w:t>informaţii</w:t>
      </w:r>
      <w:proofErr w:type="spellEnd"/>
      <w:r w:rsidRPr="00C26A9B">
        <w:rPr>
          <w:rFonts w:ascii="Times New Roman" w:hAnsi="Times New Roman" w:cs="Times New Roman"/>
          <w:bCs/>
          <w:sz w:val="24"/>
          <w:szCs w:val="24"/>
          <w:lang w:val="ro-RO"/>
        </w:rPr>
        <w:t xml:space="preserve">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și că se efectuează o evaluare a caracterului </w:t>
      </w:r>
      <w:proofErr w:type="spellStart"/>
      <w:r w:rsidRPr="00C26A9B">
        <w:rPr>
          <w:rFonts w:ascii="Times New Roman" w:hAnsi="Times New Roman" w:cs="Times New Roman"/>
          <w:bCs/>
          <w:sz w:val="24"/>
          <w:szCs w:val="24"/>
          <w:lang w:val="ro-RO"/>
        </w:rPr>
        <w:t>tranzacţionabil</w:t>
      </w:r>
      <w:proofErr w:type="spellEnd"/>
      <w:r w:rsidRPr="00C26A9B">
        <w:rPr>
          <w:rFonts w:ascii="Times New Roman" w:hAnsi="Times New Roman" w:cs="Times New Roman"/>
          <w:bCs/>
          <w:sz w:val="24"/>
          <w:szCs w:val="24"/>
          <w:lang w:val="ro-RO"/>
        </w:rPr>
        <w:t xml:space="preserve"> sau a </w:t>
      </w:r>
      <w:proofErr w:type="spellStart"/>
      <w:r w:rsidRPr="00C26A9B">
        <w:rPr>
          <w:rFonts w:ascii="Times New Roman" w:hAnsi="Times New Roman" w:cs="Times New Roman"/>
          <w:bCs/>
          <w:sz w:val="24"/>
          <w:szCs w:val="24"/>
          <w:lang w:val="ro-RO"/>
        </w:rPr>
        <w:t>capacităţii</w:t>
      </w:r>
      <w:proofErr w:type="spellEnd"/>
      <w:r w:rsidRPr="00C26A9B">
        <w:rPr>
          <w:rFonts w:ascii="Times New Roman" w:hAnsi="Times New Roman" w:cs="Times New Roman"/>
          <w:bCs/>
          <w:sz w:val="24"/>
          <w:szCs w:val="24"/>
          <w:lang w:val="ro-RO"/>
        </w:rPr>
        <w:t xml:space="preserve"> de acoperire a </w:t>
      </w:r>
      <w:proofErr w:type="spellStart"/>
      <w:r w:rsidRPr="00C26A9B">
        <w:rPr>
          <w:rFonts w:ascii="Times New Roman" w:hAnsi="Times New Roman" w:cs="Times New Roman"/>
          <w:bCs/>
          <w:sz w:val="24"/>
          <w:szCs w:val="24"/>
          <w:lang w:val="ro-RO"/>
        </w:rPr>
        <w:t>poziţiilor</w:t>
      </w:r>
      <w:proofErr w:type="spellEnd"/>
      <w:r w:rsidRPr="00C26A9B">
        <w:rPr>
          <w:rFonts w:ascii="Times New Roman" w:hAnsi="Times New Roman" w:cs="Times New Roman"/>
          <w:bCs/>
          <w:sz w:val="24"/>
          <w:szCs w:val="24"/>
          <w:lang w:val="ro-RO"/>
        </w:rPr>
        <w:t xml:space="preserve"> sau a componentelor lor de risc, inclusiv aprecierea, calitatea și disponibilitatea </w:t>
      </w:r>
      <w:proofErr w:type="spellStart"/>
      <w:r w:rsidRPr="00C26A9B">
        <w:rPr>
          <w:rFonts w:ascii="Times New Roman" w:hAnsi="Times New Roman" w:cs="Times New Roman"/>
          <w:bCs/>
          <w:sz w:val="24"/>
          <w:szCs w:val="24"/>
          <w:lang w:val="ro-RO"/>
        </w:rPr>
        <w:t>informaţiilor</w:t>
      </w:r>
      <w:proofErr w:type="spellEnd"/>
      <w:r w:rsidRPr="00C26A9B">
        <w:rPr>
          <w:rFonts w:ascii="Times New Roman" w:hAnsi="Times New Roman" w:cs="Times New Roman"/>
          <w:bCs/>
          <w:sz w:val="24"/>
          <w:szCs w:val="24"/>
          <w:lang w:val="ro-RO"/>
        </w:rPr>
        <w:t xml:space="preserve">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pentru procesul de evaluare, rulajul </w:t>
      </w:r>
      <w:proofErr w:type="spellStart"/>
      <w:r w:rsidRPr="00C26A9B">
        <w:rPr>
          <w:rFonts w:ascii="Times New Roman" w:hAnsi="Times New Roman" w:cs="Times New Roman"/>
          <w:bCs/>
          <w:sz w:val="24"/>
          <w:szCs w:val="24"/>
          <w:lang w:val="ro-RO"/>
        </w:rPr>
        <w:t>pieţei</w:t>
      </w:r>
      <w:proofErr w:type="spellEnd"/>
      <w:r w:rsidRPr="00C26A9B">
        <w:rPr>
          <w:rFonts w:ascii="Times New Roman" w:hAnsi="Times New Roman" w:cs="Times New Roman"/>
          <w:bCs/>
          <w:sz w:val="24"/>
          <w:szCs w:val="24"/>
          <w:lang w:val="ro-RO"/>
        </w:rPr>
        <w:t xml:space="preserve">, dimensiunile </w:t>
      </w:r>
      <w:proofErr w:type="spellStart"/>
      <w:r w:rsidRPr="00C26A9B">
        <w:rPr>
          <w:rFonts w:ascii="Times New Roman" w:hAnsi="Times New Roman" w:cs="Times New Roman"/>
          <w:bCs/>
          <w:sz w:val="24"/>
          <w:szCs w:val="24"/>
          <w:lang w:val="ro-RO"/>
        </w:rPr>
        <w:t>poziţiilor</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tranzacţionate</w:t>
      </w:r>
      <w:proofErr w:type="spellEnd"/>
      <w:r w:rsidRPr="00C26A9B">
        <w:rPr>
          <w:rFonts w:ascii="Times New Roman" w:hAnsi="Times New Roman" w:cs="Times New Roman"/>
          <w:bCs/>
          <w:sz w:val="24"/>
          <w:szCs w:val="24"/>
          <w:lang w:val="ro-RO"/>
        </w:rPr>
        <w:t xml:space="preserve"> pe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w:t>
      </w:r>
    </w:p>
    <w:p w14:paraId="3855A5CD" w14:textId="77777777" w:rsidR="009D1D1E" w:rsidRPr="00C26A9B" w:rsidRDefault="009D1D1E" w:rsidP="009D1D1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13.2.6. proceduri și mecanisme de control antifraudă active;</w:t>
      </w:r>
    </w:p>
    <w:p w14:paraId="057E594E" w14:textId="48C68E67" w:rsidR="00E558C5" w:rsidRPr="00C26A9B" w:rsidRDefault="009D1D1E" w:rsidP="009D1D1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13.3. banca dispune de politici și proceduri clar definite pentru monitorizarea </w:t>
      </w:r>
      <w:proofErr w:type="spellStart"/>
      <w:r w:rsidRPr="00C26A9B">
        <w:rPr>
          <w:rFonts w:ascii="Times New Roman" w:hAnsi="Times New Roman" w:cs="Times New Roman"/>
          <w:bCs/>
          <w:sz w:val="24"/>
          <w:szCs w:val="24"/>
          <w:lang w:val="ro-RO"/>
        </w:rPr>
        <w:t>poziţiilor</w:t>
      </w:r>
      <w:proofErr w:type="spellEnd"/>
      <w:r w:rsidRPr="00C26A9B">
        <w:rPr>
          <w:rFonts w:ascii="Times New Roman" w:hAnsi="Times New Roman" w:cs="Times New Roman"/>
          <w:bCs/>
          <w:sz w:val="24"/>
          <w:szCs w:val="24"/>
          <w:lang w:val="ro-RO"/>
        </w:rPr>
        <w:t xml:space="preserve"> în raport cu strategia de tranzacţionare a băncii, inclusiv monitorizarea rulajului și a </w:t>
      </w:r>
      <w:proofErr w:type="spellStart"/>
      <w:r w:rsidRPr="00C26A9B">
        <w:rPr>
          <w:rFonts w:ascii="Times New Roman" w:hAnsi="Times New Roman" w:cs="Times New Roman"/>
          <w:bCs/>
          <w:sz w:val="24"/>
          <w:szCs w:val="24"/>
          <w:lang w:val="ro-RO"/>
        </w:rPr>
        <w:t>poziţiilor</w:t>
      </w:r>
      <w:proofErr w:type="spellEnd"/>
      <w:r w:rsidRPr="00C26A9B">
        <w:rPr>
          <w:rFonts w:ascii="Times New Roman" w:hAnsi="Times New Roman" w:cs="Times New Roman"/>
          <w:bCs/>
          <w:sz w:val="24"/>
          <w:szCs w:val="24"/>
          <w:lang w:val="ro-RO"/>
        </w:rPr>
        <w:t xml:space="preserve"> pentru care perioada de </w:t>
      </w:r>
      <w:proofErr w:type="spellStart"/>
      <w:r w:rsidRPr="00C26A9B">
        <w:rPr>
          <w:rFonts w:ascii="Times New Roman" w:hAnsi="Times New Roman" w:cs="Times New Roman"/>
          <w:bCs/>
          <w:sz w:val="24"/>
          <w:szCs w:val="24"/>
          <w:lang w:val="ro-RO"/>
        </w:rPr>
        <w:t>deţinere</w:t>
      </w:r>
      <w:proofErr w:type="spellEnd"/>
      <w:r w:rsidRPr="00C26A9B">
        <w:rPr>
          <w:rFonts w:ascii="Times New Roman" w:hAnsi="Times New Roman" w:cs="Times New Roman"/>
          <w:bCs/>
          <w:sz w:val="24"/>
          <w:szCs w:val="24"/>
          <w:lang w:val="ro-RO"/>
        </w:rPr>
        <w:t xml:space="preserve"> avută în vedere </w:t>
      </w:r>
      <w:proofErr w:type="spellStart"/>
      <w:r w:rsidRPr="00C26A9B">
        <w:rPr>
          <w:rFonts w:ascii="Times New Roman" w:hAnsi="Times New Roman" w:cs="Times New Roman"/>
          <w:bCs/>
          <w:sz w:val="24"/>
          <w:szCs w:val="24"/>
          <w:lang w:val="ro-RO"/>
        </w:rPr>
        <w:t>iniţial</w:t>
      </w:r>
      <w:proofErr w:type="spellEnd"/>
      <w:r w:rsidRPr="00C26A9B">
        <w:rPr>
          <w:rFonts w:ascii="Times New Roman" w:hAnsi="Times New Roman" w:cs="Times New Roman"/>
          <w:bCs/>
          <w:sz w:val="24"/>
          <w:szCs w:val="24"/>
          <w:lang w:val="ro-RO"/>
        </w:rPr>
        <w:t xml:space="preserve"> a fost depășită.</w:t>
      </w:r>
    </w:p>
    <w:p w14:paraId="3D90DDDE" w14:textId="5C1647BD" w:rsidR="009D1D1E" w:rsidRPr="00C26A9B" w:rsidRDefault="009D1D1E" w:rsidP="009D1D1E">
      <w:pPr>
        <w:rPr>
          <w:rFonts w:ascii="Times New Roman" w:hAnsi="Times New Roman" w:cs="Times New Roman"/>
          <w:b/>
          <w:bCs/>
          <w:sz w:val="24"/>
          <w:szCs w:val="24"/>
          <w:lang w:val="ro-RO"/>
        </w:rPr>
      </w:pPr>
      <w:r w:rsidRPr="00CC1E9B">
        <w:rPr>
          <w:rFonts w:ascii="Times New Roman" w:hAnsi="Times New Roman" w:cs="Times New Roman"/>
          <w:b/>
          <w:sz w:val="24"/>
          <w:szCs w:val="24"/>
          <w:lang w:val="ro-RO"/>
        </w:rPr>
        <w:lastRenderedPageBreak/>
        <w:t>Secțiunea 3.</w:t>
      </w:r>
      <w:r w:rsidRPr="00C26A9B">
        <w:rPr>
          <w:rFonts w:ascii="Times New Roman" w:hAnsi="Times New Roman" w:cs="Times New Roman"/>
          <w:bCs/>
          <w:i/>
          <w:iCs/>
          <w:sz w:val="24"/>
          <w:szCs w:val="24"/>
          <w:lang w:val="ro-RO"/>
        </w:rPr>
        <w:t xml:space="preserve"> </w:t>
      </w:r>
      <w:r w:rsidRPr="00C26A9B">
        <w:rPr>
          <w:rFonts w:ascii="Times New Roman" w:hAnsi="Times New Roman" w:cs="Times New Roman"/>
          <w:b/>
          <w:bCs/>
          <w:sz w:val="24"/>
          <w:szCs w:val="24"/>
          <w:lang w:val="ro-RO"/>
        </w:rPr>
        <w:t>Includerea în portofoliul de tranzacţionare</w:t>
      </w:r>
    </w:p>
    <w:p w14:paraId="2A90EFD9" w14:textId="5955C4D6" w:rsidR="005C29F8" w:rsidRPr="00E14364" w:rsidRDefault="005C29F8" w:rsidP="005C29F8">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14. O bancă are instituite politici și proceduri clar definite pentru a determina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pe care să le includă în portofoliul de tranzacţionare în vederea calculării </w:t>
      </w:r>
      <w:proofErr w:type="spellStart"/>
      <w:r w:rsidRPr="00C26A9B">
        <w:rPr>
          <w:rFonts w:ascii="Times New Roman" w:hAnsi="Times New Roman" w:cs="Times New Roman"/>
          <w:bCs/>
          <w:sz w:val="24"/>
          <w:szCs w:val="24"/>
          <w:lang w:val="ro-RO"/>
        </w:rPr>
        <w:t>cerinţelor</w:t>
      </w:r>
      <w:proofErr w:type="spellEnd"/>
      <w:r w:rsidRPr="00C26A9B">
        <w:rPr>
          <w:rFonts w:ascii="Times New Roman" w:hAnsi="Times New Roman" w:cs="Times New Roman"/>
          <w:bCs/>
          <w:sz w:val="24"/>
          <w:szCs w:val="24"/>
          <w:lang w:val="ro-RO"/>
        </w:rPr>
        <w:t xml:space="preserve"> de fonduri proprii, în conformitate cu secțiunea 1 și cu prezenta secțiune, </w:t>
      </w:r>
      <w:proofErr w:type="spellStart"/>
      <w:r w:rsidRPr="00C26A9B">
        <w:rPr>
          <w:rFonts w:ascii="Times New Roman" w:hAnsi="Times New Roman" w:cs="Times New Roman"/>
          <w:bCs/>
          <w:sz w:val="24"/>
          <w:szCs w:val="24"/>
          <w:lang w:val="ro-RO"/>
        </w:rPr>
        <w:t>ţinând</w:t>
      </w:r>
      <w:proofErr w:type="spellEnd"/>
      <w:r w:rsidRPr="00C26A9B">
        <w:rPr>
          <w:rFonts w:ascii="Times New Roman" w:hAnsi="Times New Roman" w:cs="Times New Roman"/>
          <w:bCs/>
          <w:sz w:val="24"/>
          <w:szCs w:val="24"/>
          <w:lang w:val="ro-RO"/>
        </w:rPr>
        <w:t xml:space="preserve"> seama de </w:t>
      </w:r>
      <w:proofErr w:type="spellStart"/>
      <w:r w:rsidRPr="00C26A9B">
        <w:rPr>
          <w:rFonts w:ascii="Times New Roman" w:hAnsi="Times New Roman" w:cs="Times New Roman"/>
          <w:bCs/>
          <w:sz w:val="24"/>
          <w:szCs w:val="24"/>
          <w:lang w:val="ro-RO"/>
        </w:rPr>
        <w:t>capacităţile</w:t>
      </w:r>
      <w:proofErr w:type="spellEnd"/>
      <w:r w:rsidRPr="00C26A9B">
        <w:rPr>
          <w:rFonts w:ascii="Times New Roman" w:hAnsi="Times New Roman" w:cs="Times New Roman"/>
          <w:bCs/>
          <w:sz w:val="24"/>
          <w:szCs w:val="24"/>
          <w:lang w:val="ro-RO"/>
        </w:rPr>
        <w:t xml:space="preserve"> și practicile sale în materie de gestionare a riscurilor. Băncile documentează pe deplin respectarea politicilor și procedurilor respective, le supune unui audit intern cel </w:t>
      </w:r>
      <w:proofErr w:type="spellStart"/>
      <w:r w:rsidRPr="00C26A9B">
        <w:rPr>
          <w:rFonts w:ascii="Times New Roman" w:hAnsi="Times New Roman" w:cs="Times New Roman"/>
          <w:bCs/>
          <w:sz w:val="24"/>
          <w:szCs w:val="24"/>
          <w:lang w:val="ro-RO"/>
        </w:rPr>
        <w:t>puţin</w:t>
      </w:r>
      <w:proofErr w:type="spellEnd"/>
      <w:r w:rsidRPr="00C26A9B">
        <w:rPr>
          <w:rFonts w:ascii="Times New Roman" w:hAnsi="Times New Roman" w:cs="Times New Roman"/>
          <w:bCs/>
          <w:sz w:val="24"/>
          <w:szCs w:val="24"/>
          <w:lang w:val="ro-RO"/>
        </w:rPr>
        <w:t xml:space="preserve"> o dată pe an și pune rezultatele auditului la </w:t>
      </w:r>
      <w:proofErr w:type="spellStart"/>
      <w:r w:rsidRPr="00C26A9B">
        <w:rPr>
          <w:rFonts w:ascii="Times New Roman" w:hAnsi="Times New Roman" w:cs="Times New Roman"/>
          <w:bCs/>
          <w:sz w:val="24"/>
          <w:szCs w:val="24"/>
          <w:lang w:val="ro-RO"/>
        </w:rPr>
        <w:t>dispoziţia</w:t>
      </w:r>
      <w:proofErr w:type="spellEnd"/>
      <w:r w:rsidRPr="00C26A9B">
        <w:rPr>
          <w:rFonts w:ascii="Times New Roman" w:hAnsi="Times New Roman" w:cs="Times New Roman"/>
          <w:bCs/>
          <w:sz w:val="24"/>
          <w:szCs w:val="24"/>
          <w:lang w:val="ro-RO"/>
        </w:rPr>
        <w:t xml:space="preserve"> </w:t>
      </w:r>
      <w:r w:rsidRPr="00E14364">
        <w:rPr>
          <w:rFonts w:ascii="Times New Roman" w:hAnsi="Times New Roman" w:cs="Times New Roman"/>
          <w:bCs/>
          <w:sz w:val="24"/>
          <w:szCs w:val="24"/>
          <w:lang w:val="ro-RO"/>
        </w:rPr>
        <w:t>BNM</w:t>
      </w:r>
      <w:r w:rsidR="006E5E38" w:rsidRPr="00E14364">
        <w:rPr>
          <w:rFonts w:ascii="Times New Roman" w:hAnsi="Times New Roman" w:cs="Times New Roman"/>
          <w:bCs/>
          <w:sz w:val="24"/>
          <w:szCs w:val="24"/>
          <w:lang w:val="ro-RO"/>
        </w:rPr>
        <w:t xml:space="preserve"> în conformitate cu pct. 394, </w:t>
      </w:r>
      <w:proofErr w:type="spellStart"/>
      <w:r w:rsidR="006E5E38" w:rsidRPr="00E14364">
        <w:rPr>
          <w:rFonts w:ascii="Times New Roman" w:hAnsi="Times New Roman" w:cs="Times New Roman"/>
          <w:bCs/>
          <w:sz w:val="24"/>
          <w:szCs w:val="24"/>
          <w:lang w:val="ro-RO"/>
        </w:rPr>
        <w:t>subpct</w:t>
      </w:r>
      <w:proofErr w:type="spellEnd"/>
      <w:r w:rsidR="006E5E38" w:rsidRPr="00E14364">
        <w:rPr>
          <w:rFonts w:ascii="Times New Roman" w:hAnsi="Times New Roman" w:cs="Times New Roman"/>
          <w:bCs/>
          <w:sz w:val="24"/>
          <w:szCs w:val="24"/>
          <w:lang w:val="ro-RO"/>
        </w:rPr>
        <w:t xml:space="preserve">. 1), lit. c) al Regulamentului nr. 322/2018.  </w:t>
      </w:r>
    </w:p>
    <w:p w14:paraId="204F3908" w14:textId="57A385D3" w:rsidR="005C29F8" w:rsidRPr="00C26A9B" w:rsidRDefault="005C29F8" w:rsidP="009D1D1E">
      <w:pPr>
        <w:rPr>
          <w:rFonts w:ascii="Times New Roman" w:hAnsi="Times New Roman" w:cs="Times New Roman"/>
          <w:bCs/>
          <w:sz w:val="24"/>
          <w:szCs w:val="24"/>
          <w:lang w:val="ro-RO"/>
        </w:rPr>
      </w:pPr>
      <w:r w:rsidRPr="00E14364">
        <w:rPr>
          <w:rFonts w:ascii="Times New Roman" w:hAnsi="Times New Roman" w:cs="Times New Roman"/>
          <w:bCs/>
          <w:sz w:val="24"/>
          <w:szCs w:val="24"/>
          <w:lang w:val="ro-RO"/>
        </w:rPr>
        <w:t xml:space="preserve">15. </w:t>
      </w:r>
      <w:r w:rsidR="007621C3" w:rsidRPr="00E14364">
        <w:rPr>
          <w:rFonts w:ascii="Times New Roman" w:hAnsi="Times New Roman" w:cs="Times New Roman"/>
          <w:bCs/>
          <w:sz w:val="24"/>
          <w:szCs w:val="24"/>
          <w:lang w:val="ro-RO"/>
        </w:rPr>
        <w:t>Funcția de administrare a riscurilor va evalua</w:t>
      </w:r>
      <w:r w:rsidRPr="00E14364">
        <w:rPr>
          <w:rFonts w:ascii="Times New Roman" w:hAnsi="Times New Roman" w:cs="Times New Roman"/>
          <w:bCs/>
          <w:sz w:val="24"/>
          <w:szCs w:val="24"/>
          <w:lang w:val="ro-RO"/>
        </w:rPr>
        <w:t xml:space="preserve">  în mod continuu dacă instrumentele</w:t>
      </w:r>
      <w:r w:rsidRPr="00C26A9B">
        <w:rPr>
          <w:rFonts w:ascii="Times New Roman" w:hAnsi="Times New Roman" w:cs="Times New Roman"/>
          <w:bCs/>
          <w:sz w:val="24"/>
          <w:szCs w:val="24"/>
          <w:lang w:val="ro-RO"/>
        </w:rPr>
        <w:t xml:space="preserve"> sale sunt atribuite în mod corespunzător ca </w:t>
      </w:r>
      <w:proofErr w:type="spellStart"/>
      <w:r w:rsidRPr="00C26A9B">
        <w:rPr>
          <w:rFonts w:ascii="Times New Roman" w:hAnsi="Times New Roman" w:cs="Times New Roman"/>
          <w:bCs/>
          <w:sz w:val="24"/>
          <w:szCs w:val="24"/>
          <w:lang w:val="ro-RO"/>
        </w:rPr>
        <w:t>aparţinând</w:t>
      </w:r>
      <w:proofErr w:type="spellEnd"/>
      <w:r w:rsidRPr="00C26A9B">
        <w:rPr>
          <w:rFonts w:ascii="Times New Roman" w:hAnsi="Times New Roman" w:cs="Times New Roman"/>
          <w:bCs/>
          <w:sz w:val="24"/>
          <w:szCs w:val="24"/>
          <w:lang w:val="ro-RO"/>
        </w:rPr>
        <w:t xml:space="preserve"> portofoliului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sau fiind în afara acestuia.</w:t>
      </w:r>
    </w:p>
    <w:p w14:paraId="6E3C09A2" w14:textId="77777777" w:rsidR="005C29F8" w:rsidRPr="00C26A9B" w:rsidRDefault="005C29F8" w:rsidP="005C29F8">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16. Băncile atribuie portofoliului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pe următoarele instrumente:</w:t>
      </w:r>
    </w:p>
    <w:p w14:paraId="104A7CFF" w14:textId="3F929A57" w:rsidR="005C29F8" w:rsidRPr="00C26A9B" w:rsidRDefault="005C29F8" w:rsidP="005C29F8">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16.1. instrumentele care îndeplinesc criteriile prevăzute la </w:t>
      </w:r>
      <w:r w:rsidR="00167AE8">
        <w:rPr>
          <w:rFonts w:ascii="Times New Roman" w:hAnsi="Times New Roman" w:cs="Times New Roman"/>
          <w:bCs/>
          <w:sz w:val="24"/>
          <w:szCs w:val="24"/>
          <w:lang w:val="ro-RO"/>
        </w:rPr>
        <w:t>subpct.75-78</w:t>
      </w:r>
      <w:r w:rsidRPr="00C26A9B">
        <w:rPr>
          <w:rFonts w:ascii="Times New Roman" w:hAnsi="Times New Roman" w:cs="Times New Roman"/>
          <w:bCs/>
          <w:sz w:val="24"/>
          <w:szCs w:val="24"/>
          <w:lang w:val="ro-RO"/>
        </w:rPr>
        <w:t xml:space="preserve"> pentru includere în portofoliul de tranzacţionare pe bază de </w:t>
      </w:r>
      <w:proofErr w:type="spellStart"/>
      <w:r w:rsidRPr="00C26A9B">
        <w:rPr>
          <w:rFonts w:ascii="Times New Roman" w:hAnsi="Times New Roman" w:cs="Times New Roman"/>
          <w:bCs/>
          <w:sz w:val="24"/>
          <w:szCs w:val="24"/>
          <w:lang w:val="ro-RO"/>
        </w:rPr>
        <w:t>corelaţie</w:t>
      </w:r>
      <w:proofErr w:type="spellEnd"/>
      <w:r w:rsidRPr="00C26A9B">
        <w:rPr>
          <w:rFonts w:ascii="Times New Roman" w:hAnsi="Times New Roman" w:cs="Times New Roman"/>
          <w:bCs/>
          <w:sz w:val="24"/>
          <w:szCs w:val="24"/>
          <w:lang w:val="ro-RO"/>
        </w:rPr>
        <w:t xml:space="preserve"> alternativă („ACTP”);</w:t>
      </w:r>
    </w:p>
    <w:p w14:paraId="14AA00E8" w14:textId="77777777" w:rsidR="005C29F8" w:rsidRPr="00C26A9B" w:rsidRDefault="005C29F8" w:rsidP="005C29F8">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16.2. instrumentele care ar da naștere unei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scurte nete de credit sau unei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scurte nete pe titluri de capital din afara portofoliului de tranzacţionare, cu excepţia datoriilor proprii ale băncii, mai </w:t>
      </w:r>
      <w:proofErr w:type="spellStart"/>
      <w:r w:rsidRPr="00C26A9B">
        <w:rPr>
          <w:rFonts w:ascii="Times New Roman" w:hAnsi="Times New Roman" w:cs="Times New Roman"/>
          <w:bCs/>
          <w:sz w:val="24"/>
          <w:szCs w:val="24"/>
          <w:lang w:val="ro-RO"/>
        </w:rPr>
        <w:t>puţin</w:t>
      </w:r>
      <w:proofErr w:type="spellEnd"/>
      <w:r w:rsidRPr="00C26A9B">
        <w:rPr>
          <w:rFonts w:ascii="Times New Roman" w:hAnsi="Times New Roman" w:cs="Times New Roman"/>
          <w:bCs/>
          <w:sz w:val="24"/>
          <w:szCs w:val="24"/>
          <w:lang w:val="ro-RO"/>
        </w:rPr>
        <w:t xml:space="preserve"> atunci când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respective îndeplinesc criteriile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la subpct.16.5;</w:t>
      </w:r>
    </w:p>
    <w:p w14:paraId="58F17595" w14:textId="77777777" w:rsidR="005C29F8" w:rsidRPr="00C26A9B" w:rsidRDefault="005C29F8" w:rsidP="005C29F8">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16.3. instrumentele care rezultă din angajamente de subscriere a titlurilor de valoare, în cazul în care angajamentele de subscriere respective se referă numai la titlurile care se preconizează că vor fi </w:t>
      </w:r>
      <w:proofErr w:type="spellStart"/>
      <w:r w:rsidRPr="00C26A9B">
        <w:rPr>
          <w:rFonts w:ascii="Times New Roman" w:hAnsi="Times New Roman" w:cs="Times New Roman"/>
          <w:bCs/>
          <w:sz w:val="24"/>
          <w:szCs w:val="24"/>
          <w:lang w:val="ro-RO"/>
        </w:rPr>
        <w:t>achiziţionate</w:t>
      </w:r>
      <w:proofErr w:type="spellEnd"/>
      <w:r w:rsidRPr="00C26A9B">
        <w:rPr>
          <w:rFonts w:ascii="Times New Roman" w:hAnsi="Times New Roman" w:cs="Times New Roman"/>
          <w:bCs/>
          <w:sz w:val="24"/>
          <w:szCs w:val="24"/>
          <w:lang w:val="ro-RO"/>
        </w:rPr>
        <w:t xml:space="preserve"> de către bancă la data decontării;</w:t>
      </w:r>
    </w:p>
    <w:p w14:paraId="4238C2E6" w14:textId="77777777" w:rsidR="005C29F8" w:rsidRPr="00C26A9B" w:rsidRDefault="005C29F8" w:rsidP="005C29F8">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16.4. instrumentele clasificate fără echivoc ca fiind destinate </w:t>
      </w:r>
      <w:proofErr w:type="spellStart"/>
      <w:r w:rsidRPr="00C26A9B">
        <w:rPr>
          <w:rFonts w:ascii="Times New Roman" w:hAnsi="Times New Roman" w:cs="Times New Roman"/>
          <w:bCs/>
          <w:sz w:val="24"/>
          <w:szCs w:val="24"/>
          <w:lang w:val="ro-RO"/>
        </w:rPr>
        <w:t>tranzacţionării</w:t>
      </w:r>
      <w:proofErr w:type="spellEnd"/>
      <w:r w:rsidRPr="00C26A9B">
        <w:rPr>
          <w:rFonts w:ascii="Times New Roman" w:hAnsi="Times New Roman" w:cs="Times New Roman"/>
          <w:bCs/>
          <w:sz w:val="24"/>
          <w:szCs w:val="24"/>
          <w:lang w:val="ro-RO"/>
        </w:rPr>
        <w:t xml:space="preserve"> în conformitate cu cadrul contabil aplicabil băncii;</w:t>
      </w:r>
    </w:p>
    <w:p w14:paraId="1699CF5E" w14:textId="77777777" w:rsidR="005C29F8" w:rsidRPr="00C26A9B" w:rsidRDefault="005C29F8" w:rsidP="005C29F8">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16.5. instrumentele care rezultă din </w:t>
      </w:r>
      <w:proofErr w:type="spellStart"/>
      <w:r w:rsidRPr="00C26A9B">
        <w:rPr>
          <w:rFonts w:ascii="Times New Roman" w:hAnsi="Times New Roman" w:cs="Times New Roman"/>
          <w:bCs/>
          <w:sz w:val="24"/>
          <w:szCs w:val="24"/>
          <w:lang w:val="ro-RO"/>
        </w:rPr>
        <w:t>activităţile</w:t>
      </w:r>
      <w:proofErr w:type="spellEnd"/>
      <w:r w:rsidRPr="00C26A9B">
        <w:rPr>
          <w:rFonts w:ascii="Times New Roman" w:hAnsi="Times New Roman" w:cs="Times New Roman"/>
          <w:bCs/>
          <w:sz w:val="24"/>
          <w:szCs w:val="24"/>
          <w:lang w:val="ro-RO"/>
        </w:rPr>
        <w:t xml:space="preserve"> de formare a </w:t>
      </w:r>
      <w:proofErr w:type="spellStart"/>
      <w:r w:rsidRPr="00C26A9B">
        <w:rPr>
          <w:rFonts w:ascii="Times New Roman" w:hAnsi="Times New Roman" w:cs="Times New Roman"/>
          <w:bCs/>
          <w:sz w:val="24"/>
          <w:szCs w:val="24"/>
          <w:lang w:val="ro-RO"/>
        </w:rPr>
        <w:t>pieţei</w:t>
      </w:r>
      <w:proofErr w:type="spellEnd"/>
      <w:r w:rsidRPr="00C26A9B">
        <w:rPr>
          <w:rFonts w:ascii="Times New Roman" w:hAnsi="Times New Roman" w:cs="Times New Roman"/>
          <w:bCs/>
          <w:sz w:val="24"/>
          <w:szCs w:val="24"/>
          <w:lang w:val="ro-RO"/>
        </w:rPr>
        <w:t>;</w:t>
      </w:r>
    </w:p>
    <w:p w14:paraId="25B50C83" w14:textId="7EC90C5B" w:rsidR="005C29F8" w:rsidRPr="00C26A9B" w:rsidRDefault="005C29F8" w:rsidP="005C29F8">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16.6.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deţinute</w:t>
      </w:r>
      <w:proofErr w:type="spellEnd"/>
      <w:r w:rsidRPr="00C26A9B">
        <w:rPr>
          <w:rFonts w:ascii="Times New Roman" w:hAnsi="Times New Roman" w:cs="Times New Roman"/>
          <w:bCs/>
          <w:sz w:val="24"/>
          <w:szCs w:val="24"/>
          <w:lang w:val="ro-RO"/>
        </w:rPr>
        <w:t xml:space="preserve"> cu </w:t>
      </w:r>
      <w:proofErr w:type="spellStart"/>
      <w:r w:rsidRPr="00C26A9B">
        <w:rPr>
          <w:rFonts w:ascii="Times New Roman" w:hAnsi="Times New Roman" w:cs="Times New Roman"/>
          <w:bCs/>
          <w:sz w:val="24"/>
          <w:szCs w:val="24"/>
          <w:lang w:val="ro-RO"/>
        </w:rPr>
        <w:t>intenţia</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tranzacţionării</w:t>
      </w:r>
      <w:proofErr w:type="spellEnd"/>
      <w:r w:rsidRPr="00C26A9B">
        <w:rPr>
          <w:rFonts w:ascii="Times New Roman" w:hAnsi="Times New Roman" w:cs="Times New Roman"/>
          <w:bCs/>
          <w:sz w:val="24"/>
          <w:szCs w:val="24"/>
          <w:lang w:val="ro-RO"/>
        </w:rPr>
        <w:t xml:space="preserve"> în OPC-uri, cu </w:t>
      </w:r>
      <w:proofErr w:type="spellStart"/>
      <w:r w:rsidRPr="00C26A9B">
        <w:rPr>
          <w:rFonts w:ascii="Times New Roman" w:hAnsi="Times New Roman" w:cs="Times New Roman"/>
          <w:bCs/>
          <w:sz w:val="24"/>
          <w:szCs w:val="24"/>
          <w:lang w:val="ro-RO"/>
        </w:rPr>
        <w:t>condiţia</w:t>
      </w:r>
      <w:proofErr w:type="spellEnd"/>
      <w:r w:rsidRPr="00C26A9B">
        <w:rPr>
          <w:rFonts w:ascii="Times New Roman" w:hAnsi="Times New Roman" w:cs="Times New Roman"/>
          <w:bCs/>
          <w:sz w:val="24"/>
          <w:szCs w:val="24"/>
          <w:lang w:val="ro-RO"/>
        </w:rPr>
        <w:t xml:space="preserve"> ca respectivele OPC să îndeplinească cel </w:t>
      </w:r>
      <w:proofErr w:type="spellStart"/>
      <w:r w:rsidRPr="00C26A9B">
        <w:rPr>
          <w:rFonts w:ascii="Times New Roman" w:hAnsi="Times New Roman" w:cs="Times New Roman"/>
          <w:bCs/>
          <w:sz w:val="24"/>
          <w:szCs w:val="24"/>
          <w:lang w:val="ro-RO"/>
        </w:rPr>
        <w:t>puţin</w:t>
      </w:r>
      <w:proofErr w:type="spellEnd"/>
      <w:r w:rsidRPr="00C26A9B">
        <w:rPr>
          <w:rFonts w:ascii="Times New Roman" w:hAnsi="Times New Roman" w:cs="Times New Roman"/>
          <w:bCs/>
          <w:sz w:val="24"/>
          <w:szCs w:val="24"/>
          <w:lang w:val="ro-RO"/>
        </w:rPr>
        <w:t xml:space="preserve"> una dintre </w:t>
      </w:r>
      <w:proofErr w:type="spellStart"/>
      <w:r w:rsidRPr="00C26A9B">
        <w:rPr>
          <w:rFonts w:ascii="Times New Roman" w:hAnsi="Times New Roman" w:cs="Times New Roman"/>
          <w:bCs/>
          <w:sz w:val="24"/>
          <w:szCs w:val="24"/>
          <w:lang w:val="ro-RO"/>
        </w:rPr>
        <w:t>condiţiile</w:t>
      </w:r>
      <w:proofErr w:type="spellEnd"/>
      <w:r w:rsidRPr="00C26A9B">
        <w:rPr>
          <w:rFonts w:ascii="Times New Roman" w:hAnsi="Times New Roman" w:cs="Times New Roman"/>
          <w:bCs/>
          <w:sz w:val="24"/>
          <w:szCs w:val="24"/>
          <w:lang w:val="ro-RO"/>
        </w:rPr>
        <w:t xml:space="preserve"> prevăzute la</w:t>
      </w:r>
      <w:r w:rsidR="002233DC" w:rsidRPr="00C26A9B">
        <w:rPr>
          <w:rFonts w:ascii="Times New Roman" w:hAnsi="Times New Roman" w:cs="Times New Roman"/>
          <w:bCs/>
          <w:sz w:val="24"/>
          <w:szCs w:val="24"/>
          <w:lang w:val="ro-RO"/>
        </w:rPr>
        <w:t xml:space="preserve"> pct.24</w:t>
      </w:r>
      <w:r w:rsidRPr="00C26A9B">
        <w:rPr>
          <w:rFonts w:ascii="Times New Roman" w:hAnsi="Times New Roman" w:cs="Times New Roman"/>
          <w:bCs/>
          <w:sz w:val="24"/>
          <w:szCs w:val="24"/>
          <w:lang w:val="ro-RO"/>
        </w:rPr>
        <w:t>;</w:t>
      </w:r>
    </w:p>
    <w:p w14:paraId="2DADBC62" w14:textId="77777777" w:rsidR="005C29F8" w:rsidRPr="00C26A9B" w:rsidRDefault="005C29F8" w:rsidP="005C29F8">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16.7. titlurile de capital cotate;</w:t>
      </w:r>
    </w:p>
    <w:p w14:paraId="7D20B751" w14:textId="77777777" w:rsidR="005C29F8" w:rsidRPr="00C26A9B" w:rsidRDefault="005C29F8" w:rsidP="005C29F8">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16.8. </w:t>
      </w:r>
      <w:proofErr w:type="spellStart"/>
      <w:r w:rsidRPr="00C26A9B">
        <w:rPr>
          <w:rFonts w:ascii="Times New Roman" w:hAnsi="Times New Roman" w:cs="Times New Roman"/>
          <w:bCs/>
          <w:sz w:val="24"/>
          <w:szCs w:val="24"/>
          <w:lang w:val="ro-RO"/>
        </w:rPr>
        <w:t>operaţiunile</w:t>
      </w:r>
      <w:proofErr w:type="spellEnd"/>
      <w:r w:rsidRPr="00C26A9B">
        <w:rPr>
          <w:rFonts w:ascii="Times New Roman" w:hAnsi="Times New Roman" w:cs="Times New Roman"/>
          <w:bCs/>
          <w:sz w:val="24"/>
          <w:szCs w:val="24"/>
          <w:lang w:val="ro-RO"/>
        </w:rPr>
        <w:t xml:space="preserve"> de </w:t>
      </w:r>
      <w:proofErr w:type="spellStart"/>
      <w:r w:rsidRPr="00C26A9B">
        <w:rPr>
          <w:rFonts w:ascii="Times New Roman" w:hAnsi="Times New Roman" w:cs="Times New Roman"/>
          <w:bCs/>
          <w:sz w:val="24"/>
          <w:szCs w:val="24"/>
          <w:lang w:val="ro-RO"/>
        </w:rPr>
        <w:t>finanţare</w:t>
      </w:r>
      <w:proofErr w:type="spellEnd"/>
      <w:r w:rsidRPr="00C26A9B">
        <w:rPr>
          <w:rFonts w:ascii="Times New Roman" w:hAnsi="Times New Roman" w:cs="Times New Roman"/>
          <w:bCs/>
          <w:sz w:val="24"/>
          <w:szCs w:val="24"/>
          <w:lang w:val="ro-RO"/>
        </w:rPr>
        <w:t xml:space="preserve"> prin instrumente financiare legate de tranzacţionare;</w:t>
      </w:r>
    </w:p>
    <w:p w14:paraId="6B2595B6" w14:textId="77777777" w:rsidR="005C29F8" w:rsidRPr="00C26A9B" w:rsidRDefault="005C29F8" w:rsidP="005C29F8">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16.9. </w:t>
      </w:r>
      <w:proofErr w:type="spellStart"/>
      <w:r w:rsidRPr="00C26A9B">
        <w:rPr>
          <w:rFonts w:ascii="Times New Roman" w:hAnsi="Times New Roman" w:cs="Times New Roman"/>
          <w:bCs/>
          <w:sz w:val="24"/>
          <w:szCs w:val="24"/>
          <w:lang w:val="ro-RO"/>
        </w:rPr>
        <w:t>opţiunile</w:t>
      </w:r>
      <w:proofErr w:type="spellEnd"/>
      <w:r w:rsidRPr="00C26A9B">
        <w:rPr>
          <w:rFonts w:ascii="Times New Roman" w:hAnsi="Times New Roman" w:cs="Times New Roman"/>
          <w:bCs/>
          <w:sz w:val="24"/>
          <w:szCs w:val="24"/>
          <w:lang w:val="ro-RO"/>
        </w:rPr>
        <w:t xml:space="preserve"> sau alte instrumente financiare derivate încorporate în datoriile proprii ale băncii din afara portofoliului de tranzacţionare care sunt legate de riscul de credit sau de riscul privind titlurile de capital.</w:t>
      </w:r>
    </w:p>
    <w:p w14:paraId="1BED478D" w14:textId="6A986891" w:rsidR="005C29F8" w:rsidRPr="00C26A9B" w:rsidRDefault="005C29F8" w:rsidP="005C29F8">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17. În sensul</w:t>
      </w:r>
      <w:r w:rsidR="00926278" w:rsidRPr="00C26A9B">
        <w:rPr>
          <w:rFonts w:ascii="Times New Roman" w:hAnsi="Times New Roman" w:cs="Times New Roman"/>
          <w:bCs/>
          <w:sz w:val="24"/>
          <w:szCs w:val="24"/>
          <w:lang w:val="ro-RO"/>
        </w:rPr>
        <w:t xml:space="preserve"> </w:t>
      </w:r>
      <w:r w:rsidRPr="00C26A9B">
        <w:rPr>
          <w:rFonts w:ascii="Times New Roman" w:hAnsi="Times New Roman" w:cs="Times New Roman"/>
          <w:bCs/>
          <w:sz w:val="24"/>
          <w:szCs w:val="24"/>
          <w:lang w:val="ro-RO"/>
        </w:rPr>
        <w:t xml:space="preserve">subpct.16.2, o bancă </w:t>
      </w:r>
      <w:proofErr w:type="spellStart"/>
      <w:r w:rsidRPr="00C26A9B">
        <w:rPr>
          <w:rFonts w:ascii="Times New Roman" w:hAnsi="Times New Roman" w:cs="Times New Roman"/>
          <w:bCs/>
          <w:sz w:val="24"/>
          <w:szCs w:val="24"/>
          <w:lang w:val="ro-RO"/>
        </w:rPr>
        <w:t>deţine</w:t>
      </w:r>
      <w:proofErr w:type="spellEnd"/>
      <w:r w:rsidRPr="00C26A9B">
        <w:rPr>
          <w:rFonts w:ascii="Times New Roman" w:hAnsi="Times New Roman" w:cs="Times New Roman"/>
          <w:bCs/>
          <w:sz w:val="24"/>
          <w:szCs w:val="24"/>
          <w:lang w:val="ro-RO"/>
        </w:rPr>
        <w:t xml:space="preserve"> o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scurtă netă pe titluri de capital în cazul în care o scădere a </w:t>
      </w:r>
      <w:proofErr w:type="spellStart"/>
      <w:r w:rsidRPr="00C26A9B">
        <w:rPr>
          <w:rFonts w:ascii="Times New Roman" w:hAnsi="Times New Roman" w:cs="Times New Roman"/>
          <w:bCs/>
          <w:sz w:val="24"/>
          <w:szCs w:val="24"/>
          <w:lang w:val="ro-RO"/>
        </w:rPr>
        <w:t>preţului</w:t>
      </w:r>
      <w:proofErr w:type="spellEnd"/>
      <w:r w:rsidRPr="00C26A9B">
        <w:rPr>
          <w:rFonts w:ascii="Times New Roman" w:hAnsi="Times New Roman" w:cs="Times New Roman"/>
          <w:bCs/>
          <w:sz w:val="24"/>
          <w:szCs w:val="24"/>
          <w:lang w:val="ro-RO"/>
        </w:rPr>
        <w:t xml:space="preserve"> titlurilor de capital are ca rezultat </w:t>
      </w:r>
      <w:proofErr w:type="spellStart"/>
      <w:r w:rsidRPr="00C26A9B">
        <w:rPr>
          <w:rFonts w:ascii="Times New Roman" w:hAnsi="Times New Roman" w:cs="Times New Roman"/>
          <w:bCs/>
          <w:sz w:val="24"/>
          <w:szCs w:val="24"/>
          <w:lang w:val="ro-RO"/>
        </w:rPr>
        <w:t>obţinerea</w:t>
      </w:r>
      <w:proofErr w:type="spellEnd"/>
      <w:r w:rsidRPr="00C26A9B">
        <w:rPr>
          <w:rFonts w:ascii="Times New Roman" w:hAnsi="Times New Roman" w:cs="Times New Roman"/>
          <w:bCs/>
          <w:sz w:val="24"/>
          <w:szCs w:val="24"/>
          <w:lang w:val="ro-RO"/>
        </w:rPr>
        <w:t xml:space="preserve"> unui profit de către bancă. O bancă </w:t>
      </w:r>
      <w:proofErr w:type="spellStart"/>
      <w:r w:rsidRPr="00C26A9B">
        <w:rPr>
          <w:rFonts w:ascii="Times New Roman" w:hAnsi="Times New Roman" w:cs="Times New Roman"/>
          <w:bCs/>
          <w:sz w:val="24"/>
          <w:szCs w:val="24"/>
          <w:lang w:val="ro-RO"/>
        </w:rPr>
        <w:t>deţine</w:t>
      </w:r>
      <w:proofErr w:type="spellEnd"/>
      <w:r w:rsidRPr="00C26A9B">
        <w:rPr>
          <w:rFonts w:ascii="Times New Roman" w:hAnsi="Times New Roman" w:cs="Times New Roman"/>
          <w:bCs/>
          <w:sz w:val="24"/>
          <w:szCs w:val="24"/>
          <w:lang w:val="ro-RO"/>
        </w:rPr>
        <w:t xml:space="preserve"> o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scurtă netă de credit în cazul în care majorarea marjei de credit sau deteriorarea </w:t>
      </w:r>
      <w:proofErr w:type="spellStart"/>
      <w:r w:rsidRPr="00C26A9B">
        <w:rPr>
          <w:rFonts w:ascii="Times New Roman" w:hAnsi="Times New Roman" w:cs="Times New Roman"/>
          <w:bCs/>
          <w:sz w:val="24"/>
          <w:szCs w:val="24"/>
          <w:lang w:val="ro-RO"/>
        </w:rPr>
        <w:t>bonităţii</w:t>
      </w:r>
      <w:proofErr w:type="spellEnd"/>
      <w:r w:rsidRPr="00C26A9B">
        <w:rPr>
          <w:rFonts w:ascii="Times New Roman" w:hAnsi="Times New Roman" w:cs="Times New Roman"/>
          <w:bCs/>
          <w:sz w:val="24"/>
          <w:szCs w:val="24"/>
          <w:lang w:val="ro-RO"/>
        </w:rPr>
        <w:t xml:space="preserve"> emitentului sau a grupului de </w:t>
      </w:r>
      <w:proofErr w:type="spellStart"/>
      <w:r w:rsidRPr="00C26A9B">
        <w:rPr>
          <w:rFonts w:ascii="Times New Roman" w:hAnsi="Times New Roman" w:cs="Times New Roman"/>
          <w:bCs/>
          <w:sz w:val="24"/>
          <w:szCs w:val="24"/>
          <w:lang w:val="ro-RO"/>
        </w:rPr>
        <w:t>emitenţi</w:t>
      </w:r>
      <w:proofErr w:type="spellEnd"/>
      <w:r w:rsidRPr="00C26A9B">
        <w:rPr>
          <w:rFonts w:ascii="Times New Roman" w:hAnsi="Times New Roman" w:cs="Times New Roman"/>
          <w:bCs/>
          <w:sz w:val="24"/>
          <w:szCs w:val="24"/>
          <w:lang w:val="ro-RO"/>
        </w:rPr>
        <w:t xml:space="preserve"> are ca rezultat </w:t>
      </w:r>
      <w:proofErr w:type="spellStart"/>
      <w:r w:rsidRPr="00C26A9B">
        <w:rPr>
          <w:rFonts w:ascii="Times New Roman" w:hAnsi="Times New Roman" w:cs="Times New Roman"/>
          <w:bCs/>
          <w:sz w:val="24"/>
          <w:szCs w:val="24"/>
          <w:lang w:val="ro-RO"/>
        </w:rPr>
        <w:t>obţinerea</w:t>
      </w:r>
      <w:proofErr w:type="spellEnd"/>
      <w:r w:rsidRPr="00C26A9B">
        <w:rPr>
          <w:rFonts w:ascii="Times New Roman" w:hAnsi="Times New Roman" w:cs="Times New Roman"/>
          <w:bCs/>
          <w:sz w:val="24"/>
          <w:szCs w:val="24"/>
          <w:lang w:val="ro-RO"/>
        </w:rPr>
        <w:t xml:space="preserve"> unui profit de către bancă. Băncile monitorizează în </w:t>
      </w:r>
      <w:proofErr w:type="spellStart"/>
      <w:r w:rsidRPr="00C26A9B">
        <w:rPr>
          <w:rFonts w:ascii="Times New Roman" w:hAnsi="Times New Roman" w:cs="Times New Roman"/>
          <w:bCs/>
          <w:sz w:val="24"/>
          <w:szCs w:val="24"/>
          <w:lang w:val="ro-RO"/>
        </w:rPr>
        <w:t>permanenţă</w:t>
      </w:r>
      <w:proofErr w:type="spellEnd"/>
      <w:r w:rsidRPr="00C26A9B">
        <w:rPr>
          <w:rFonts w:ascii="Times New Roman" w:hAnsi="Times New Roman" w:cs="Times New Roman"/>
          <w:bCs/>
          <w:sz w:val="24"/>
          <w:szCs w:val="24"/>
          <w:lang w:val="ro-RO"/>
        </w:rPr>
        <w:t xml:space="preserve"> dacă instrumentele dau naștere unei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scurte nete de credit sau unei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scurte nete pe titluri de capital în afara portofoliului de tranzacţionare.</w:t>
      </w:r>
    </w:p>
    <w:p w14:paraId="27CFB49A" w14:textId="78DEBD5E" w:rsidR="005C29F8" w:rsidRPr="00C26A9B" w:rsidRDefault="005C29F8" w:rsidP="005C29F8">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18. În sensul subpct.16.9, o bancă separă </w:t>
      </w:r>
      <w:proofErr w:type="spellStart"/>
      <w:r w:rsidRPr="00C26A9B">
        <w:rPr>
          <w:rFonts w:ascii="Times New Roman" w:hAnsi="Times New Roman" w:cs="Times New Roman"/>
          <w:bCs/>
          <w:sz w:val="24"/>
          <w:szCs w:val="24"/>
          <w:lang w:val="ro-RO"/>
        </w:rPr>
        <w:t>opţiunea</w:t>
      </w:r>
      <w:proofErr w:type="spellEnd"/>
      <w:r w:rsidRPr="00C26A9B">
        <w:rPr>
          <w:rFonts w:ascii="Times New Roman" w:hAnsi="Times New Roman" w:cs="Times New Roman"/>
          <w:bCs/>
          <w:sz w:val="24"/>
          <w:szCs w:val="24"/>
          <w:lang w:val="ro-RO"/>
        </w:rPr>
        <w:t xml:space="preserve"> încorporată sau alte instrumente financiare derivate de datoria proprie din afara portofoliului de tranzacţionare care este legată de riscul de credit sau de riscul privind titlurile de capital. Aceasta atribuie </w:t>
      </w:r>
      <w:proofErr w:type="spellStart"/>
      <w:r w:rsidRPr="00C26A9B">
        <w:rPr>
          <w:rFonts w:ascii="Times New Roman" w:hAnsi="Times New Roman" w:cs="Times New Roman"/>
          <w:bCs/>
          <w:sz w:val="24"/>
          <w:szCs w:val="24"/>
          <w:lang w:val="ro-RO"/>
        </w:rPr>
        <w:t>opţiunea</w:t>
      </w:r>
      <w:proofErr w:type="spellEnd"/>
      <w:r w:rsidRPr="00C26A9B">
        <w:rPr>
          <w:rFonts w:ascii="Times New Roman" w:hAnsi="Times New Roman" w:cs="Times New Roman"/>
          <w:bCs/>
          <w:sz w:val="24"/>
          <w:szCs w:val="24"/>
          <w:lang w:val="ro-RO"/>
        </w:rPr>
        <w:t xml:space="preserve"> încorporată sau alte instrumente financiare derivate portofoliului de tranzacţionare și lasă datoria proprie în afara portofoliului de tranzacţionare. Dacă, în virtutea naturii sale, nu este posibilă separarea instrumentului, atunci banca atribuie întregul instrument portofoliului de tranzacţionare. În acest caz, aceasta documentează în mod corespunzător motivul aplicării tratamentului respectiv.</w:t>
      </w:r>
    </w:p>
    <w:p w14:paraId="039C6927" w14:textId="77777777" w:rsidR="00C31515" w:rsidRPr="00C26A9B" w:rsidRDefault="00C31515" w:rsidP="00C3151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19. Băncile nu atribuie portofoliului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pe următoarele instrumente:</w:t>
      </w:r>
    </w:p>
    <w:p w14:paraId="227AC015" w14:textId="77777777" w:rsidR="00C31515" w:rsidRPr="00C26A9B" w:rsidRDefault="00C31515" w:rsidP="00C3151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lastRenderedPageBreak/>
        <w:t>19.1. instrumentele desemnate pentru includerea într-un depozit de securitizare (</w:t>
      </w:r>
      <w:proofErr w:type="spellStart"/>
      <w:r w:rsidRPr="00C26A9B">
        <w:rPr>
          <w:rFonts w:ascii="Times New Roman" w:hAnsi="Times New Roman" w:cs="Times New Roman"/>
          <w:bCs/>
          <w:i/>
          <w:iCs/>
          <w:sz w:val="24"/>
          <w:szCs w:val="24"/>
          <w:lang w:val="ro-RO"/>
        </w:rPr>
        <w:t>securitisation</w:t>
      </w:r>
      <w:proofErr w:type="spellEnd"/>
      <w:r w:rsidRPr="00C26A9B">
        <w:rPr>
          <w:rFonts w:ascii="Times New Roman" w:hAnsi="Times New Roman" w:cs="Times New Roman"/>
          <w:bCs/>
          <w:i/>
          <w:iCs/>
          <w:sz w:val="24"/>
          <w:szCs w:val="24"/>
          <w:lang w:val="ro-RO"/>
        </w:rPr>
        <w:t xml:space="preserve"> </w:t>
      </w:r>
      <w:proofErr w:type="spellStart"/>
      <w:r w:rsidRPr="00C26A9B">
        <w:rPr>
          <w:rFonts w:ascii="Times New Roman" w:hAnsi="Times New Roman" w:cs="Times New Roman"/>
          <w:bCs/>
          <w:i/>
          <w:iCs/>
          <w:sz w:val="24"/>
          <w:szCs w:val="24"/>
          <w:lang w:val="ro-RO"/>
        </w:rPr>
        <w:t>warehouse</w:t>
      </w:r>
      <w:proofErr w:type="spellEnd"/>
      <w:r w:rsidRPr="00C26A9B">
        <w:rPr>
          <w:rFonts w:ascii="Times New Roman" w:hAnsi="Times New Roman" w:cs="Times New Roman"/>
          <w:bCs/>
          <w:sz w:val="24"/>
          <w:szCs w:val="24"/>
          <w:lang w:val="ro-RO"/>
        </w:rPr>
        <w:t>);</w:t>
      </w:r>
    </w:p>
    <w:p w14:paraId="5A27A0F9" w14:textId="77777777" w:rsidR="00C31515" w:rsidRPr="00C26A9B" w:rsidRDefault="00C31515" w:rsidP="00C3151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19.2. instrumentele legate de </w:t>
      </w:r>
      <w:proofErr w:type="spellStart"/>
      <w:r w:rsidRPr="00C26A9B">
        <w:rPr>
          <w:rFonts w:ascii="Times New Roman" w:hAnsi="Times New Roman" w:cs="Times New Roman"/>
          <w:bCs/>
          <w:sz w:val="24"/>
          <w:szCs w:val="24"/>
          <w:lang w:val="ro-RO"/>
        </w:rPr>
        <w:t>deţinerile</w:t>
      </w:r>
      <w:proofErr w:type="spellEnd"/>
      <w:r w:rsidRPr="00C26A9B">
        <w:rPr>
          <w:rFonts w:ascii="Times New Roman" w:hAnsi="Times New Roman" w:cs="Times New Roman"/>
          <w:bCs/>
          <w:sz w:val="24"/>
          <w:szCs w:val="24"/>
          <w:lang w:val="ro-RO"/>
        </w:rPr>
        <w:t xml:space="preserve"> de bunuri imobile;</w:t>
      </w:r>
    </w:p>
    <w:p w14:paraId="3D5744E7" w14:textId="77777777" w:rsidR="00C31515" w:rsidRPr="00C26A9B" w:rsidRDefault="00C31515" w:rsidP="00C3151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19.3. titlurile de capital necotate;</w:t>
      </w:r>
    </w:p>
    <w:p w14:paraId="57FB2097" w14:textId="77777777" w:rsidR="00C31515" w:rsidRPr="00C26A9B" w:rsidRDefault="00C31515" w:rsidP="00C3151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19.4. instrumentele legate de credite de retail și pentru IMM-uri;</w:t>
      </w:r>
    </w:p>
    <w:p w14:paraId="581E366B" w14:textId="77777777" w:rsidR="00C31515" w:rsidRPr="00C26A9B" w:rsidRDefault="00C31515" w:rsidP="00C3151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19.5.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pe alte OPC-uri decât cele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la subpct.16.6;</w:t>
      </w:r>
    </w:p>
    <w:p w14:paraId="1A1A807D" w14:textId="14449BE2" w:rsidR="00C31515" w:rsidRPr="00C26A9B" w:rsidRDefault="00C31515" w:rsidP="00C3151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19.6. contractele derivate și OPC-urile cu unul sau mai multe dintre instrumentele-suport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la</w:t>
      </w:r>
      <w:r w:rsidR="0083411F">
        <w:rPr>
          <w:rFonts w:ascii="Times New Roman" w:hAnsi="Times New Roman" w:cs="Times New Roman"/>
          <w:bCs/>
          <w:sz w:val="24"/>
          <w:szCs w:val="24"/>
          <w:lang w:val="ro-RO"/>
        </w:rPr>
        <w:t xml:space="preserve"> </w:t>
      </w:r>
      <w:r w:rsidRPr="00C26A9B">
        <w:rPr>
          <w:rFonts w:ascii="Times New Roman" w:hAnsi="Times New Roman" w:cs="Times New Roman"/>
          <w:bCs/>
          <w:sz w:val="24"/>
          <w:szCs w:val="24"/>
          <w:lang w:val="ro-RO"/>
        </w:rPr>
        <w:t>subpct.19.1-19.4;</w:t>
      </w:r>
    </w:p>
    <w:p w14:paraId="05BFF82E" w14:textId="77777777" w:rsidR="00C31515" w:rsidRPr="00C26A9B" w:rsidRDefault="00C31515" w:rsidP="00C3151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19.7. instrumentele </w:t>
      </w:r>
      <w:proofErr w:type="spellStart"/>
      <w:r w:rsidRPr="00C26A9B">
        <w:rPr>
          <w:rFonts w:ascii="Times New Roman" w:hAnsi="Times New Roman" w:cs="Times New Roman"/>
          <w:bCs/>
          <w:sz w:val="24"/>
          <w:szCs w:val="24"/>
          <w:lang w:val="ro-RO"/>
        </w:rPr>
        <w:t>deţinute</w:t>
      </w:r>
      <w:proofErr w:type="spellEnd"/>
      <w:r w:rsidRPr="00C26A9B">
        <w:rPr>
          <w:rFonts w:ascii="Times New Roman" w:hAnsi="Times New Roman" w:cs="Times New Roman"/>
          <w:bCs/>
          <w:sz w:val="24"/>
          <w:szCs w:val="24"/>
          <w:lang w:val="ro-RO"/>
        </w:rPr>
        <w:t xml:space="preserve"> pentru acoperirea unui anumit risc aferent uneia sau mai multor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pe un instrument </w:t>
      </w:r>
      <w:proofErr w:type="spellStart"/>
      <w:r w:rsidRPr="00C26A9B">
        <w:rPr>
          <w:rFonts w:ascii="Times New Roman" w:hAnsi="Times New Roman" w:cs="Times New Roman"/>
          <w:bCs/>
          <w:sz w:val="24"/>
          <w:szCs w:val="24"/>
          <w:lang w:val="ro-RO"/>
        </w:rPr>
        <w:t>menţionat</w:t>
      </w:r>
      <w:proofErr w:type="spellEnd"/>
      <w:r w:rsidRPr="00C26A9B">
        <w:rPr>
          <w:rFonts w:ascii="Times New Roman" w:hAnsi="Times New Roman" w:cs="Times New Roman"/>
          <w:bCs/>
          <w:sz w:val="24"/>
          <w:szCs w:val="24"/>
          <w:lang w:val="ro-RO"/>
        </w:rPr>
        <w:t xml:space="preserve"> la subpct.19.1-19.6, 19.8 și 19.9;</w:t>
      </w:r>
    </w:p>
    <w:p w14:paraId="30A0BC1A" w14:textId="77777777" w:rsidR="00C31515" w:rsidRPr="00C26A9B" w:rsidRDefault="00C31515" w:rsidP="00C3151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19.8. datoriile proprii ale băncii, cu excepţia cazului în care astfel de instrumente îndeplinesc criteriile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la subpct.16.5 sau criteriile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la subpct.18;</w:t>
      </w:r>
    </w:p>
    <w:p w14:paraId="5625CFA9" w14:textId="215CFE8C" w:rsidR="00C31515" w:rsidRPr="00C26A9B" w:rsidRDefault="00C31515" w:rsidP="00C3151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19.9. instrumentele din fonduri de </w:t>
      </w:r>
      <w:proofErr w:type="spellStart"/>
      <w:r w:rsidRPr="00C26A9B">
        <w:rPr>
          <w:rFonts w:ascii="Times New Roman" w:hAnsi="Times New Roman" w:cs="Times New Roman"/>
          <w:bCs/>
          <w:sz w:val="24"/>
          <w:szCs w:val="24"/>
          <w:lang w:val="ro-RO"/>
        </w:rPr>
        <w:t>hedging</w:t>
      </w:r>
      <w:proofErr w:type="spellEnd"/>
      <w:r w:rsidRPr="00C26A9B">
        <w:rPr>
          <w:rFonts w:ascii="Times New Roman" w:hAnsi="Times New Roman" w:cs="Times New Roman"/>
          <w:bCs/>
          <w:sz w:val="24"/>
          <w:szCs w:val="24"/>
          <w:lang w:val="ro-RO"/>
        </w:rPr>
        <w:t>.</w:t>
      </w:r>
    </w:p>
    <w:p w14:paraId="44BAFA6F" w14:textId="06A3B42B" w:rsidR="004915FE" w:rsidRPr="00C26A9B" w:rsidRDefault="004915FE" w:rsidP="00C3151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20. Prin derogare de la</w:t>
      </w:r>
      <w:r w:rsidR="000D08D4">
        <w:rPr>
          <w:rFonts w:ascii="Times New Roman" w:hAnsi="Times New Roman" w:cs="Times New Roman"/>
          <w:bCs/>
          <w:sz w:val="24"/>
          <w:szCs w:val="24"/>
          <w:lang w:val="ro-RO"/>
        </w:rPr>
        <w:t xml:space="preserve"> </w:t>
      </w:r>
      <w:r w:rsidRPr="00C26A9B">
        <w:rPr>
          <w:rFonts w:ascii="Times New Roman" w:hAnsi="Times New Roman" w:cs="Times New Roman"/>
          <w:bCs/>
          <w:sz w:val="24"/>
          <w:szCs w:val="24"/>
          <w:lang w:val="ro-RO"/>
        </w:rPr>
        <w:t xml:space="preserve">pct.16-18, o bancă poate lăsa în afara portofoliului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o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pe un instrument </w:t>
      </w:r>
      <w:proofErr w:type="spellStart"/>
      <w:r w:rsidRPr="00C26A9B">
        <w:rPr>
          <w:rFonts w:ascii="Times New Roman" w:hAnsi="Times New Roman" w:cs="Times New Roman"/>
          <w:bCs/>
          <w:sz w:val="24"/>
          <w:szCs w:val="24"/>
          <w:lang w:val="ro-RO"/>
        </w:rPr>
        <w:t>menţionat</w:t>
      </w:r>
      <w:proofErr w:type="spellEnd"/>
      <w:r w:rsidRPr="00C26A9B">
        <w:rPr>
          <w:rFonts w:ascii="Times New Roman" w:hAnsi="Times New Roman" w:cs="Times New Roman"/>
          <w:bCs/>
          <w:sz w:val="24"/>
          <w:szCs w:val="24"/>
          <w:lang w:val="ro-RO"/>
        </w:rPr>
        <w:t xml:space="preserve"> la subpct.16.4-16.9, sub rezerva aprobării de către BNM. BNM își dă aprobarea în cazul în care banca a demonstrat într-un mod considerat satisfăcător de BNM că </w:t>
      </w:r>
      <w:proofErr w:type="spellStart"/>
      <w:r w:rsidRPr="00C26A9B">
        <w:rPr>
          <w:rFonts w:ascii="Times New Roman" w:hAnsi="Times New Roman" w:cs="Times New Roman"/>
          <w:bCs/>
          <w:sz w:val="24"/>
          <w:szCs w:val="24"/>
          <w:lang w:val="ro-RO"/>
        </w:rPr>
        <w:t>poziţia</w:t>
      </w:r>
      <w:proofErr w:type="spellEnd"/>
      <w:r w:rsidRPr="00C26A9B">
        <w:rPr>
          <w:rFonts w:ascii="Times New Roman" w:hAnsi="Times New Roman" w:cs="Times New Roman"/>
          <w:bCs/>
          <w:sz w:val="24"/>
          <w:szCs w:val="24"/>
          <w:lang w:val="ro-RO"/>
        </w:rPr>
        <w:t xml:space="preserve"> nu este </w:t>
      </w:r>
      <w:proofErr w:type="spellStart"/>
      <w:r w:rsidRPr="00C26A9B">
        <w:rPr>
          <w:rFonts w:ascii="Times New Roman" w:hAnsi="Times New Roman" w:cs="Times New Roman"/>
          <w:bCs/>
          <w:sz w:val="24"/>
          <w:szCs w:val="24"/>
          <w:lang w:val="ro-RO"/>
        </w:rPr>
        <w:t>deţinută</w:t>
      </w:r>
      <w:proofErr w:type="spellEnd"/>
      <w:r w:rsidRPr="00C26A9B">
        <w:rPr>
          <w:rFonts w:ascii="Times New Roman" w:hAnsi="Times New Roman" w:cs="Times New Roman"/>
          <w:bCs/>
          <w:sz w:val="24"/>
          <w:szCs w:val="24"/>
          <w:lang w:val="ro-RO"/>
        </w:rPr>
        <w:t xml:space="preserve"> cu </w:t>
      </w:r>
      <w:proofErr w:type="spellStart"/>
      <w:r w:rsidRPr="00C26A9B">
        <w:rPr>
          <w:rFonts w:ascii="Times New Roman" w:hAnsi="Times New Roman" w:cs="Times New Roman"/>
          <w:bCs/>
          <w:sz w:val="24"/>
          <w:szCs w:val="24"/>
          <w:lang w:val="ro-RO"/>
        </w:rPr>
        <w:t>intenţia</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tranzacţionării</w:t>
      </w:r>
      <w:proofErr w:type="spellEnd"/>
      <w:r w:rsidRPr="00C26A9B">
        <w:rPr>
          <w:rFonts w:ascii="Times New Roman" w:hAnsi="Times New Roman" w:cs="Times New Roman"/>
          <w:bCs/>
          <w:sz w:val="24"/>
          <w:szCs w:val="24"/>
          <w:lang w:val="ro-RO"/>
        </w:rPr>
        <w:t xml:space="preserve"> sau nu acoperă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deţinute</w:t>
      </w:r>
      <w:proofErr w:type="spellEnd"/>
      <w:r w:rsidRPr="00C26A9B">
        <w:rPr>
          <w:rFonts w:ascii="Times New Roman" w:hAnsi="Times New Roman" w:cs="Times New Roman"/>
          <w:bCs/>
          <w:sz w:val="24"/>
          <w:szCs w:val="24"/>
          <w:lang w:val="ro-RO"/>
        </w:rPr>
        <w:t xml:space="preserve"> cu </w:t>
      </w:r>
      <w:proofErr w:type="spellStart"/>
      <w:r w:rsidRPr="00C26A9B">
        <w:rPr>
          <w:rFonts w:ascii="Times New Roman" w:hAnsi="Times New Roman" w:cs="Times New Roman"/>
          <w:bCs/>
          <w:sz w:val="24"/>
          <w:szCs w:val="24"/>
          <w:lang w:val="ro-RO"/>
        </w:rPr>
        <w:t>intenţia</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tranzacţionării</w:t>
      </w:r>
      <w:proofErr w:type="spellEnd"/>
      <w:r w:rsidRPr="00C26A9B">
        <w:rPr>
          <w:rFonts w:ascii="Times New Roman" w:hAnsi="Times New Roman" w:cs="Times New Roman"/>
          <w:bCs/>
          <w:sz w:val="24"/>
          <w:szCs w:val="24"/>
          <w:lang w:val="ro-RO"/>
        </w:rPr>
        <w:t>.</w:t>
      </w:r>
    </w:p>
    <w:p w14:paraId="6533A259" w14:textId="7095B1BC" w:rsidR="004915FE" w:rsidRPr="00C26A9B" w:rsidRDefault="004915FE" w:rsidP="00C3151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21. Prin derogare de la pct.19, o bancă poate atribui portofoliului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o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pe un instrument </w:t>
      </w:r>
      <w:proofErr w:type="spellStart"/>
      <w:r w:rsidRPr="00C26A9B">
        <w:rPr>
          <w:rFonts w:ascii="Times New Roman" w:hAnsi="Times New Roman" w:cs="Times New Roman"/>
          <w:bCs/>
          <w:sz w:val="24"/>
          <w:szCs w:val="24"/>
          <w:lang w:val="ro-RO"/>
        </w:rPr>
        <w:t>menţionat</w:t>
      </w:r>
      <w:proofErr w:type="spellEnd"/>
      <w:r w:rsidRPr="00C26A9B">
        <w:rPr>
          <w:rFonts w:ascii="Times New Roman" w:hAnsi="Times New Roman" w:cs="Times New Roman"/>
          <w:bCs/>
          <w:sz w:val="24"/>
          <w:szCs w:val="24"/>
          <w:lang w:val="ro-RO"/>
        </w:rPr>
        <w:t xml:space="preserve"> la subpct.19.9, sub rezerva aprobării de către BNM. BNM își dă aprobarea în cazul în care banca a demonstrat într-un mod considerat satisfăcător de BNM că </w:t>
      </w:r>
      <w:proofErr w:type="spellStart"/>
      <w:r w:rsidRPr="00C26A9B">
        <w:rPr>
          <w:rFonts w:ascii="Times New Roman" w:hAnsi="Times New Roman" w:cs="Times New Roman"/>
          <w:bCs/>
          <w:sz w:val="24"/>
          <w:szCs w:val="24"/>
          <w:lang w:val="ro-RO"/>
        </w:rPr>
        <w:t>poziţia</w:t>
      </w:r>
      <w:proofErr w:type="spellEnd"/>
      <w:r w:rsidRPr="00C26A9B">
        <w:rPr>
          <w:rFonts w:ascii="Times New Roman" w:hAnsi="Times New Roman" w:cs="Times New Roman"/>
          <w:bCs/>
          <w:sz w:val="24"/>
          <w:szCs w:val="24"/>
          <w:lang w:val="ro-RO"/>
        </w:rPr>
        <w:t xml:space="preserve"> este </w:t>
      </w:r>
      <w:proofErr w:type="spellStart"/>
      <w:r w:rsidRPr="00C26A9B">
        <w:rPr>
          <w:rFonts w:ascii="Times New Roman" w:hAnsi="Times New Roman" w:cs="Times New Roman"/>
          <w:bCs/>
          <w:sz w:val="24"/>
          <w:szCs w:val="24"/>
          <w:lang w:val="ro-RO"/>
        </w:rPr>
        <w:t>deţinută</w:t>
      </w:r>
      <w:proofErr w:type="spellEnd"/>
      <w:r w:rsidRPr="00C26A9B">
        <w:rPr>
          <w:rFonts w:ascii="Times New Roman" w:hAnsi="Times New Roman" w:cs="Times New Roman"/>
          <w:bCs/>
          <w:sz w:val="24"/>
          <w:szCs w:val="24"/>
          <w:lang w:val="ro-RO"/>
        </w:rPr>
        <w:t xml:space="preserve"> cu </w:t>
      </w:r>
      <w:proofErr w:type="spellStart"/>
      <w:r w:rsidRPr="00C26A9B">
        <w:rPr>
          <w:rFonts w:ascii="Times New Roman" w:hAnsi="Times New Roman" w:cs="Times New Roman"/>
          <w:bCs/>
          <w:sz w:val="24"/>
          <w:szCs w:val="24"/>
          <w:lang w:val="ro-RO"/>
        </w:rPr>
        <w:t>intenţia</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tranzacţionării</w:t>
      </w:r>
      <w:proofErr w:type="spellEnd"/>
      <w:r w:rsidRPr="00C26A9B">
        <w:rPr>
          <w:rFonts w:ascii="Times New Roman" w:hAnsi="Times New Roman" w:cs="Times New Roman"/>
          <w:bCs/>
          <w:sz w:val="24"/>
          <w:szCs w:val="24"/>
          <w:lang w:val="ro-RO"/>
        </w:rPr>
        <w:t xml:space="preserve"> sau acoperă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deţinute</w:t>
      </w:r>
      <w:proofErr w:type="spellEnd"/>
      <w:r w:rsidRPr="00C26A9B">
        <w:rPr>
          <w:rFonts w:ascii="Times New Roman" w:hAnsi="Times New Roman" w:cs="Times New Roman"/>
          <w:bCs/>
          <w:sz w:val="24"/>
          <w:szCs w:val="24"/>
          <w:lang w:val="ro-RO"/>
        </w:rPr>
        <w:t xml:space="preserve"> cu </w:t>
      </w:r>
      <w:proofErr w:type="spellStart"/>
      <w:r w:rsidRPr="00C26A9B">
        <w:rPr>
          <w:rFonts w:ascii="Times New Roman" w:hAnsi="Times New Roman" w:cs="Times New Roman"/>
          <w:bCs/>
          <w:sz w:val="24"/>
          <w:szCs w:val="24"/>
          <w:lang w:val="ro-RO"/>
        </w:rPr>
        <w:t>intenţia</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tranzacţionării</w:t>
      </w:r>
      <w:proofErr w:type="spellEnd"/>
      <w:r w:rsidRPr="00C26A9B">
        <w:rPr>
          <w:rFonts w:ascii="Times New Roman" w:hAnsi="Times New Roman" w:cs="Times New Roman"/>
          <w:bCs/>
          <w:sz w:val="24"/>
          <w:szCs w:val="24"/>
          <w:lang w:val="ro-RO"/>
        </w:rPr>
        <w:t xml:space="preserve"> și că banca întrunește cel </w:t>
      </w:r>
      <w:proofErr w:type="spellStart"/>
      <w:r w:rsidRPr="00C26A9B">
        <w:rPr>
          <w:rFonts w:ascii="Times New Roman" w:hAnsi="Times New Roman" w:cs="Times New Roman"/>
          <w:bCs/>
          <w:sz w:val="24"/>
          <w:szCs w:val="24"/>
          <w:lang w:val="ro-RO"/>
        </w:rPr>
        <w:t>puţin</w:t>
      </w:r>
      <w:proofErr w:type="spellEnd"/>
      <w:r w:rsidRPr="00C26A9B">
        <w:rPr>
          <w:rFonts w:ascii="Times New Roman" w:hAnsi="Times New Roman" w:cs="Times New Roman"/>
          <w:bCs/>
          <w:sz w:val="24"/>
          <w:szCs w:val="24"/>
          <w:lang w:val="ro-RO"/>
        </w:rPr>
        <w:t xml:space="preserve"> una dintre </w:t>
      </w:r>
      <w:proofErr w:type="spellStart"/>
      <w:r w:rsidRPr="00C26A9B">
        <w:rPr>
          <w:rFonts w:ascii="Times New Roman" w:hAnsi="Times New Roman" w:cs="Times New Roman"/>
          <w:bCs/>
          <w:sz w:val="24"/>
          <w:szCs w:val="24"/>
          <w:lang w:val="ro-RO"/>
        </w:rPr>
        <w:t>condiţiile</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la </w:t>
      </w:r>
      <w:r w:rsidR="002233DC" w:rsidRPr="00C26A9B">
        <w:rPr>
          <w:rFonts w:ascii="Times New Roman" w:hAnsi="Times New Roman" w:cs="Times New Roman"/>
          <w:bCs/>
          <w:sz w:val="24"/>
          <w:szCs w:val="24"/>
          <w:lang w:val="ro-RO"/>
        </w:rPr>
        <w:t>pct.24</w:t>
      </w:r>
      <w:r w:rsidRPr="00C26A9B">
        <w:rPr>
          <w:rFonts w:ascii="Times New Roman" w:hAnsi="Times New Roman" w:cs="Times New Roman"/>
          <w:bCs/>
          <w:sz w:val="24"/>
          <w:szCs w:val="24"/>
          <w:lang w:val="ro-RO"/>
        </w:rPr>
        <w:t xml:space="preserve"> pentru respectiva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w:t>
      </w:r>
    </w:p>
    <w:p w14:paraId="123158AC" w14:textId="2716EEA8" w:rsidR="00E4444B" w:rsidRPr="00C26A9B" w:rsidRDefault="00E4444B" w:rsidP="00C31515">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22. În cazul în care o bancă a atribuit portofoliului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o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pe un alt instrument decât instrumentele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la subpct.16.1, 16.2 sau 16.3, BNM îi poate solicita băncii să furnizeze dovezi pentru a justifica o astfel de atribuire. În cazul în care banca nu furnizează dovezi adecvate, BNM îi poate solicita băncii să reatribuie </w:t>
      </w:r>
      <w:proofErr w:type="spellStart"/>
      <w:r w:rsidRPr="00C26A9B">
        <w:rPr>
          <w:rFonts w:ascii="Times New Roman" w:hAnsi="Times New Roman" w:cs="Times New Roman"/>
          <w:bCs/>
          <w:sz w:val="24"/>
          <w:szCs w:val="24"/>
          <w:lang w:val="ro-RO"/>
        </w:rPr>
        <w:t>poziţia</w:t>
      </w:r>
      <w:proofErr w:type="spellEnd"/>
      <w:r w:rsidRPr="00C26A9B">
        <w:rPr>
          <w:rFonts w:ascii="Times New Roman" w:hAnsi="Times New Roman" w:cs="Times New Roman"/>
          <w:bCs/>
          <w:sz w:val="24"/>
          <w:szCs w:val="24"/>
          <w:lang w:val="ro-RO"/>
        </w:rPr>
        <w:t xml:space="preserve"> respectivă în afara portofoliului de tranzacţionare.</w:t>
      </w:r>
    </w:p>
    <w:p w14:paraId="59D86BF1" w14:textId="005A80FC" w:rsidR="00E4444B" w:rsidRPr="00C26A9B" w:rsidRDefault="00E4444B" w:rsidP="00E4444B">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23. În cazul în care o bancă a lăsat în afara portofoliului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o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pe un alt instrument decât instrumentele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la</w:t>
      </w:r>
      <w:r w:rsidR="006E7329" w:rsidRPr="00C26A9B">
        <w:rPr>
          <w:rFonts w:ascii="Times New Roman" w:hAnsi="Times New Roman" w:cs="Times New Roman"/>
          <w:bCs/>
          <w:sz w:val="24"/>
          <w:szCs w:val="24"/>
          <w:lang w:val="ro-RO"/>
        </w:rPr>
        <w:t xml:space="preserve"> </w:t>
      </w:r>
      <w:r w:rsidRPr="00C26A9B">
        <w:rPr>
          <w:rFonts w:ascii="Times New Roman" w:hAnsi="Times New Roman" w:cs="Times New Roman"/>
          <w:bCs/>
          <w:sz w:val="24"/>
          <w:szCs w:val="24"/>
          <w:lang w:val="ro-RO"/>
        </w:rPr>
        <w:t xml:space="preserve">pct.19, BNM îi poate solicita băncii să furnizeze dovezi pentru a justifica o astfel de atribuire. În cazul în care banca nu furnizează dovezi adecvate, BNM îi poate solicita băncii să reatribuie </w:t>
      </w:r>
      <w:proofErr w:type="spellStart"/>
      <w:r w:rsidRPr="00C26A9B">
        <w:rPr>
          <w:rFonts w:ascii="Times New Roman" w:hAnsi="Times New Roman" w:cs="Times New Roman"/>
          <w:bCs/>
          <w:sz w:val="24"/>
          <w:szCs w:val="24"/>
          <w:lang w:val="ro-RO"/>
        </w:rPr>
        <w:t>poziţia</w:t>
      </w:r>
      <w:proofErr w:type="spellEnd"/>
      <w:r w:rsidRPr="00C26A9B">
        <w:rPr>
          <w:rFonts w:ascii="Times New Roman" w:hAnsi="Times New Roman" w:cs="Times New Roman"/>
          <w:bCs/>
          <w:sz w:val="24"/>
          <w:szCs w:val="24"/>
          <w:lang w:val="ro-RO"/>
        </w:rPr>
        <w:t xml:space="preserve"> respectivă portofoliului de tranzacţionare.</w:t>
      </w:r>
    </w:p>
    <w:p w14:paraId="3E9BA2FB" w14:textId="77777777" w:rsidR="002233DC" w:rsidRPr="00C26A9B" w:rsidRDefault="002233DC" w:rsidP="002233DC">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24. O bancă atribuie portofoliului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o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pe un OPC, alta decât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la subpct.19.6, care este </w:t>
      </w:r>
      <w:proofErr w:type="spellStart"/>
      <w:r w:rsidRPr="00C26A9B">
        <w:rPr>
          <w:rFonts w:ascii="Times New Roman" w:hAnsi="Times New Roman" w:cs="Times New Roman"/>
          <w:bCs/>
          <w:sz w:val="24"/>
          <w:szCs w:val="24"/>
          <w:lang w:val="ro-RO"/>
        </w:rPr>
        <w:t>deţinută</w:t>
      </w:r>
      <w:proofErr w:type="spellEnd"/>
      <w:r w:rsidRPr="00C26A9B">
        <w:rPr>
          <w:rFonts w:ascii="Times New Roman" w:hAnsi="Times New Roman" w:cs="Times New Roman"/>
          <w:bCs/>
          <w:sz w:val="24"/>
          <w:szCs w:val="24"/>
          <w:lang w:val="ro-RO"/>
        </w:rPr>
        <w:t xml:space="preserve"> cu </w:t>
      </w:r>
      <w:proofErr w:type="spellStart"/>
      <w:r w:rsidRPr="00C26A9B">
        <w:rPr>
          <w:rFonts w:ascii="Times New Roman" w:hAnsi="Times New Roman" w:cs="Times New Roman"/>
          <w:bCs/>
          <w:sz w:val="24"/>
          <w:szCs w:val="24"/>
          <w:lang w:val="ro-RO"/>
        </w:rPr>
        <w:t>intenţia</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tranzacţionării</w:t>
      </w:r>
      <w:proofErr w:type="spellEnd"/>
      <w:r w:rsidRPr="00C26A9B">
        <w:rPr>
          <w:rFonts w:ascii="Times New Roman" w:hAnsi="Times New Roman" w:cs="Times New Roman"/>
          <w:bCs/>
          <w:sz w:val="24"/>
          <w:szCs w:val="24"/>
          <w:lang w:val="ro-RO"/>
        </w:rPr>
        <w:t xml:space="preserve">, în cazul în care banca îndeplinește oricare dintre următoarele </w:t>
      </w:r>
      <w:proofErr w:type="spellStart"/>
      <w:r w:rsidRPr="00C26A9B">
        <w:rPr>
          <w:rFonts w:ascii="Times New Roman" w:hAnsi="Times New Roman" w:cs="Times New Roman"/>
          <w:bCs/>
          <w:sz w:val="24"/>
          <w:szCs w:val="24"/>
          <w:lang w:val="ro-RO"/>
        </w:rPr>
        <w:t>condiţii</w:t>
      </w:r>
      <w:proofErr w:type="spellEnd"/>
      <w:r w:rsidRPr="00C26A9B">
        <w:rPr>
          <w:rFonts w:ascii="Times New Roman" w:hAnsi="Times New Roman" w:cs="Times New Roman"/>
          <w:bCs/>
          <w:sz w:val="24"/>
          <w:szCs w:val="24"/>
          <w:lang w:val="ro-RO"/>
        </w:rPr>
        <w:t>:</w:t>
      </w:r>
    </w:p>
    <w:p w14:paraId="73C85BA9" w14:textId="77777777" w:rsidR="002233DC" w:rsidRPr="00C26A9B" w:rsidRDefault="002233DC" w:rsidP="002233DC">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24.1. banca este în măsură să </w:t>
      </w:r>
      <w:proofErr w:type="spellStart"/>
      <w:r w:rsidRPr="00C26A9B">
        <w:rPr>
          <w:rFonts w:ascii="Times New Roman" w:hAnsi="Times New Roman" w:cs="Times New Roman"/>
          <w:bCs/>
          <w:sz w:val="24"/>
          <w:szCs w:val="24"/>
          <w:lang w:val="ro-RO"/>
        </w:rPr>
        <w:t>obţină</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informaţii</w:t>
      </w:r>
      <w:proofErr w:type="spellEnd"/>
      <w:r w:rsidRPr="00C26A9B">
        <w:rPr>
          <w:rFonts w:ascii="Times New Roman" w:hAnsi="Times New Roman" w:cs="Times New Roman"/>
          <w:bCs/>
          <w:sz w:val="24"/>
          <w:szCs w:val="24"/>
          <w:lang w:val="ro-RO"/>
        </w:rPr>
        <w:t xml:space="preserve"> suficiente cu privire la expunerile-suport individuale ale OPC-ului;</w:t>
      </w:r>
    </w:p>
    <w:p w14:paraId="3A0DCDC4" w14:textId="6871527C" w:rsidR="002233DC" w:rsidRPr="00C26A9B" w:rsidRDefault="002233DC" w:rsidP="002233DC">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24.2. banca nu este în măsură să </w:t>
      </w:r>
      <w:proofErr w:type="spellStart"/>
      <w:r w:rsidRPr="00C26A9B">
        <w:rPr>
          <w:rFonts w:ascii="Times New Roman" w:hAnsi="Times New Roman" w:cs="Times New Roman"/>
          <w:bCs/>
          <w:sz w:val="24"/>
          <w:szCs w:val="24"/>
          <w:lang w:val="ro-RO"/>
        </w:rPr>
        <w:t>obţină</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informaţii</w:t>
      </w:r>
      <w:proofErr w:type="spellEnd"/>
      <w:r w:rsidRPr="00C26A9B">
        <w:rPr>
          <w:rFonts w:ascii="Times New Roman" w:hAnsi="Times New Roman" w:cs="Times New Roman"/>
          <w:bCs/>
          <w:sz w:val="24"/>
          <w:szCs w:val="24"/>
          <w:lang w:val="ro-RO"/>
        </w:rPr>
        <w:t xml:space="preserve"> suficiente cu privire la expunerile-suport individuale ale OPC-ului, dar cunoaște </w:t>
      </w:r>
      <w:proofErr w:type="spellStart"/>
      <w:r w:rsidRPr="00C26A9B">
        <w:rPr>
          <w:rFonts w:ascii="Times New Roman" w:hAnsi="Times New Roman" w:cs="Times New Roman"/>
          <w:bCs/>
          <w:sz w:val="24"/>
          <w:szCs w:val="24"/>
          <w:lang w:val="ro-RO"/>
        </w:rPr>
        <w:t>conţinutul</w:t>
      </w:r>
      <w:proofErr w:type="spellEnd"/>
      <w:r w:rsidRPr="00C26A9B">
        <w:rPr>
          <w:rFonts w:ascii="Times New Roman" w:hAnsi="Times New Roman" w:cs="Times New Roman"/>
          <w:bCs/>
          <w:sz w:val="24"/>
          <w:szCs w:val="24"/>
          <w:lang w:val="ro-RO"/>
        </w:rPr>
        <w:t xml:space="preserve"> mandatului OPC-ului și poate </w:t>
      </w:r>
      <w:proofErr w:type="spellStart"/>
      <w:r w:rsidRPr="00C26A9B">
        <w:rPr>
          <w:rFonts w:ascii="Times New Roman" w:hAnsi="Times New Roman" w:cs="Times New Roman"/>
          <w:bCs/>
          <w:sz w:val="24"/>
          <w:szCs w:val="24"/>
          <w:lang w:val="ro-RO"/>
        </w:rPr>
        <w:t>obţine</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cotaţii</w:t>
      </w:r>
      <w:proofErr w:type="spellEnd"/>
      <w:r w:rsidRPr="00C26A9B">
        <w:rPr>
          <w:rFonts w:ascii="Times New Roman" w:hAnsi="Times New Roman" w:cs="Times New Roman"/>
          <w:bCs/>
          <w:sz w:val="24"/>
          <w:szCs w:val="24"/>
          <w:lang w:val="ro-RO"/>
        </w:rPr>
        <w:t xml:space="preserve"> de </w:t>
      </w:r>
      <w:proofErr w:type="spellStart"/>
      <w:r w:rsidRPr="00C26A9B">
        <w:rPr>
          <w:rFonts w:ascii="Times New Roman" w:hAnsi="Times New Roman" w:cs="Times New Roman"/>
          <w:bCs/>
          <w:sz w:val="24"/>
          <w:szCs w:val="24"/>
          <w:lang w:val="ro-RO"/>
        </w:rPr>
        <w:t>preţ</w:t>
      </w:r>
      <w:proofErr w:type="spellEnd"/>
      <w:r w:rsidRPr="00C26A9B">
        <w:rPr>
          <w:rFonts w:ascii="Times New Roman" w:hAnsi="Times New Roman" w:cs="Times New Roman"/>
          <w:bCs/>
          <w:sz w:val="24"/>
          <w:szCs w:val="24"/>
          <w:lang w:val="ro-RO"/>
        </w:rPr>
        <w:t xml:space="preserve"> zilnice pentru OPC.</w:t>
      </w:r>
    </w:p>
    <w:p w14:paraId="60AEF565" w14:textId="1A21A681" w:rsidR="00A053F6" w:rsidRPr="00C26A9B" w:rsidRDefault="00A053F6" w:rsidP="00E4444B">
      <w:pPr>
        <w:rPr>
          <w:rFonts w:ascii="Times New Roman" w:hAnsi="Times New Roman" w:cs="Times New Roman"/>
          <w:b/>
          <w:bCs/>
          <w:sz w:val="24"/>
          <w:szCs w:val="24"/>
          <w:lang w:val="ro-RO"/>
        </w:rPr>
      </w:pPr>
      <w:proofErr w:type="spellStart"/>
      <w:r w:rsidRPr="00CC1E9B">
        <w:rPr>
          <w:rFonts w:ascii="Times New Roman" w:hAnsi="Times New Roman" w:cs="Times New Roman"/>
          <w:b/>
          <w:sz w:val="24"/>
          <w:szCs w:val="24"/>
          <w:lang w:val="ro-RO"/>
        </w:rPr>
        <w:t>Secţiunea</w:t>
      </w:r>
      <w:proofErr w:type="spellEnd"/>
      <w:r w:rsidRPr="00CC1E9B">
        <w:rPr>
          <w:rFonts w:ascii="Times New Roman" w:hAnsi="Times New Roman" w:cs="Times New Roman"/>
          <w:b/>
          <w:sz w:val="24"/>
          <w:szCs w:val="24"/>
          <w:lang w:val="ro-RO"/>
        </w:rPr>
        <w:t xml:space="preserve"> 4.</w:t>
      </w:r>
      <w:r w:rsidRPr="00CC1E9B">
        <w:rPr>
          <w:rFonts w:ascii="Times New Roman" w:hAnsi="Times New Roman" w:cs="Times New Roman"/>
          <w:bCs/>
          <w:sz w:val="24"/>
          <w:szCs w:val="24"/>
          <w:lang w:val="ro-RO"/>
        </w:rPr>
        <w:t xml:space="preserve"> </w:t>
      </w:r>
      <w:r w:rsidRPr="00C26A9B">
        <w:rPr>
          <w:rFonts w:ascii="Times New Roman" w:hAnsi="Times New Roman" w:cs="Times New Roman"/>
          <w:b/>
          <w:bCs/>
          <w:sz w:val="24"/>
          <w:szCs w:val="24"/>
          <w:lang w:val="ro-RO"/>
        </w:rPr>
        <w:t xml:space="preserve">Reclasificarea unei </w:t>
      </w:r>
      <w:proofErr w:type="spellStart"/>
      <w:r w:rsidRPr="00C26A9B">
        <w:rPr>
          <w:rFonts w:ascii="Times New Roman" w:hAnsi="Times New Roman" w:cs="Times New Roman"/>
          <w:b/>
          <w:bCs/>
          <w:sz w:val="24"/>
          <w:szCs w:val="24"/>
          <w:lang w:val="ro-RO"/>
        </w:rPr>
        <w:t>poziţii</w:t>
      </w:r>
      <w:proofErr w:type="spellEnd"/>
    </w:p>
    <w:p w14:paraId="6D6FB404" w14:textId="69F7BC19" w:rsidR="00A053F6" w:rsidRPr="00C26A9B" w:rsidRDefault="00A053F6" w:rsidP="00A053F6">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25. Băncile dispun de politici clar definite pentru a identifica </w:t>
      </w:r>
      <w:proofErr w:type="spellStart"/>
      <w:r w:rsidRPr="00C26A9B">
        <w:rPr>
          <w:rFonts w:ascii="Times New Roman" w:hAnsi="Times New Roman" w:cs="Times New Roman"/>
          <w:sz w:val="24"/>
          <w:szCs w:val="24"/>
          <w:lang w:val="ro-RO"/>
        </w:rPr>
        <w:t>circumstanţele</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excepţionale</w:t>
      </w:r>
      <w:proofErr w:type="spellEnd"/>
      <w:r w:rsidRPr="00C26A9B">
        <w:rPr>
          <w:rFonts w:ascii="Times New Roman" w:hAnsi="Times New Roman" w:cs="Times New Roman"/>
          <w:sz w:val="24"/>
          <w:szCs w:val="24"/>
          <w:lang w:val="ro-RO"/>
        </w:rPr>
        <w:t xml:space="preserve"> care justifică reclasificarea unei </w:t>
      </w:r>
      <w:proofErr w:type="spellStart"/>
      <w:r w:rsidRPr="00C26A9B">
        <w:rPr>
          <w:rFonts w:ascii="Times New Roman" w:hAnsi="Times New Roman" w:cs="Times New Roman"/>
          <w:sz w:val="24"/>
          <w:szCs w:val="24"/>
          <w:lang w:val="ro-RO"/>
        </w:rPr>
        <w:t>poziţii</w:t>
      </w:r>
      <w:proofErr w:type="spellEnd"/>
      <w:r w:rsidRPr="00C26A9B">
        <w:rPr>
          <w:rFonts w:ascii="Times New Roman" w:hAnsi="Times New Roman" w:cs="Times New Roman"/>
          <w:sz w:val="24"/>
          <w:szCs w:val="24"/>
          <w:lang w:val="ro-RO"/>
        </w:rPr>
        <w:t xml:space="preserve"> din portofoliul de </w:t>
      </w:r>
      <w:proofErr w:type="spellStart"/>
      <w:r w:rsidRPr="00C26A9B">
        <w:rPr>
          <w:rFonts w:ascii="Times New Roman" w:hAnsi="Times New Roman" w:cs="Times New Roman"/>
          <w:sz w:val="24"/>
          <w:szCs w:val="24"/>
          <w:lang w:val="ro-RO"/>
        </w:rPr>
        <w:t>tranzacţionare</w:t>
      </w:r>
      <w:proofErr w:type="spellEnd"/>
      <w:r w:rsidRPr="00C26A9B">
        <w:rPr>
          <w:rFonts w:ascii="Times New Roman" w:hAnsi="Times New Roman" w:cs="Times New Roman"/>
          <w:sz w:val="24"/>
          <w:szCs w:val="24"/>
          <w:lang w:val="ro-RO"/>
        </w:rPr>
        <w:t xml:space="preserve"> ca </w:t>
      </w:r>
      <w:proofErr w:type="spellStart"/>
      <w:r w:rsidRPr="00C26A9B">
        <w:rPr>
          <w:rFonts w:ascii="Times New Roman" w:hAnsi="Times New Roman" w:cs="Times New Roman"/>
          <w:sz w:val="24"/>
          <w:szCs w:val="24"/>
          <w:lang w:val="ro-RO"/>
        </w:rPr>
        <w:t>poziţie</w:t>
      </w:r>
      <w:proofErr w:type="spellEnd"/>
      <w:r w:rsidRPr="00C26A9B">
        <w:rPr>
          <w:rFonts w:ascii="Times New Roman" w:hAnsi="Times New Roman" w:cs="Times New Roman"/>
          <w:sz w:val="24"/>
          <w:szCs w:val="24"/>
          <w:lang w:val="ro-RO"/>
        </w:rPr>
        <w:t xml:space="preserve"> din afara portofoliului de tranzacţionare sau, invers, reclasificarea unei </w:t>
      </w:r>
      <w:proofErr w:type="spellStart"/>
      <w:r w:rsidRPr="00C26A9B">
        <w:rPr>
          <w:rFonts w:ascii="Times New Roman" w:hAnsi="Times New Roman" w:cs="Times New Roman"/>
          <w:sz w:val="24"/>
          <w:szCs w:val="24"/>
          <w:lang w:val="ro-RO"/>
        </w:rPr>
        <w:t>poziţii</w:t>
      </w:r>
      <w:proofErr w:type="spellEnd"/>
      <w:r w:rsidRPr="00C26A9B">
        <w:rPr>
          <w:rFonts w:ascii="Times New Roman" w:hAnsi="Times New Roman" w:cs="Times New Roman"/>
          <w:sz w:val="24"/>
          <w:szCs w:val="24"/>
          <w:lang w:val="ro-RO"/>
        </w:rPr>
        <w:t xml:space="preserve"> din afara portofoliului de </w:t>
      </w:r>
      <w:proofErr w:type="spellStart"/>
      <w:r w:rsidRPr="00C26A9B">
        <w:rPr>
          <w:rFonts w:ascii="Times New Roman" w:hAnsi="Times New Roman" w:cs="Times New Roman"/>
          <w:sz w:val="24"/>
          <w:szCs w:val="24"/>
          <w:lang w:val="ro-RO"/>
        </w:rPr>
        <w:t>tranzacţionare</w:t>
      </w:r>
      <w:proofErr w:type="spellEnd"/>
      <w:r w:rsidRPr="00C26A9B">
        <w:rPr>
          <w:rFonts w:ascii="Times New Roman" w:hAnsi="Times New Roman" w:cs="Times New Roman"/>
          <w:sz w:val="24"/>
          <w:szCs w:val="24"/>
          <w:lang w:val="ro-RO"/>
        </w:rPr>
        <w:t xml:space="preserve"> ca </w:t>
      </w:r>
      <w:proofErr w:type="spellStart"/>
      <w:r w:rsidRPr="00C26A9B">
        <w:rPr>
          <w:rFonts w:ascii="Times New Roman" w:hAnsi="Times New Roman" w:cs="Times New Roman"/>
          <w:sz w:val="24"/>
          <w:szCs w:val="24"/>
          <w:lang w:val="ro-RO"/>
        </w:rPr>
        <w:t>poziţie</w:t>
      </w:r>
      <w:proofErr w:type="spellEnd"/>
      <w:r w:rsidRPr="00C26A9B">
        <w:rPr>
          <w:rFonts w:ascii="Times New Roman" w:hAnsi="Times New Roman" w:cs="Times New Roman"/>
          <w:sz w:val="24"/>
          <w:szCs w:val="24"/>
          <w:lang w:val="ro-RO"/>
        </w:rPr>
        <w:t xml:space="preserve"> din portofoliul de </w:t>
      </w:r>
      <w:r w:rsidRPr="00C26A9B">
        <w:rPr>
          <w:rFonts w:ascii="Times New Roman" w:hAnsi="Times New Roman" w:cs="Times New Roman"/>
          <w:sz w:val="24"/>
          <w:szCs w:val="24"/>
          <w:lang w:val="ro-RO"/>
        </w:rPr>
        <w:lastRenderedPageBreak/>
        <w:t xml:space="preserve">tranzacţionare în scopul determinării </w:t>
      </w:r>
      <w:proofErr w:type="spellStart"/>
      <w:r w:rsidRPr="00C26A9B">
        <w:rPr>
          <w:rFonts w:ascii="Times New Roman" w:hAnsi="Times New Roman" w:cs="Times New Roman"/>
          <w:sz w:val="24"/>
          <w:szCs w:val="24"/>
          <w:lang w:val="ro-RO"/>
        </w:rPr>
        <w:t>cerinţelor</w:t>
      </w:r>
      <w:proofErr w:type="spellEnd"/>
      <w:r w:rsidRPr="00C26A9B">
        <w:rPr>
          <w:rFonts w:ascii="Times New Roman" w:hAnsi="Times New Roman" w:cs="Times New Roman"/>
          <w:sz w:val="24"/>
          <w:szCs w:val="24"/>
          <w:lang w:val="ro-RO"/>
        </w:rPr>
        <w:t xml:space="preserve"> de fonduri proprii într-un mod pe care BNM îl consideră satisfăcător. Băncile revizuiesc aceste politici cel </w:t>
      </w:r>
      <w:proofErr w:type="spellStart"/>
      <w:r w:rsidRPr="00C26A9B">
        <w:rPr>
          <w:rFonts w:ascii="Times New Roman" w:hAnsi="Times New Roman" w:cs="Times New Roman"/>
          <w:sz w:val="24"/>
          <w:szCs w:val="24"/>
          <w:lang w:val="ro-RO"/>
        </w:rPr>
        <w:t>puţin</w:t>
      </w:r>
      <w:proofErr w:type="spellEnd"/>
      <w:r w:rsidRPr="00C26A9B">
        <w:rPr>
          <w:rFonts w:ascii="Times New Roman" w:hAnsi="Times New Roman" w:cs="Times New Roman"/>
          <w:sz w:val="24"/>
          <w:szCs w:val="24"/>
          <w:lang w:val="ro-RO"/>
        </w:rPr>
        <w:t xml:space="preserve"> anual.</w:t>
      </w:r>
    </w:p>
    <w:p w14:paraId="11F009FA" w14:textId="5FF80CDB" w:rsidR="00A053F6" w:rsidRPr="00C26A9B" w:rsidRDefault="00A053F6" w:rsidP="00A053F6">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26. BNM acordă aprobarea pentru reclasificarea unei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din portofoliul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ca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din afara portofoliului de tranzacţionare sau, invers, a unei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din afara portofoliului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ca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din portofoliul de tranzacţionare în scopul determinării </w:t>
      </w:r>
      <w:proofErr w:type="spellStart"/>
      <w:r w:rsidRPr="00C26A9B">
        <w:rPr>
          <w:rFonts w:ascii="Times New Roman" w:hAnsi="Times New Roman" w:cs="Times New Roman"/>
          <w:bCs/>
          <w:sz w:val="24"/>
          <w:szCs w:val="24"/>
          <w:lang w:val="ro-RO"/>
        </w:rPr>
        <w:t>cerinţelor</w:t>
      </w:r>
      <w:proofErr w:type="spellEnd"/>
      <w:r w:rsidRPr="00C26A9B">
        <w:rPr>
          <w:rFonts w:ascii="Times New Roman" w:hAnsi="Times New Roman" w:cs="Times New Roman"/>
          <w:bCs/>
          <w:sz w:val="24"/>
          <w:szCs w:val="24"/>
          <w:lang w:val="ro-RO"/>
        </w:rPr>
        <w:t xml:space="preserve"> de fonduri proprii numai dacă banca a furnizat BNM dovezi scrise că decizia sa de a reclasifica </w:t>
      </w:r>
      <w:proofErr w:type="spellStart"/>
      <w:r w:rsidRPr="00C26A9B">
        <w:rPr>
          <w:rFonts w:ascii="Times New Roman" w:hAnsi="Times New Roman" w:cs="Times New Roman"/>
          <w:bCs/>
          <w:sz w:val="24"/>
          <w:szCs w:val="24"/>
          <w:lang w:val="ro-RO"/>
        </w:rPr>
        <w:t>poziţia</w:t>
      </w:r>
      <w:proofErr w:type="spellEnd"/>
      <w:r w:rsidRPr="00C26A9B">
        <w:rPr>
          <w:rFonts w:ascii="Times New Roman" w:hAnsi="Times New Roman" w:cs="Times New Roman"/>
          <w:bCs/>
          <w:sz w:val="24"/>
          <w:szCs w:val="24"/>
          <w:lang w:val="ro-RO"/>
        </w:rPr>
        <w:t xml:space="preserve"> respectivă este cauzată de o </w:t>
      </w:r>
      <w:proofErr w:type="spellStart"/>
      <w:r w:rsidRPr="00C26A9B">
        <w:rPr>
          <w:rFonts w:ascii="Times New Roman" w:hAnsi="Times New Roman" w:cs="Times New Roman"/>
          <w:bCs/>
          <w:sz w:val="24"/>
          <w:szCs w:val="24"/>
          <w:lang w:val="ro-RO"/>
        </w:rPr>
        <w:t>circumstanţă</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excepţională</w:t>
      </w:r>
      <w:proofErr w:type="spellEnd"/>
      <w:r w:rsidRPr="00C26A9B">
        <w:rPr>
          <w:rFonts w:ascii="Times New Roman" w:hAnsi="Times New Roman" w:cs="Times New Roman"/>
          <w:bCs/>
          <w:sz w:val="24"/>
          <w:szCs w:val="24"/>
          <w:lang w:val="ro-RO"/>
        </w:rPr>
        <w:t xml:space="preserve"> care este în </w:t>
      </w:r>
      <w:proofErr w:type="spellStart"/>
      <w:r w:rsidRPr="00C26A9B">
        <w:rPr>
          <w:rFonts w:ascii="Times New Roman" w:hAnsi="Times New Roman" w:cs="Times New Roman"/>
          <w:bCs/>
          <w:sz w:val="24"/>
          <w:szCs w:val="24"/>
          <w:lang w:val="ro-RO"/>
        </w:rPr>
        <w:t>concordanţă</w:t>
      </w:r>
      <w:proofErr w:type="spellEnd"/>
      <w:r w:rsidRPr="00C26A9B">
        <w:rPr>
          <w:rFonts w:ascii="Times New Roman" w:hAnsi="Times New Roman" w:cs="Times New Roman"/>
          <w:bCs/>
          <w:sz w:val="24"/>
          <w:szCs w:val="24"/>
          <w:lang w:val="ro-RO"/>
        </w:rPr>
        <w:t xml:space="preserve"> cu politicile de care dispune banca în conformitate cu pct.25. În acest scop, banca prezintă suficiente dovezi care să ateste că </w:t>
      </w:r>
      <w:proofErr w:type="spellStart"/>
      <w:r w:rsidRPr="00C26A9B">
        <w:rPr>
          <w:rFonts w:ascii="Times New Roman" w:hAnsi="Times New Roman" w:cs="Times New Roman"/>
          <w:bCs/>
          <w:sz w:val="24"/>
          <w:szCs w:val="24"/>
          <w:lang w:val="ro-RO"/>
        </w:rPr>
        <w:t>poziţia</w:t>
      </w:r>
      <w:proofErr w:type="spellEnd"/>
      <w:r w:rsidRPr="00C26A9B">
        <w:rPr>
          <w:rFonts w:ascii="Times New Roman" w:hAnsi="Times New Roman" w:cs="Times New Roman"/>
          <w:bCs/>
          <w:sz w:val="24"/>
          <w:szCs w:val="24"/>
          <w:lang w:val="ro-RO"/>
        </w:rPr>
        <w:t xml:space="preserve"> nu mai îndeplinește </w:t>
      </w:r>
      <w:proofErr w:type="spellStart"/>
      <w:r w:rsidRPr="00C26A9B">
        <w:rPr>
          <w:rFonts w:ascii="Times New Roman" w:hAnsi="Times New Roman" w:cs="Times New Roman"/>
          <w:bCs/>
          <w:sz w:val="24"/>
          <w:szCs w:val="24"/>
          <w:lang w:val="ro-RO"/>
        </w:rPr>
        <w:t>condiţiile</w:t>
      </w:r>
      <w:proofErr w:type="spellEnd"/>
      <w:r w:rsidRPr="00C26A9B">
        <w:rPr>
          <w:rFonts w:ascii="Times New Roman" w:hAnsi="Times New Roman" w:cs="Times New Roman"/>
          <w:bCs/>
          <w:sz w:val="24"/>
          <w:szCs w:val="24"/>
          <w:lang w:val="ro-RO"/>
        </w:rPr>
        <w:t xml:space="preserve"> pentru a fi clasificată drept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din portofoliul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sau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din afara portofoliului de tranzacţionare în temeiul secțiunii 3.</w:t>
      </w:r>
    </w:p>
    <w:p w14:paraId="246C651C" w14:textId="3751DD59" w:rsidR="00A053F6" w:rsidRPr="00C26A9B" w:rsidRDefault="00A053F6" w:rsidP="00A053F6">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27. Decizia</w:t>
      </w:r>
      <w:r w:rsidR="00FD00F4" w:rsidRPr="00FD00F4">
        <w:t xml:space="preserve"> </w:t>
      </w:r>
      <w:r w:rsidR="00FD00F4" w:rsidRPr="00FD00F4">
        <w:rPr>
          <w:rFonts w:ascii="Times New Roman" w:hAnsi="Times New Roman" w:cs="Times New Roman"/>
          <w:bCs/>
          <w:sz w:val="24"/>
          <w:szCs w:val="24"/>
          <w:lang w:val="ro-RO"/>
        </w:rPr>
        <w:t>de reclasifica</w:t>
      </w:r>
      <w:r w:rsidR="00FD00F4">
        <w:rPr>
          <w:rFonts w:ascii="Times New Roman" w:hAnsi="Times New Roman" w:cs="Times New Roman"/>
          <w:bCs/>
          <w:sz w:val="24"/>
          <w:szCs w:val="24"/>
          <w:lang w:val="ro-RO"/>
        </w:rPr>
        <w:t>re a</w:t>
      </w:r>
      <w:r w:rsidR="00FD00F4" w:rsidRPr="00FD00F4">
        <w:rPr>
          <w:rFonts w:ascii="Times New Roman" w:hAnsi="Times New Roman" w:cs="Times New Roman"/>
          <w:bCs/>
          <w:sz w:val="24"/>
          <w:szCs w:val="24"/>
          <w:lang w:val="ro-RO"/>
        </w:rPr>
        <w:t xml:space="preserve"> </w:t>
      </w:r>
      <w:proofErr w:type="spellStart"/>
      <w:r w:rsidR="00FD00F4" w:rsidRPr="00FD00F4">
        <w:rPr>
          <w:rFonts w:ascii="Times New Roman" w:hAnsi="Times New Roman" w:cs="Times New Roman"/>
          <w:bCs/>
          <w:sz w:val="24"/>
          <w:szCs w:val="24"/>
          <w:lang w:val="ro-RO"/>
        </w:rPr>
        <w:t>poziţi</w:t>
      </w:r>
      <w:r w:rsidR="00FD00F4">
        <w:rPr>
          <w:rFonts w:ascii="Times New Roman" w:hAnsi="Times New Roman" w:cs="Times New Roman"/>
          <w:bCs/>
          <w:sz w:val="24"/>
          <w:szCs w:val="24"/>
          <w:lang w:val="ro-RO"/>
        </w:rPr>
        <w:t>ei</w:t>
      </w:r>
      <w:proofErr w:type="spellEnd"/>
      <w:r w:rsidR="00FD00F4" w:rsidRPr="00FD00F4">
        <w:rPr>
          <w:rFonts w:ascii="Times New Roman" w:hAnsi="Times New Roman" w:cs="Times New Roman"/>
          <w:bCs/>
          <w:sz w:val="24"/>
          <w:szCs w:val="24"/>
          <w:lang w:val="ro-RO"/>
        </w:rPr>
        <w:t xml:space="preserve"> respectiv</w:t>
      </w:r>
      <w:r w:rsidR="00FD00F4">
        <w:rPr>
          <w:rFonts w:ascii="Times New Roman" w:hAnsi="Times New Roman" w:cs="Times New Roman"/>
          <w:bCs/>
          <w:sz w:val="24"/>
          <w:szCs w:val="24"/>
          <w:lang w:val="ro-RO"/>
        </w:rPr>
        <w:t>e</w:t>
      </w:r>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menţionat</w:t>
      </w:r>
      <w:r w:rsidR="00B47BBD">
        <w:rPr>
          <w:rFonts w:ascii="Times New Roman" w:hAnsi="Times New Roman" w:cs="Times New Roman"/>
          <w:bCs/>
          <w:sz w:val="24"/>
          <w:szCs w:val="24"/>
          <w:lang w:val="ro-RO"/>
        </w:rPr>
        <w:t>e</w:t>
      </w:r>
      <w:proofErr w:type="spellEnd"/>
      <w:r w:rsidRPr="00C26A9B">
        <w:rPr>
          <w:rFonts w:ascii="Times New Roman" w:hAnsi="Times New Roman" w:cs="Times New Roman"/>
          <w:bCs/>
          <w:sz w:val="24"/>
          <w:szCs w:val="24"/>
          <w:lang w:val="ro-RO"/>
        </w:rPr>
        <w:t xml:space="preserve"> la pct.26 se aprobă de organul de conducere</w:t>
      </w:r>
      <w:r w:rsidR="00FD00F4">
        <w:rPr>
          <w:rFonts w:ascii="Times New Roman" w:hAnsi="Times New Roman" w:cs="Times New Roman"/>
          <w:bCs/>
          <w:sz w:val="24"/>
          <w:szCs w:val="24"/>
          <w:lang w:val="ro-RO"/>
        </w:rPr>
        <w:t xml:space="preserve"> a băncii</w:t>
      </w:r>
      <w:r w:rsidRPr="00C26A9B">
        <w:rPr>
          <w:rFonts w:ascii="Times New Roman" w:hAnsi="Times New Roman" w:cs="Times New Roman"/>
          <w:bCs/>
          <w:sz w:val="24"/>
          <w:szCs w:val="24"/>
          <w:lang w:val="ro-RO"/>
        </w:rPr>
        <w:t>.</w:t>
      </w:r>
    </w:p>
    <w:p w14:paraId="1EE9C838" w14:textId="100D2185" w:rsidR="009061F8" w:rsidRPr="00C26A9B" w:rsidRDefault="009061F8" w:rsidP="009061F8">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28. În cazul în care BNM a acordat aprobarea pentru reclasificarea unei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în conformitate cu</w:t>
      </w:r>
      <w:r w:rsidR="00DD7E2E">
        <w:rPr>
          <w:rFonts w:ascii="Times New Roman" w:hAnsi="Times New Roman" w:cs="Times New Roman"/>
          <w:bCs/>
          <w:sz w:val="24"/>
          <w:szCs w:val="24"/>
          <w:lang w:val="ro-RO"/>
        </w:rPr>
        <w:t xml:space="preserve"> </w:t>
      </w:r>
      <w:r w:rsidRPr="00C26A9B">
        <w:rPr>
          <w:rFonts w:ascii="Times New Roman" w:hAnsi="Times New Roman" w:cs="Times New Roman"/>
          <w:bCs/>
          <w:sz w:val="24"/>
          <w:szCs w:val="24"/>
          <w:lang w:val="ro-RO"/>
        </w:rPr>
        <w:t>pct.26-27, banca care a primit aprobarea respectivă:</w:t>
      </w:r>
    </w:p>
    <w:p w14:paraId="09B2C5E4" w14:textId="2AAE1746" w:rsidR="009061F8" w:rsidRPr="00E14364" w:rsidRDefault="009061F8" w:rsidP="009061F8">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28.1. publică, fără întârziere</w:t>
      </w:r>
      <w:r w:rsidRPr="00E14364">
        <w:rPr>
          <w:rFonts w:ascii="Times New Roman" w:hAnsi="Times New Roman" w:cs="Times New Roman"/>
          <w:bCs/>
          <w:sz w:val="24"/>
          <w:szCs w:val="24"/>
          <w:lang w:val="ro-RO"/>
        </w:rPr>
        <w:t>,</w:t>
      </w:r>
      <w:r w:rsidR="00B106A9" w:rsidRPr="00E14364">
        <w:t xml:space="preserve"> </w:t>
      </w:r>
      <w:r w:rsidR="00B106A9" w:rsidRPr="00E14364">
        <w:rPr>
          <w:rFonts w:ascii="Times New Roman" w:hAnsi="Times New Roman" w:cs="Times New Roman"/>
          <w:bCs/>
          <w:sz w:val="24"/>
          <w:szCs w:val="24"/>
          <w:lang w:val="ro-RO"/>
        </w:rPr>
        <w:t>pe pagina sa oficială:</w:t>
      </w:r>
    </w:p>
    <w:p w14:paraId="2A5E827D" w14:textId="77777777" w:rsidR="009061F8" w:rsidRPr="00C26A9B" w:rsidRDefault="009061F8" w:rsidP="009061F8">
      <w:pPr>
        <w:rPr>
          <w:rFonts w:ascii="Times New Roman" w:hAnsi="Times New Roman" w:cs="Times New Roman"/>
          <w:bCs/>
          <w:sz w:val="24"/>
          <w:szCs w:val="24"/>
          <w:lang w:val="ro-RO"/>
        </w:rPr>
      </w:pPr>
      <w:r w:rsidRPr="00E14364">
        <w:rPr>
          <w:rFonts w:ascii="Times New Roman" w:hAnsi="Times New Roman" w:cs="Times New Roman"/>
          <w:bCs/>
          <w:sz w:val="24"/>
          <w:szCs w:val="24"/>
          <w:lang w:val="ro-RO"/>
        </w:rPr>
        <w:t xml:space="preserve">28.1.1. </w:t>
      </w:r>
      <w:proofErr w:type="spellStart"/>
      <w:r w:rsidRPr="00E14364">
        <w:rPr>
          <w:rFonts w:ascii="Times New Roman" w:hAnsi="Times New Roman" w:cs="Times New Roman"/>
          <w:bCs/>
          <w:sz w:val="24"/>
          <w:szCs w:val="24"/>
          <w:lang w:val="ro-RO"/>
        </w:rPr>
        <w:t>informaţiile</w:t>
      </w:r>
      <w:proofErr w:type="spellEnd"/>
      <w:r w:rsidRPr="00E14364">
        <w:rPr>
          <w:rFonts w:ascii="Times New Roman" w:hAnsi="Times New Roman" w:cs="Times New Roman"/>
          <w:bCs/>
          <w:sz w:val="24"/>
          <w:szCs w:val="24"/>
          <w:lang w:val="ro-RO"/>
        </w:rPr>
        <w:t xml:space="preserve"> conform cărora </w:t>
      </w:r>
      <w:proofErr w:type="spellStart"/>
      <w:r w:rsidRPr="00E14364">
        <w:rPr>
          <w:rFonts w:ascii="Times New Roman" w:hAnsi="Times New Roman" w:cs="Times New Roman"/>
          <w:bCs/>
          <w:sz w:val="24"/>
          <w:szCs w:val="24"/>
          <w:lang w:val="ro-RO"/>
        </w:rPr>
        <w:t>poziţia</w:t>
      </w:r>
      <w:proofErr w:type="spellEnd"/>
      <w:r w:rsidRPr="00E14364">
        <w:rPr>
          <w:rFonts w:ascii="Times New Roman" w:hAnsi="Times New Roman" w:cs="Times New Roman"/>
          <w:bCs/>
          <w:sz w:val="24"/>
          <w:szCs w:val="24"/>
          <w:lang w:val="ro-RO"/>
        </w:rPr>
        <w:t xml:space="preserve"> sa a fost reclasificată</w:t>
      </w:r>
      <w:r w:rsidRPr="00C26A9B">
        <w:rPr>
          <w:rFonts w:ascii="Times New Roman" w:hAnsi="Times New Roman" w:cs="Times New Roman"/>
          <w:bCs/>
          <w:sz w:val="24"/>
          <w:szCs w:val="24"/>
          <w:lang w:val="ro-RO"/>
        </w:rPr>
        <w:t>; și</w:t>
      </w:r>
    </w:p>
    <w:p w14:paraId="06C0B3E7" w14:textId="77777777" w:rsidR="009061F8" w:rsidRPr="00C26A9B" w:rsidRDefault="009061F8" w:rsidP="009061F8">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28.1.2. atunci când efectul reclasificării respective constă în reducerea </w:t>
      </w:r>
      <w:proofErr w:type="spellStart"/>
      <w:r w:rsidRPr="00C26A9B">
        <w:rPr>
          <w:rFonts w:ascii="Times New Roman" w:hAnsi="Times New Roman" w:cs="Times New Roman"/>
          <w:bCs/>
          <w:sz w:val="24"/>
          <w:szCs w:val="24"/>
          <w:lang w:val="ro-RO"/>
        </w:rPr>
        <w:t>cerinţelor</w:t>
      </w:r>
      <w:proofErr w:type="spellEnd"/>
      <w:r w:rsidRPr="00C26A9B">
        <w:rPr>
          <w:rFonts w:ascii="Times New Roman" w:hAnsi="Times New Roman" w:cs="Times New Roman"/>
          <w:bCs/>
          <w:sz w:val="24"/>
          <w:szCs w:val="24"/>
          <w:lang w:val="ro-RO"/>
        </w:rPr>
        <w:t xml:space="preserve"> de fonduri proprii ale băncii, dimensiunea reducerii respective; și</w:t>
      </w:r>
    </w:p>
    <w:p w14:paraId="27B9D33E" w14:textId="29C26B21" w:rsidR="009061F8" w:rsidRPr="00C26A9B" w:rsidRDefault="009061F8" w:rsidP="009061F8">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28.2. atunci când efectul reclasificării respective constă în reducerea </w:t>
      </w:r>
      <w:proofErr w:type="spellStart"/>
      <w:r w:rsidRPr="00C26A9B">
        <w:rPr>
          <w:rFonts w:ascii="Times New Roman" w:hAnsi="Times New Roman" w:cs="Times New Roman"/>
          <w:bCs/>
          <w:sz w:val="24"/>
          <w:szCs w:val="24"/>
          <w:lang w:val="ro-RO"/>
        </w:rPr>
        <w:t>cerinţelor</w:t>
      </w:r>
      <w:proofErr w:type="spellEnd"/>
      <w:r w:rsidRPr="00C26A9B">
        <w:rPr>
          <w:rFonts w:ascii="Times New Roman" w:hAnsi="Times New Roman" w:cs="Times New Roman"/>
          <w:bCs/>
          <w:sz w:val="24"/>
          <w:szCs w:val="24"/>
          <w:lang w:val="ro-RO"/>
        </w:rPr>
        <w:t xml:space="preserve"> de fonduri proprii ale băncii, nu recunoaște acest efect până în momentul în care </w:t>
      </w:r>
      <w:proofErr w:type="spellStart"/>
      <w:r w:rsidRPr="00C26A9B">
        <w:rPr>
          <w:rFonts w:ascii="Times New Roman" w:hAnsi="Times New Roman" w:cs="Times New Roman"/>
          <w:bCs/>
          <w:sz w:val="24"/>
          <w:szCs w:val="24"/>
          <w:lang w:val="ro-RO"/>
        </w:rPr>
        <w:t>poziţia</w:t>
      </w:r>
      <w:proofErr w:type="spellEnd"/>
      <w:r w:rsidRPr="00C26A9B">
        <w:rPr>
          <w:rFonts w:ascii="Times New Roman" w:hAnsi="Times New Roman" w:cs="Times New Roman"/>
          <w:bCs/>
          <w:sz w:val="24"/>
          <w:szCs w:val="24"/>
          <w:lang w:val="ro-RO"/>
        </w:rPr>
        <w:t xml:space="preserve"> ajunge la </w:t>
      </w:r>
      <w:proofErr w:type="spellStart"/>
      <w:r w:rsidRPr="00C26A9B">
        <w:rPr>
          <w:rFonts w:ascii="Times New Roman" w:hAnsi="Times New Roman" w:cs="Times New Roman"/>
          <w:bCs/>
          <w:sz w:val="24"/>
          <w:szCs w:val="24"/>
          <w:lang w:val="ro-RO"/>
        </w:rPr>
        <w:t>scadenţă</w:t>
      </w:r>
      <w:proofErr w:type="spellEnd"/>
      <w:r w:rsidRPr="00C26A9B">
        <w:rPr>
          <w:rFonts w:ascii="Times New Roman" w:hAnsi="Times New Roman" w:cs="Times New Roman"/>
          <w:bCs/>
          <w:sz w:val="24"/>
          <w:szCs w:val="24"/>
          <w:lang w:val="ro-RO"/>
        </w:rPr>
        <w:t>, cu excepţia cazului în care BNM îi permite băncii să recunoască acest efect la o dată anterioară.</w:t>
      </w:r>
    </w:p>
    <w:p w14:paraId="60DC10EA" w14:textId="1737CC0B" w:rsidR="009061F8" w:rsidRPr="00C26A9B" w:rsidRDefault="009061F8" w:rsidP="009061F8">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29. Banca calculează </w:t>
      </w:r>
      <w:proofErr w:type="spellStart"/>
      <w:r w:rsidRPr="00C26A9B">
        <w:rPr>
          <w:rFonts w:ascii="Times New Roman" w:hAnsi="Times New Roman" w:cs="Times New Roman"/>
          <w:bCs/>
          <w:sz w:val="24"/>
          <w:szCs w:val="24"/>
          <w:lang w:val="ro-RO"/>
        </w:rPr>
        <w:t>variaţia</w:t>
      </w:r>
      <w:proofErr w:type="spellEnd"/>
      <w:r w:rsidRPr="00C26A9B">
        <w:rPr>
          <w:rFonts w:ascii="Times New Roman" w:hAnsi="Times New Roman" w:cs="Times New Roman"/>
          <w:bCs/>
          <w:sz w:val="24"/>
          <w:szCs w:val="24"/>
          <w:lang w:val="ro-RO"/>
        </w:rPr>
        <w:t xml:space="preserve"> netă a cuantumului </w:t>
      </w:r>
      <w:proofErr w:type="spellStart"/>
      <w:r w:rsidRPr="00C26A9B">
        <w:rPr>
          <w:rFonts w:ascii="Times New Roman" w:hAnsi="Times New Roman" w:cs="Times New Roman"/>
          <w:bCs/>
          <w:sz w:val="24"/>
          <w:szCs w:val="24"/>
          <w:lang w:val="ro-RO"/>
        </w:rPr>
        <w:t>cerinţelor</w:t>
      </w:r>
      <w:proofErr w:type="spellEnd"/>
      <w:r w:rsidRPr="00C26A9B">
        <w:rPr>
          <w:rFonts w:ascii="Times New Roman" w:hAnsi="Times New Roman" w:cs="Times New Roman"/>
          <w:bCs/>
          <w:sz w:val="24"/>
          <w:szCs w:val="24"/>
          <w:lang w:val="ro-RO"/>
        </w:rPr>
        <w:t xml:space="preserve"> de fonduri proprii care rezultă din reclasificarea </w:t>
      </w:r>
      <w:proofErr w:type="spellStart"/>
      <w:r w:rsidRPr="00C26A9B">
        <w:rPr>
          <w:rFonts w:ascii="Times New Roman" w:hAnsi="Times New Roman" w:cs="Times New Roman"/>
          <w:bCs/>
          <w:sz w:val="24"/>
          <w:szCs w:val="24"/>
          <w:lang w:val="ro-RO"/>
        </w:rPr>
        <w:t>poziţiei</w:t>
      </w:r>
      <w:proofErr w:type="spellEnd"/>
      <w:r w:rsidRPr="00C26A9B">
        <w:rPr>
          <w:rFonts w:ascii="Times New Roman" w:hAnsi="Times New Roman" w:cs="Times New Roman"/>
          <w:bCs/>
          <w:sz w:val="24"/>
          <w:szCs w:val="24"/>
          <w:lang w:val="ro-RO"/>
        </w:rPr>
        <w:t xml:space="preserve"> ca </w:t>
      </w:r>
      <w:proofErr w:type="spellStart"/>
      <w:r w:rsidRPr="00C26A9B">
        <w:rPr>
          <w:rFonts w:ascii="Times New Roman" w:hAnsi="Times New Roman" w:cs="Times New Roman"/>
          <w:bCs/>
          <w:sz w:val="24"/>
          <w:szCs w:val="24"/>
          <w:lang w:val="ro-RO"/>
        </w:rPr>
        <w:t>diferenţă</w:t>
      </w:r>
      <w:proofErr w:type="spellEnd"/>
      <w:r w:rsidRPr="00C26A9B">
        <w:rPr>
          <w:rFonts w:ascii="Times New Roman" w:hAnsi="Times New Roman" w:cs="Times New Roman"/>
          <w:bCs/>
          <w:sz w:val="24"/>
          <w:szCs w:val="24"/>
          <w:lang w:val="ro-RO"/>
        </w:rPr>
        <w:t xml:space="preserve"> între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fonduri proprii imediat după reclasificare și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fonduri proprii imediat înainte de reclasificare, calculate în conformitate cu capitolul VII din Regulamentul cu privire la fondurile proprii ale băncilor </w:t>
      </w:r>
      <w:proofErr w:type="spellStart"/>
      <w:r w:rsidRPr="00C26A9B">
        <w:rPr>
          <w:rFonts w:ascii="Times New Roman" w:hAnsi="Times New Roman" w:cs="Times New Roman"/>
          <w:bCs/>
          <w:sz w:val="24"/>
          <w:szCs w:val="24"/>
          <w:lang w:val="ro-RO"/>
        </w:rPr>
        <w:t>şi</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capital, aprobat prin HCE al BNM nr.109/2018</w:t>
      </w:r>
      <w:r w:rsidR="00094D23">
        <w:rPr>
          <w:rFonts w:ascii="Times New Roman" w:hAnsi="Times New Roman" w:cs="Times New Roman"/>
          <w:bCs/>
          <w:sz w:val="24"/>
          <w:szCs w:val="24"/>
          <w:lang w:val="ro-RO"/>
        </w:rPr>
        <w:t xml:space="preserve"> </w:t>
      </w:r>
      <w:r w:rsidR="00094D23">
        <w:rPr>
          <w:rFonts w:ascii="Times New Roman" w:hAnsi="Times New Roman" w:cs="Times New Roman"/>
          <w:sz w:val="24"/>
          <w:szCs w:val="24"/>
          <w:lang w:val="ro-RO"/>
        </w:rPr>
        <w:t>(în continuare – Regulamentul nr.109/2018)</w:t>
      </w:r>
      <w:r w:rsidRPr="00C26A9B">
        <w:rPr>
          <w:rFonts w:ascii="Times New Roman" w:hAnsi="Times New Roman" w:cs="Times New Roman"/>
          <w:bCs/>
          <w:sz w:val="24"/>
          <w:szCs w:val="24"/>
          <w:lang w:val="ro-RO"/>
        </w:rPr>
        <w:t>. Calculul nu ia în considerare efectele altor factori în afară de reclasificare.</w:t>
      </w:r>
    </w:p>
    <w:p w14:paraId="38A23B34" w14:textId="6A97B166" w:rsidR="009061F8" w:rsidRPr="00C26A9B" w:rsidRDefault="009061F8" w:rsidP="009061F8">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30 Reclasificarea unei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în conformitate cu prezenta secțiune este irevocabilă, cu </w:t>
      </w:r>
      <w:proofErr w:type="spellStart"/>
      <w:r w:rsidRPr="00C26A9B">
        <w:rPr>
          <w:rFonts w:ascii="Times New Roman" w:hAnsi="Times New Roman" w:cs="Times New Roman"/>
          <w:bCs/>
          <w:sz w:val="24"/>
          <w:szCs w:val="24"/>
          <w:lang w:val="ro-RO"/>
        </w:rPr>
        <w:t>excepţia</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circumstanţelor</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excepţionale</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la pct.25.</w:t>
      </w:r>
    </w:p>
    <w:p w14:paraId="742C62A7" w14:textId="1415CCD3" w:rsidR="009061F8" w:rsidRPr="00C26A9B" w:rsidRDefault="009B46CF" w:rsidP="009061F8">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31. Prin derogare de la pct.25, o bancă poate reclasifica o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din afara portofoliului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drept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din portofoliul de tranzacţionare în conformitate cu subpct.16.4 fără a solicita aprobarea BNM. În acest caz, băncii continuă să i se aplice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prevăzute la pct.28 și 29. Banca îi notifică imediat BNM efectuarea unei astfel de reclasificări.</w:t>
      </w:r>
    </w:p>
    <w:p w14:paraId="08D98656" w14:textId="345146E8" w:rsidR="009B46CF" w:rsidRPr="00C26A9B" w:rsidRDefault="009B46CF" w:rsidP="009B46CF">
      <w:pPr>
        <w:rPr>
          <w:rFonts w:ascii="Times New Roman" w:hAnsi="Times New Roman" w:cs="Times New Roman"/>
          <w:b/>
          <w:bCs/>
          <w:sz w:val="24"/>
          <w:szCs w:val="24"/>
          <w:lang w:val="ro-RO"/>
        </w:rPr>
      </w:pPr>
      <w:r w:rsidRPr="00CC1E9B">
        <w:rPr>
          <w:rFonts w:ascii="Times New Roman" w:hAnsi="Times New Roman" w:cs="Times New Roman"/>
          <w:b/>
          <w:sz w:val="24"/>
          <w:szCs w:val="24"/>
          <w:lang w:val="ro-RO"/>
        </w:rPr>
        <w:t>Secțiunea 5.</w:t>
      </w:r>
      <w:r w:rsidRPr="00C26A9B">
        <w:rPr>
          <w:rFonts w:ascii="Times New Roman" w:hAnsi="Times New Roman" w:cs="Times New Roman"/>
          <w:bCs/>
          <w:i/>
          <w:iCs/>
          <w:sz w:val="24"/>
          <w:szCs w:val="24"/>
          <w:lang w:val="ro-RO"/>
        </w:rPr>
        <w:t xml:space="preserve"> </w:t>
      </w:r>
      <w:proofErr w:type="spellStart"/>
      <w:r w:rsidRPr="00C26A9B">
        <w:rPr>
          <w:rFonts w:ascii="Times New Roman" w:hAnsi="Times New Roman" w:cs="Times New Roman"/>
          <w:b/>
          <w:bCs/>
          <w:sz w:val="24"/>
          <w:szCs w:val="24"/>
          <w:lang w:val="ro-RO"/>
        </w:rPr>
        <w:t>Cerinţe</w:t>
      </w:r>
      <w:proofErr w:type="spellEnd"/>
      <w:r w:rsidRPr="00C26A9B">
        <w:rPr>
          <w:rFonts w:ascii="Times New Roman" w:hAnsi="Times New Roman" w:cs="Times New Roman"/>
          <w:b/>
          <w:bCs/>
          <w:sz w:val="24"/>
          <w:szCs w:val="24"/>
          <w:lang w:val="ro-RO"/>
        </w:rPr>
        <w:t xml:space="preserve"> aplicabile birourilor de tranzacţionare</w:t>
      </w:r>
    </w:p>
    <w:p w14:paraId="1DB7BB4E" w14:textId="7637E434" w:rsidR="00293C0D" w:rsidRPr="00C26A9B" w:rsidRDefault="00293C0D" w:rsidP="00293C0D">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32. În scopul calculării </w:t>
      </w:r>
      <w:proofErr w:type="spellStart"/>
      <w:r w:rsidRPr="00C26A9B">
        <w:rPr>
          <w:rFonts w:ascii="Times New Roman" w:hAnsi="Times New Roman" w:cs="Times New Roman"/>
          <w:bCs/>
          <w:sz w:val="24"/>
          <w:szCs w:val="24"/>
          <w:lang w:val="ro-RO"/>
        </w:rPr>
        <w:t>cerinţelor</w:t>
      </w:r>
      <w:proofErr w:type="spellEnd"/>
      <w:r w:rsidRPr="00C26A9B">
        <w:rPr>
          <w:rFonts w:ascii="Times New Roman" w:hAnsi="Times New Roman" w:cs="Times New Roman"/>
          <w:bCs/>
          <w:sz w:val="24"/>
          <w:szCs w:val="24"/>
          <w:lang w:val="ro-RO"/>
        </w:rPr>
        <w:t xml:space="preserve"> de fonduri proprii pentru riscul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în conformitate cu abordarea </w:t>
      </w:r>
      <w:proofErr w:type="spellStart"/>
      <w:r w:rsidRPr="00C26A9B">
        <w:rPr>
          <w:rFonts w:ascii="Times New Roman" w:hAnsi="Times New Roman" w:cs="Times New Roman"/>
          <w:bCs/>
          <w:sz w:val="24"/>
          <w:szCs w:val="24"/>
          <w:lang w:val="ro-RO"/>
        </w:rPr>
        <w:t>menţionată</w:t>
      </w:r>
      <w:proofErr w:type="spellEnd"/>
      <w:r w:rsidRPr="00C26A9B">
        <w:rPr>
          <w:rFonts w:ascii="Times New Roman" w:hAnsi="Times New Roman" w:cs="Times New Roman"/>
          <w:bCs/>
          <w:sz w:val="24"/>
          <w:szCs w:val="24"/>
          <w:lang w:val="ro-RO"/>
        </w:rPr>
        <w:t xml:space="preserve"> la </w:t>
      </w:r>
      <w:r w:rsidR="00597363">
        <w:rPr>
          <w:rFonts w:ascii="Times New Roman" w:hAnsi="Times New Roman" w:cs="Times New Roman"/>
          <w:bCs/>
          <w:sz w:val="24"/>
          <w:szCs w:val="24"/>
          <w:lang w:val="ro-RO"/>
        </w:rPr>
        <w:t>subpct.69.2</w:t>
      </w:r>
      <w:r w:rsidRPr="00597363">
        <w:rPr>
          <w:rFonts w:ascii="Times New Roman" w:hAnsi="Times New Roman" w:cs="Times New Roman"/>
          <w:bCs/>
          <w:sz w:val="24"/>
          <w:szCs w:val="24"/>
          <w:lang w:val="ro-RO"/>
        </w:rPr>
        <w:t>,</w:t>
      </w:r>
      <w:r w:rsidRPr="00C26A9B">
        <w:rPr>
          <w:rFonts w:ascii="Times New Roman" w:hAnsi="Times New Roman" w:cs="Times New Roman"/>
          <w:bCs/>
          <w:sz w:val="24"/>
          <w:szCs w:val="24"/>
          <w:lang w:val="ro-RO"/>
        </w:rPr>
        <w:t xml:space="preserve"> băncile </w:t>
      </w:r>
      <w:proofErr w:type="spellStart"/>
      <w:r w:rsidRPr="00C26A9B">
        <w:rPr>
          <w:rFonts w:ascii="Times New Roman" w:hAnsi="Times New Roman" w:cs="Times New Roman"/>
          <w:bCs/>
          <w:sz w:val="24"/>
          <w:szCs w:val="24"/>
          <w:lang w:val="ro-RO"/>
        </w:rPr>
        <w:t>înfiinţează</w:t>
      </w:r>
      <w:proofErr w:type="spellEnd"/>
      <w:r w:rsidRPr="00C26A9B">
        <w:rPr>
          <w:rFonts w:ascii="Times New Roman" w:hAnsi="Times New Roman" w:cs="Times New Roman"/>
          <w:bCs/>
          <w:sz w:val="24"/>
          <w:szCs w:val="24"/>
          <w:lang w:val="ro-RO"/>
        </w:rPr>
        <w:t xml:space="preserve"> birouri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și atribuie fiecare dintre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din portofoliul de tranzacţionare și din afara portofoliului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la  pct.36 și 37 unuia dintre birourile de tranzacţionare respective.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din portofoliul de tranzacţionare se atribuie aceluiași birou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numai dacă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respective sunt conforme cu strategia de afaceri aprobată pentru biroul de tranzacţionare respectiv și dacă sunt administrate și monitorizate în mod consecvent în conformitate cu pct.33.</w:t>
      </w:r>
    </w:p>
    <w:p w14:paraId="19FE081B" w14:textId="593A8E9C" w:rsidR="00293C0D" w:rsidRPr="00C26A9B" w:rsidRDefault="00293C0D" w:rsidP="00293C0D">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33. Birourile de tranzacţionare ale </w:t>
      </w:r>
      <w:r w:rsidR="006A3F23">
        <w:rPr>
          <w:rFonts w:ascii="Times New Roman" w:hAnsi="Times New Roman" w:cs="Times New Roman"/>
          <w:bCs/>
          <w:sz w:val="24"/>
          <w:szCs w:val="24"/>
          <w:lang w:val="ro-RO"/>
        </w:rPr>
        <w:t>băncilor</w:t>
      </w:r>
      <w:r w:rsidR="006A3F23" w:rsidRPr="00C26A9B">
        <w:rPr>
          <w:rFonts w:ascii="Times New Roman" w:hAnsi="Times New Roman" w:cs="Times New Roman"/>
          <w:bCs/>
          <w:sz w:val="24"/>
          <w:szCs w:val="24"/>
          <w:lang w:val="ro-RO"/>
        </w:rPr>
        <w:t xml:space="preserve"> </w:t>
      </w:r>
      <w:r w:rsidRPr="00C26A9B">
        <w:rPr>
          <w:rFonts w:ascii="Times New Roman" w:hAnsi="Times New Roman" w:cs="Times New Roman"/>
          <w:bCs/>
          <w:sz w:val="24"/>
          <w:szCs w:val="24"/>
          <w:lang w:val="ro-RO"/>
        </w:rPr>
        <w:t xml:space="preserve">îndeplinesc în </w:t>
      </w:r>
      <w:proofErr w:type="spellStart"/>
      <w:r w:rsidRPr="00C26A9B">
        <w:rPr>
          <w:rFonts w:ascii="Times New Roman" w:hAnsi="Times New Roman" w:cs="Times New Roman"/>
          <w:bCs/>
          <w:sz w:val="24"/>
          <w:szCs w:val="24"/>
          <w:lang w:val="ro-RO"/>
        </w:rPr>
        <w:t>permanenţă</w:t>
      </w:r>
      <w:proofErr w:type="spellEnd"/>
      <w:r w:rsidRPr="00C26A9B">
        <w:rPr>
          <w:rFonts w:ascii="Times New Roman" w:hAnsi="Times New Roman" w:cs="Times New Roman"/>
          <w:bCs/>
          <w:sz w:val="24"/>
          <w:szCs w:val="24"/>
          <w:lang w:val="ro-RO"/>
        </w:rPr>
        <w:t xml:space="preserve"> toate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următoare:</w:t>
      </w:r>
    </w:p>
    <w:p w14:paraId="4189A689" w14:textId="77777777" w:rsidR="00293C0D" w:rsidRPr="00C26A9B" w:rsidRDefault="00293C0D" w:rsidP="00293C0D">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lastRenderedPageBreak/>
        <w:t>33.1. fiecare birou de tranzacţionare are o strategie de afaceri clară și distinctă și o structură de gestionare a riscurilor adecvată pentru strategia sa de afaceri;</w:t>
      </w:r>
    </w:p>
    <w:p w14:paraId="58C6AE7C" w14:textId="77777777" w:rsidR="00293C0D" w:rsidRPr="00C26A9B" w:rsidRDefault="00293C0D" w:rsidP="00293C0D">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33.2. fiecare birou de tranzacţionare are o structură </w:t>
      </w:r>
      <w:proofErr w:type="spellStart"/>
      <w:r w:rsidRPr="00C26A9B">
        <w:rPr>
          <w:rFonts w:ascii="Times New Roman" w:hAnsi="Times New Roman" w:cs="Times New Roman"/>
          <w:bCs/>
          <w:sz w:val="24"/>
          <w:szCs w:val="24"/>
          <w:lang w:val="ro-RO"/>
        </w:rPr>
        <w:t>organizaţională</w:t>
      </w:r>
      <w:proofErr w:type="spellEnd"/>
      <w:r w:rsidRPr="00C26A9B">
        <w:rPr>
          <w:rFonts w:ascii="Times New Roman" w:hAnsi="Times New Roman" w:cs="Times New Roman"/>
          <w:bCs/>
          <w:sz w:val="24"/>
          <w:szCs w:val="24"/>
          <w:lang w:val="ro-RO"/>
        </w:rPr>
        <w:t xml:space="preserve"> clară;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unui birou de tranzacţionare sunt gestionate de dealeri </w:t>
      </w:r>
      <w:proofErr w:type="spellStart"/>
      <w:r w:rsidRPr="00C26A9B">
        <w:rPr>
          <w:rFonts w:ascii="Times New Roman" w:hAnsi="Times New Roman" w:cs="Times New Roman"/>
          <w:bCs/>
          <w:sz w:val="24"/>
          <w:szCs w:val="24"/>
          <w:lang w:val="ro-RO"/>
        </w:rPr>
        <w:t>desemnaţi</w:t>
      </w:r>
      <w:proofErr w:type="spellEnd"/>
      <w:r w:rsidRPr="00C26A9B">
        <w:rPr>
          <w:rFonts w:ascii="Times New Roman" w:hAnsi="Times New Roman" w:cs="Times New Roman"/>
          <w:bCs/>
          <w:sz w:val="24"/>
          <w:szCs w:val="24"/>
          <w:lang w:val="ro-RO"/>
        </w:rPr>
        <w:t xml:space="preserve"> din cadrul băncii; fiecare dealer are </w:t>
      </w:r>
      <w:proofErr w:type="spellStart"/>
      <w:r w:rsidRPr="00C26A9B">
        <w:rPr>
          <w:rFonts w:ascii="Times New Roman" w:hAnsi="Times New Roman" w:cs="Times New Roman"/>
          <w:bCs/>
          <w:sz w:val="24"/>
          <w:szCs w:val="24"/>
          <w:lang w:val="ro-RO"/>
        </w:rPr>
        <w:t>funcţii</w:t>
      </w:r>
      <w:proofErr w:type="spellEnd"/>
      <w:r w:rsidRPr="00C26A9B">
        <w:rPr>
          <w:rFonts w:ascii="Times New Roman" w:hAnsi="Times New Roman" w:cs="Times New Roman"/>
          <w:bCs/>
          <w:sz w:val="24"/>
          <w:szCs w:val="24"/>
          <w:lang w:val="ro-RO"/>
        </w:rPr>
        <w:t xml:space="preserve"> specifice în cadrul biroului de tranzacţionare; fiecare dealer este repartizat unui singur birou de tranzacţionare;</w:t>
      </w:r>
    </w:p>
    <w:p w14:paraId="5920A748" w14:textId="77777777" w:rsidR="00293C0D" w:rsidRPr="00C26A9B" w:rsidRDefault="00293C0D" w:rsidP="00293C0D">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33.3. limitele </w:t>
      </w:r>
      <w:proofErr w:type="spellStart"/>
      <w:r w:rsidRPr="00C26A9B">
        <w:rPr>
          <w:rFonts w:ascii="Times New Roman" w:hAnsi="Times New Roman" w:cs="Times New Roman"/>
          <w:bCs/>
          <w:sz w:val="24"/>
          <w:szCs w:val="24"/>
          <w:lang w:val="ro-RO"/>
        </w:rPr>
        <w:t>poziţiilor</w:t>
      </w:r>
      <w:proofErr w:type="spellEnd"/>
      <w:r w:rsidRPr="00C26A9B">
        <w:rPr>
          <w:rFonts w:ascii="Times New Roman" w:hAnsi="Times New Roman" w:cs="Times New Roman"/>
          <w:bCs/>
          <w:sz w:val="24"/>
          <w:szCs w:val="24"/>
          <w:lang w:val="ro-RO"/>
        </w:rPr>
        <w:t xml:space="preserve"> se stabilesc în cadrul fiecărui birou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în </w:t>
      </w:r>
      <w:proofErr w:type="spellStart"/>
      <w:r w:rsidRPr="00C26A9B">
        <w:rPr>
          <w:rFonts w:ascii="Times New Roman" w:hAnsi="Times New Roman" w:cs="Times New Roman"/>
          <w:bCs/>
          <w:sz w:val="24"/>
          <w:szCs w:val="24"/>
          <w:lang w:val="ro-RO"/>
        </w:rPr>
        <w:t>funcţie</w:t>
      </w:r>
      <w:proofErr w:type="spellEnd"/>
      <w:r w:rsidRPr="00C26A9B">
        <w:rPr>
          <w:rFonts w:ascii="Times New Roman" w:hAnsi="Times New Roman" w:cs="Times New Roman"/>
          <w:bCs/>
          <w:sz w:val="24"/>
          <w:szCs w:val="24"/>
          <w:lang w:val="ro-RO"/>
        </w:rPr>
        <w:t xml:space="preserve"> de strategia de afaceri a respectivului birou de tranzacţionare;</w:t>
      </w:r>
    </w:p>
    <w:p w14:paraId="54BE65FF" w14:textId="77777777" w:rsidR="00293C0D" w:rsidRPr="00C26A9B" w:rsidRDefault="00293C0D" w:rsidP="00293C0D">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33.4. cel </w:t>
      </w:r>
      <w:proofErr w:type="spellStart"/>
      <w:r w:rsidRPr="00C26A9B">
        <w:rPr>
          <w:rFonts w:ascii="Times New Roman" w:hAnsi="Times New Roman" w:cs="Times New Roman"/>
          <w:bCs/>
          <w:sz w:val="24"/>
          <w:szCs w:val="24"/>
          <w:lang w:val="ro-RO"/>
        </w:rPr>
        <w:t>puţin</w:t>
      </w:r>
      <w:proofErr w:type="spellEnd"/>
      <w:r w:rsidRPr="00C26A9B">
        <w:rPr>
          <w:rFonts w:ascii="Times New Roman" w:hAnsi="Times New Roman" w:cs="Times New Roman"/>
          <w:bCs/>
          <w:sz w:val="24"/>
          <w:szCs w:val="24"/>
          <w:lang w:val="ro-RO"/>
        </w:rPr>
        <w:t xml:space="preserve"> săptămânal se elaborează rapoarte privind </w:t>
      </w:r>
      <w:proofErr w:type="spellStart"/>
      <w:r w:rsidRPr="00C26A9B">
        <w:rPr>
          <w:rFonts w:ascii="Times New Roman" w:hAnsi="Times New Roman" w:cs="Times New Roman"/>
          <w:bCs/>
          <w:sz w:val="24"/>
          <w:szCs w:val="24"/>
          <w:lang w:val="ro-RO"/>
        </w:rPr>
        <w:t>activităţile</w:t>
      </w:r>
      <w:proofErr w:type="spellEnd"/>
      <w:r w:rsidRPr="00C26A9B">
        <w:rPr>
          <w:rFonts w:ascii="Times New Roman" w:hAnsi="Times New Roman" w:cs="Times New Roman"/>
          <w:bCs/>
          <w:sz w:val="24"/>
          <w:szCs w:val="24"/>
          <w:lang w:val="ro-RO"/>
        </w:rPr>
        <w:t xml:space="preserve">, rentabilitatea, gestionarea riscului și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reglementare la nivelul biroului de tranzacţionare și acestea se comunică organului de conducere în mod regulat;</w:t>
      </w:r>
    </w:p>
    <w:p w14:paraId="275BD69B" w14:textId="77777777" w:rsidR="00293C0D" w:rsidRPr="00C26A9B" w:rsidRDefault="00293C0D" w:rsidP="00293C0D">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33.5. fiecare birou de tranzacţionare are un plan de afaceri anual clar, care să includă o politică de remunerare bine definită pe baza unor criterii solide utilizate pentru evaluarea </w:t>
      </w:r>
      <w:proofErr w:type="spellStart"/>
      <w:r w:rsidRPr="00C26A9B">
        <w:rPr>
          <w:rFonts w:ascii="Times New Roman" w:hAnsi="Times New Roman" w:cs="Times New Roman"/>
          <w:bCs/>
          <w:sz w:val="24"/>
          <w:szCs w:val="24"/>
          <w:lang w:val="ro-RO"/>
        </w:rPr>
        <w:t>performanţei</w:t>
      </w:r>
      <w:proofErr w:type="spellEnd"/>
      <w:r w:rsidRPr="00C26A9B">
        <w:rPr>
          <w:rFonts w:ascii="Times New Roman" w:hAnsi="Times New Roman" w:cs="Times New Roman"/>
          <w:bCs/>
          <w:sz w:val="24"/>
          <w:szCs w:val="24"/>
          <w:lang w:val="ro-RO"/>
        </w:rPr>
        <w:t>;</w:t>
      </w:r>
    </w:p>
    <w:p w14:paraId="6E5026A9" w14:textId="0944D287" w:rsidR="00293C0D" w:rsidRPr="00C26A9B" w:rsidRDefault="00293C0D" w:rsidP="00293C0D">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33.6. pentru fiecare birou de tranzacţionare, se întocmesc lunar și se pun la </w:t>
      </w:r>
      <w:proofErr w:type="spellStart"/>
      <w:r w:rsidRPr="00C26A9B">
        <w:rPr>
          <w:rFonts w:ascii="Times New Roman" w:hAnsi="Times New Roman" w:cs="Times New Roman"/>
          <w:bCs/>
          <w:sz w:val="24"/>
          <w:szCs w:val="24"/>
          <w:lang w:val="ro-RO"/>
        </w:rPr>
        <w:t>dispoziţia</w:t>
      </w:r>
      <w:proofErr w:type="spellEnd"/>
      <w:r w:rsidRPr="00C26A9B">
        <w:rPr>
          <w:rFonts w:ascii="Times New Roman" w:hAnsi="Times New Roman" w:cs="Times New Roman"/>
          <w:bCs/>
          <w:sz w:val="24"/>
          <w:szCs w:val="24"/>
          <w:lang w:val="ro-RO"/>
        </w:rPr>
        <w:t xml:space="preserve"> BNM rapoarte privind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care se apropie de </w:t>
      </w:r>
      <w:proofErr w:type="spellStart"/>
      <w:r w:rsidRPr="00C26A9B">
        <w:rPr>
          <w:rFonts w:ascii="Times New Roman" w:hAnsi="Times New Roman" w:cs="Times New Roman"/>
          <w:bCs/>
          <w:sz w:val="24"/>
          <w:szCs w:val="24"/>
          <w:lang w:val="ro-RO"/>
        </w:rPr>
        <w:t>scadenţă</w:t>
      </w:r>
      <w:proofErr w:type="spellEnd"/>
      <w:r w:rsidRPr="00C26A9B">
        <w:rPr>
          <w:rFonts w:ascii="Times New Roman" w:hAnsi="Times New Roman" w:cs="Times New Roman"/>
          <w:bCs/>
          <w:sz w:val="24"/>
          <w:szCs w:val="24"/>
          <w:lang w:val="ro-RO"/>
        </w:rPr>
        <w:t>, încălcările limitelor de tranzacţionare pe parcursul zilei (intra-</w:t>
      </w:r>
      <w:proofErr w:type="spellStart"/>
      <w:r w:rsidRPr="00C26A9B">
        <w:rPr>
          <w:rFonts w:ascii="Times New Roman" w:hAnsi="Times New Roman" w:cs="Times New Roman"/>
          <w:bCs/>
          <w:sz w:val="24"/>
          <w:szCs w:val="24"/>
          <w:lang w:val="ro-RO"/>
        </w:rPr>
        <w:t>day</w:t>
      </w:r>
      <w:proofErr w:type="spellEnd"/>
      <w:r w:rsidRPr="00C26A9B">
        <w:rPr>
          <w:rFonts w:ascii="Times New Roman" w:hAnsi="Times New Roman" w:cs="Times New Roman"/>
          <w:bCs/>
          <w:sz w:val="24"/>
          <w:szCs w:val="24"/>
          <w:lang w:val="ro-RO"/>
        </w:rPr>
        <w:t xml:space="preserve">), încălcările limitelor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zilnice și </w:t>
      </w:r>
      <w:proofErr w:type="spellStart"/>
      <w:r w:rsidRPr="00C26A9B">
        <w:rPr>
          <w:rFonts w:ascii="Times New Roman" w:hAnsi="Times New Roman" w:cs="Times New Roman"/>
          <w:bCs/>
          <w:sz w:val="24"/>
          <w:szCs w:val="24"/>
          <w:lang w:val="ro-RO"/>
        </w:rPr>
        <w:t>acţiunile</w:t>
      </w:r>
      <w:proofErr w:type="spellEnd"/>
      <w:r w:rsidRPr="00C26A9B">
        <w:rPr>
          <w:rFonts w:ascii="Times New Roman" w:hAnsi="Times New Roman" w:cs="Times New Roman"/>
          <w:bCs/>
          <w:sz w:val="24"/>
          <w:szCs w:val="24"/>
          <w:lang w:val="ro-RO"/>
        </w:rPr>
        <w:t xml:space="preserve"> întreprinse de bancă împotriva încălcărilor respective, precum și evaluări ale </w:t>
      </w:r>
      <w:proofErr w:type="spellStart"/>
      <w:r w:rsidRPr="00C26A9B">
        <w:rPr>
          <w:rFonts w:ascii="Times New Roman" w:hAnsi="Times New Roman" w:cs="Times New Roman"/>
          <w:bCs/>
          <w:sz w:val="24"/>
          <w:szCs w:val="24"/>
          <w:lang w:val="ro-RO"/>
        </w:rPr>
        <w:t>lichidităţii</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pieţei</w:t>
      </w:r>
      <w:proofErr w:type="spellEnd"/>
      <w:r w:rsidRPr="00C26A9B">
        <w:rPr>
          <w:rFonts w:ascii="Times New Roman" w:hAnsi="Times New Roman" w:cs="Times New Roman"/>
          <w:bCs/>
          <w:sz w:val="24"/>
          <w:szCs w:val="24"/>
          <w:lang w:val="ro-RO"/>
        </w:rPr>
        <w:t>.</w:t>
      </w:r>
    </w:p>
    <w:p w14:paraId="3162B73D" w14:textId="053F78A2" w:rsidR="00293C0D" w:rsidRPr="00C26A9B" w:rsidRDefault="00293C0D" w:rsidP="00293C0D">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34. Prin derogare de la subpct.33.2, o bancă poate repartiza un dealer mai multor birouri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cu </w:t>
      </w:r>
      <w:proofErr w:type="spellStart"/>
      <w:r w:rsidRPr="00C26A9B">
        <w:rPr>
          <w:rFonts w:ascii="Times New Roman" w:hAnsi="Times New Roman" w:cs="Times New Roman"/>
          <w:bCs/>
          <w:sz w:val="24"/>
          <w:szCs w:val="24"/>
          <w:lang w:val="ro-RO"/>
        </w:rPr>
        <w:t>condiţia</w:t>
      </w:r>
      <w:proofErr w:type="spellEnd"/>
      <w:r w:rsidRPr="00C26A9B">
        <w:rPr>
          <w:rFonts w:ascii="Times New Roman" w:hAnsi="Times New Roman" w:cs="Times New Roman"/>
          <w:bCs/>
          <w:sz w:val="24"/>
          <w:szCs w:val="24"/>
          <w:lang w:val="ro-RO"/>
        </w:rPr>
        <w:t xml:space="preserve"> ca banca să demonstreze într-un mod pe care </w:t>
      </w:r>
      <w:r w:rsidR="00880C88">
        <w:rPr>
          <w:rFonts w:ascii="Times New Roman" w:hAnsi="Times New Roman" w:cs="Times New Roman"/>
          <w:bCs/>
          <w:sz w:val="24"/>
          <w:szCs w:val="24"/>
          <w:lang w:val="ro-RO"/>
        </w:rPr>
        <w:t>BNM</w:t>
      </w:r>
      <w:r w:rsidRPr="00C26A9B">
        <w:rPr>
          <w:rFonts w:ascii="Times New Roman" w:hAnsi="Times New Roman" w:cs="Times New Roman"/>
          <w:bCs/>
          <w:sz w:val="24"/>
          <w:szCs w:val="24"/>
          <w:lang w:val="ro-RO"/>
        </w:rPr>
        <w:t xml:space="preserve"> să îl considere satisfăcător că repartizarea a fost efectuată din considerente ce </w:t>
      </w:r>
      <w:proofErr w:type="spellStart"/>
      <w:r w:rsidRPr="00C26A9B">
        <w:rPr>
          <w:rFonts w:ascii="Times New Roman" w:hAnsi="Times New Roman" w:cs="Times New Roman"/>
          <w:bCs/>
          <w:sz w:val="24"/>
          <w:szCs w:val="24"/>
          <w:lang w:val="ro-RO"/>
        </w:rPr>
        <w:t>ţin</w:t>
      </w:r>
      <w:proofErr w:type="spellEnd"/>
      <w:r w:rsidRPr="00C26A9B">
        <w:rPr>
          <w:rFonts w:ascii="Times New Roman" w:hAnsi="Times New Roman" w:cs="Times New Roman"/>
          <w:bCs/>
          <w:sz w:val="24"/>
          <w:szCs w:val="24"/>
          <w:lang w:val="ro-RO"/>
        </w:rPr>
        <w:t xml:space="preserve"> de afaceri sau de resurse, iar repartizarea nu afectează celelalte </w:t>
      </w:r>
      <w:proofErr w:type="spellStart"/>
      <w:r w:rsidRPr="00C26A9B">
        <w:rPr>
          <w:rFonts w:ascii="Times New Roman" w:hAnsi="Times New Roman" w:cs="Times New Roman"/>
          <w:bCs/>
          <w:sz w:val="24"/>
          <w:szCs w:val="24"/>
          <w:lang w:val="ro-RO"/>
        </w:rPr>
        <w:t>cerinţe</w:t>
      </w:r>
      <w:proofErr w:type="spellEnd"/>
      <w:r w:rsidRPr="00C26A9B">
        <w:rPr>
          <w:rFonts w:ascii="Times New Roman" w:hAnsi="Times New Roman" w:cs="Times New Roman"/>
          <w:bCs/>
          <w:sz w:val="24"/>
          <w:szCs w:val="24"/>
          <w:lang w:val="ro-RO"/>
        </w:rPr>
        <w:t xml:space="preserve"> calitative prevăzute la prezenta secțiune, aplicabile dealerilor și birourilor de tranzacţionare.</w:t>
      </w:r>
    </w:p>
    <w:p w14:paraId="3DC470BD" w14:textId="2410940B" w:rsidR="00293C0D" w:rsidRPr="00C26A9B" w:rsidRDefault="00293C0D" w:rsidP="00293C0D">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35. Băncile notifică BNM modul în care asigură respectarea pct.33. BNM poate impune unei bănci să modifice structura sau organizarea birourilor sale de tranzacţionare pentru a asigura respectarea prezentei secțiuni.</w:t>
      </w:r>
    </w:p>
    <w:p w14:paraId="6EB70A48" w14:textId="7A4033A0" w:rsidR="00293C0D" w:rsidRPr="00C26A9B" w:rsidRDefault="00293C0D" w:rsidP="00293C0D">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36. Pentru a-și calcula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fonduri proprii pentru riscul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băncile atribuie fiecare dintre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din afara portofoliului de tranzacţionare care prezintă un risc valutar sau de marfă birourilor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înfiinţate</w:t>
      </w:r>
      <w:proofErr w:type="spellEnd"/>
      <w:r w:rsidRPr="00C26A9B">
        <w:rPr>
          <w:rFonts w:ascii="Times New Roman" w:hAnsi="Times New Roman" w:cs="Times New Roman"/>
          <w:bCs/>
          <w:sz w:val="24"/>
          <w:szCs w:val="24"/>
          <w:lang w:val="ro-RO"/>
        </w:rPr>
        <w:t xml:space="preserve"> în conformitate cu pct.32 care gestionează riscuri similare cu riscurile </w:t>
      </w:r>
      <w:proofErr w:type="spellStart"/>
      <w:r w:rsidRPr="00C26A9B">
        <w:rPr>
          <w:rFonts w:ascii="Times New Roman" w:hAnsi="Times New Roman" w:cs="Times New Roman"/>
          <w:bCs/>
          <w:sz w:val="24"/>
          <w:szCs w:val="24"/>
          <w:lang w:val="ro-RO"/>
        </w:rPr>
        <w:t>poziţiilor</w:t>
      </w:r>
      <w:proofErr w:type="spellEnd"/>
      <w:r w:rsidRPr="00C26A9B">
        <w:rPr>
          <w:rFonts w:ascii="Times New Roman" w:hAnsi="Times New Roman" w:cs="Times New Roman"/>
          <w:bCs/>
          <w:sz w:val="24"/>
          <w:szCs w:val="24"/>
          <w:lang w:val="ro-RO"/>
        </w:rPr>
        <w:t xml:space="preserve"> respective.</w:t>
      </w:r>
    </w:p>
    <w:p w14:paraId="01AB682F" w14:textId="021ADBA4" w:rsidR="00293C0D" w:rsidRPr="00C26A9B" w:rsidRDefault="00293C0D" w:rsidP="00293C0D">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37. Prin derogare de la</w:t>
      </w:r>
      <w:r w:rsidR="0083411F">
        <w:rPr>
          <w:rFonts w:ascii="Times New Roman" w:hAnsi="Times New Roman" w:cs="Times New Roman"/>
          <w:bCs/>
          <w:sz w:val="24"/>
          <w:szCs w:val="24"/>
          <w:lang w:val="ro-RO"/>
        </w:rPr>
        <w:t xml:space="preserve"> </w:t>
      </w:r>
      <w:r w:rsidRPr="00C26A9B">
        <w:rPr>
          <w:rFonts w:ascii="Times New Roman" w:hAnsi="Times New Roman" w:cs="Times New Roman"/>
          <w:bCs/>
          <w:sz w:val="24"/>
          <w:szCs w:val="24"/>
          <w:lang w:val="ro-RO"/>
        </w:rPr>
        <w:t xml:space="preserve">pct.36, atunci când își calculează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fonduri proprii pentru riscul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băncile pot </w:t>
      </w:r>
      <w:proofErr w:type="spellStart"/>
      <w:r w:rsidRPr="00C26A9B">
        <w:rPr>
          <w:rFonts w:ascii="Times New Roman" w:hAnsi="Times New Roman" w:cs="Times New Roman"/>
          <w:bCs/>
          <w:sz w:val="24"/>
          <w:szCs w:val="24"/>
          <w:lang w:val="ro-RO"/>
        </w:rPr>
        <w:t>înfiinţa</w:t>
      </w:r>
      <w:proofErr w:type="spellEnd"/>
      <w:r w:rsidRPr="00C26A9B">
        <w:rPr>
          <w:rFonts w:ascii="Times New Roman" w:hAnsi="Times New Roman" w:cs="Times New Roman"/>
          <w:bCs/>
          <w:sz w:val="24"/>
          <w:szCs w:val="24"/>
          <w:lang w:val="ro-RO"/>
        </w:rPr>
        <w:t xml:space="preserve"> unul sau mai multe birouri de tranzacţionare cărora le atribuie exclusiv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din afara portofoliului de tranzacţionare care prezintă un risc valutar sau de marfă. Birourile de tranzacţionare respective nu sunt supuse </w:t>
      </w:r>
      <w:proofErr w:type="spellStart"/>
      <w:r w:rsidRPr="00C26A9B">
        <w:rPr>
          <w:rFonts w:ascii="Times New Roman" w:hAnsi="Times New Roman" w:cs="Times New Roman"/>
          <w:bCs/>
          <w:sz w:val="24"/>
          <w:szCs w:val="24"/>
          <w:lang w:val="ro-RO"/>
        </w:rPr>
        <w:t>cerinţelor</w:t>
      </w:r>
      <w:proofErr w:type="spellEnd"/>
      <w:r w:rsidRPr="00C26A9B">
        <w:rPr>
          <w:rFonts w:ascii="Times New Roman" w:hAnsi="Times New Roman" w:cs="Times New Roman"/>
          <w:bCs/>
          <w:sz w:val="24"/>
          <w:szCs w:val="24"/>
          <w:lang w:val="ro-RO"/>
        </w:rPr>
        <w:t xml:space="preserve"> prevăzute la pct.32, 33 și 34.</w:t>
      </w:r>
    </w:p>
    <w:p w14:paraId="687F636F" w14:textId="12B2769D" w:rsidR="00293C0D" w:rsidRPr="00C26A9B" w:rsidRDefault="00293C0D" w:rsidP="00293C0D">
      <w:pPr>
        <w:rPr>
          <w:rFonts w:ascii="Times New Roman" w:hAnsi="Times New Roman" w:cs="Times New Roman"/>
          <w:b/>
          <w:bCs/>
          <w:sz w:val="24"/>
          <w:szCs w:val="24"/>
          <w:lang w:val="ro-RO"/>
        </w:rPr>
      </w:pPr>
      <w:proofErr w:type="spellStart"/>
      <w:r w:rsidRPr="00CC1E9B">
        <w:rPr>
          <w:rFonts w:ascii="Times New Roman" w:hAnsi="Times New Roman" w:cs="Times New Roman"/>
          <w:b/>
          <w:sz w:val="24"/>
          <w:szCs w:val="24"/>
          <w:lang w:val="ro-RO"/>
        </w:rPr>
        <w:t>Secţiunea</w:t>
      </w:r>
      <w:proofErr w:type="spellEnd"/>
      <w:r w:rsidRPr="00CC1E9B">
        <w:rPr>
          <w:rFonts w:ascii="Times New Roman" w:hAnsi="Times New Roman" w:cs="Times New Roman"/>
          <w:b/>
          <w:sz w:val="24"/>
          <w:szCs w:val="24"/>
          <w:lang w:val="ro-RO"/>
        </w:rPr>
        <w:t xml:space="preserve"> 6.</w:t>
      </w:r>
      <w:r w:rsidRPr="00C26A9B">
        <w:rPr>
          <w:rFonts w:ascii="Times New Roman" w:hAnsi="Times New Roman" w:cs="Times New Roman"/>
          <w:bCs/>
          <w:i/>
          <w:iCs/>
          <w:sz w:val="24"/>
          <w:szCs w:val="24"/>
          <w:lang w:val="ro-RO"/>
        </w:rPr>
        <w:t xml:space="preserve"> </w:t>
      </w:r>
      <w:r w:rsidRPr="00C26A9B">
        <w:rPr>
          <w:rFonts w:ascii="Times New Roman" w:hAnsi="Times New Roman" w:cs="Times New Roman"/>
          <w:b/>
          <w:bCs/>
          <w:sz w:val="24"/>
          <w:szCs w:val="24"/>
          <w:lang w:val="ro-RO"/>
        </w:rPr>
        <w:t>Tratamentul acoperirilor împotriva riscului valutar ale ratelor fondurilor proprii</w:t>
      </w:r>
    </w:p>
    <w:p w14:paraId="6A45E356" w14:textId="367DC9EB" w:rsidR="007A0B19" w:rsidRPr="00C26A9B" w:rsidRDefault="007A0B19" w:rsidP="007A0B19">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38. O bancă care și-a asumat în mod deliberat o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de risc pentru a acoperi, cel </w:t>
      </w:r>
      <w:proofErr w:type="spellStart"/>
      <w:r w:rsidRPr="00C26A9B">
        <w:rPr>
          <w:rFonts w:ascii="Times New Roman" w:hAnsi="Times New Roman" w:cs="Times New Roman"/>
          <w:bCs/>
          <w:sz w:val="24"/>
          <w:szCs w:val="24"/>
          <w:lang w:val="ro-RO"/>
        </w:rPr>
        <w:t>puţin</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parţial</w:t>
      </w:r>
      <w:proofErr w:type="spellEnd"/>
      <w:r w:rsidRPr="00C26A9B">
        <w:rPr>
          <w:rFonts w:ascii="Times New Roman" w:hAnsi="Times New Roman" w:cs="Times New Roman"/>
          <w:bCs/>
          <w:sz w:val="24"/>
          <w:szCs w:val="24"/>
          <w:lang w:val="ro-RO"/>
        </w:rPr>
        <w:t xml:space="preserve">, riscurile prezentate de </w:t>
      </w:r>
      <w:proofErr w:type="spellStart"/>
      <w:r w:rsidRPr="00C26A9B">
        <w:rPr>
          <w:rFonts w:ascii="Times New Roman" w:hAnsi="Times New Roman" w:cs="Times New Roman"/>
          <w:bCs/>
          <w:sz w:val="24"/>
          <w:szCs w:val="24"/>
          <w:lang w:val="ro-RO"/>
        </w:rPr>
        <w:t>variaţiile</w:t>
      </w:r>
      <w:proofErr w:type="spellEnd"/>
      <w:r w:rsidRPr="00C26A9B">
        <w:rPr>
          <w:rFonts w:ascii="Times New Roman" w:hAnsi="Times New Roman" w:cs="Times New Roman"/>
          <w:bCs/>
          <w:sz w:val="24"/>
          <w:szCs w:val="24"/>
          <w:lang w:val="ro-RO"/>
        </w:rPr>
        <w:t xml:space="preserve"> nefavorabile ale cursurilor de schimb pentru oricare dintre ratele fondurilor sale proprii, astfel cum sunt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la</w:t>
      </w:r>
      <w:r w:rsidR="00597363">
        <w:rPr>
          <w:rFonts w:ascii="Times New Roman" w:hAnsi="Times New Roman" w:cs="Times New Roman"/>
          <w:bCs/>
          <w:sz w:val="24"/>
          <w:szCs w:val="24"/>
          <w:lang w:val="ro-RO"/>
        </w:rPr>
        <w:t xml:space="preserve"> </w:t>
      </w:r>
      <w:r w:rsidRPr="00C26A9B">
        <w:rPr>
          <w:rFonts w:ascii="Times New Roman" w:hAnsi="Times New Roman" w:cs="Times New Roman"/>
          <w:bCs/>
          <w:sz w:val="24"/>
          <w:szCs w:val="24"/>
          <w:lang w:val="ro-RO"/>
        </w:rPr>
        <w:t xml:space="preserve">pct.130 subpct.1), 2) și 3) din Regulamentul nr.109/2018, poate, cu aprobarea BNM, să excludă acea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de risc din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fonduri proprii pentru riscul valutar prevăzute la </w:t>
      </w:r>
      <w:r w:rsidR="00597363">
        <w:rPr>
          <w:rFonts w:ascii="Times New Roman" w:hAnsi="Times New Roman" w:cs="Times New Roman"/>
          <w:bCs/>
          <w:sz w:val="24"/>
          <w:szCs w:val="24"/>
          <w:lang w:val="ro-RO"/>
        </w:rPr>
        <w:t>pct.69-70</w:t>
      </w:r>
      <w:r w:rsidRPr="00597363">
        <w:rPr>
          <w:rFonts w:ascii="Times New Roman" w:hAnsi="Times New Roman" w:cs="Times New Roman"/>
          <w:bCs/>
          <w:sz w:val="24"/>
          <w:szCs w:val="24"/>
          <w:lang w:val="ro-RO"/>
        </w:rPr>
        <w:t>,</w:t>
      </w:r>
      <w:r w:rsidRPr="00C26A9B">
        <w:rPr>
          <w:rFonts w:ascii="Times New Roman" w:hAnsi="Times New Roman" w:cs="Times New Roman"/>
          <w:bCs/>
          <w:sz w:val="24"/>
          <w:szCs w:val="24"/>
          <w:lang w:val="ro-RO"/>
        </w:rPr>
        <w:t xml:space="preserve"> dacă sunt îndeplinite toate </w:t>
      </w:r>
      <w:proofErr w:type="spellStart"/>
      <w:r w:rsidRPr="00C26A9B">
        <w:rPr>
          <w:rFonts w:ascii="Times New Roman" w:hAnsi="Times New Roman" w:cs="Times New Roman"/>
          <w:bCs/>
          <w:sz w:val="24"/>
          <w:szCs w:val="24"/>
          <w:lang w:val="ro-RO"/>
        </w:rPr>
        <w:t>condiţiile</w:t>
      </w:r>
      <w:proofErr w:type="spellEnd"/>
      <w:r w:rsidRPr="00C26A9B">
        <w:rPr>
          <w:rFonts w:ascii="Times New Roman" w:hAnsi="Times New Roman" w:cs="Times New Roman"/>
          <w:bCs/>
          <w:sz w:val="24"/>
          <w:szCs w:val="24"/>
          <w:lang w:val="ro-RO"/>
        </w:rPr>
        <w:t xml:space="preserve"> următoare:</w:t>
      </w:r>
    </w:p>
    <w:p w14:paraId="162F447E" w14:textId="77777777" w:rsidR="007A0B19" w:rsidRPr="00C26A9B" w:rsidRDefault="007A0B19" w:rsidP="007A0B19">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38.1. cuantumul maxim al </w:t>
      </w:r>
      <w:proofErr w:type="spellStart"/>
      <w:r w:rsidRPr="00C26A9B">
        <w:rPr>
          <w:rFonts w:ascii="Times New Roman" w:hAnsi="Times New Roman" w:cs="Times New Roman"/>
          <w:bCs/>
          <w:sz w:val="24"/>
          <w:szCs w:val="24"/>
          <w:lang w:val="ro-RO"/>
        </w:rPr>
        <w:t>poziţiei</w:t>
      </w:r>
      <w:proofErr w:type="spellEnd"/>
      <w:r w:rsidRPr="00C26A9B">
        <w:rPr>
          <w:rFonts w:ascii="Times New Roman" w:hAnsi="Times New Roman" w:cs="Times New Roman"/>
          <w:bCs/>
          <w:sz w:val="24"/>
          <w:szCs w:val="24"/>
          <w:lang w:val="ro-RO"/>
        </w:rPr>
        <w:t xml:space="preserve"> de risc care este exclus din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fonduri proprii pentru riscul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este limitat la cuantumul </w:t>
      </w:r>
      <w:proofErr w:type="spellStart"/>
      <w:r w:rsidRPr="00C26A9B">
        <w:rPr>
          <w:rFonts w:ascii="Times New Roman" w:hAnsi="Times New Roman" w:cs="Times New Roman"/>
          <w:bCs/>
          <w:sz w:val="24"/>
          <w:szCs w:val="24"/>
          <w:lang w:val="ro-RO"/>
        </w:rPr>
        <w:t>poziţiei</w:t>
      </w:r>
      <w:proofErr w:type="spellEnd"/>
      <w:r w:rsidRPr="00C26A9B">
        <w:rPr>
          <w:rFonts w:ascii="Times New Roman" w:hAnsi="Times New Roman" w:cs="Times New Roman"/>
          <w:bCs/>
          <w:sz w:val="24"/>
          <w:szCs w:val="24"/>
          <w:lang w:val="ro-RO"/>
        </w:rPr>
        <w:t xml:space="preserve"> de risc care neutralizează sensibilitatea oricăreia dintre ratele fondurilor proprii la </w:t>
      </w:r>
      <w:proofErr w:type="spellStart"/>
      <w:r w:rsidRPr="00C26A9B">
        <w:rPr>
          <w:rFonts w:ascii="Times New Roman" w:hAnsi="Times New Roman" w:cs="Times New Roman"/>
          <w:bCs/>
          <w:sz w:val="24"/>
          <w:szCs w:val="24"/>
          <w:lang w:val="ro-RO"/>
        </w:rPr>
        <w:t>variaţiile</w:t>
      </w:r>
      <w:proofErr w:type="spellEnd"/>
      <w:r w:rsidRPr="00C26A9B">
        <w:rPr>
          <w:rFonts w:ascii="Times New Roman" w:hAnsi="Times New Roman" w:cs="Times New Roman"/>
          <w:bCs/>
          <w:sz w:val="24"/>
          <w:szCs w:val="24"/>
          <w:lang w:val="ro-RO"/>
        </w:rPr>
        <w:t xml:space="preserve"> nefavorabile ale cursurilor de schimb;</w:t>
      </w:r>
    </w:p>
    <w:p w14:paraId="2E635EFB" w14:textId="77777777" w:rsidR="007A0B19" w:rsidRPr="00C26A9B" w:rsidRDefault="007A0B19" w:rsidP="007A0B19">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38.2. </w:t>
      </w:r>
      <w:proofErr w:type="spellStart"/>
      <w:r w:rsidRPr="00C26A9B">
        <w:rPr>
          <w:rFonts w:ascii="Times New Roman" w:hAnsi="Times New Roman" w:cs="Times New Roman"/>
          <w:bCs/>
          <w:sz w:val="24"/>
          <w:szCs w:val="24"/>
          <w:lang w:val="ro-RO"/>
        </w:rPr>
        <w:t>poziţia</w:t>
      </w:r>
      <w:proofErr w:type="spellEnd"/>
      <w:r w:rsidRPr="00C26A9B">
        <w:rPr>
          <w:rFonts w:ascii="Times New Roman" w:hAnsi="Times New Roman" w:cs="Times New Roman"/>
          <w:bCs/>
          <w:sz w:val="24"/>
          <w:szCs w:val="24"/>
          <w:lang w:val="ro-RO"/>
        </w:rPr>
        <w:t xml:space="preserve"> de risc este exclusă din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fonduri proprii pentru riscul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timp de cel </w:t>
      </w:r>
      <w:proofErr w:type="spellStart"/>
      <w:r w:rsidRPr="00C26A9B">
        <w:rPr>
          <w:rFonts w:ascii="Times New Roman" w:hAnsi="Times New Roman" w:cs="Times New Roman"/>
          <w:bCs/>
          <w:sz w:val="24"/>
          <w:szCs w:val="24"/>
          <w:lang w:val="ro-RO"/>
        </w:rPr>
        <w:t>puţin</w:t>
      </w:r>
      <w:proofErr w:type="spellEnd"/>
      <w:r w:rsidRPr="00C26A9B">
        <w:rPr>
          <w:rFonts w:ascii="Times New Roman" w:hAnsi="Times New Roman" w:cs="Times New Roman"/>
          <w:bCs/>
          <w:sz w:val="24"/>
          <w:szCs w:val="24"/>
          <w:lang w:val="ro-RO"/>
        </w:rPr>
        <w:t xml:space="preserve"> șase luni;</w:t>
      </w:r>
    </w:p>
    <w:p w14:paraId="353F886B" w14:textId="77777777" w:rsidR="007A0B19" w:rsidRPr="00C26A9B" w:rsidRDefault="007A0B19" w:rsidP="007A0B19">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lastRenderedPageBreak/>
        <w:t xml:space="preserve">38.3. banca a instituit un cadru adecvat de gestionare a riscurilor pentru a acoperi </w:t>
      </w:r>
      <w:proofErr w:type="spellStart"/>
      <w:r w:rsidRPr="00C26A9B">
        <w:rPr>
          <w:rFonts w:ascii="Times New Roman" w:hAnsi="Times New Roman" w:cs="Times New Roman"/>
          <w:bCs/>
          <w:sz w:val="24"/>
          <w:szCs w:val="24"/>
          <w:lang w:val="ro-RO"/>
        </w:rPr>
        <w:t>variaţiile</w:t>
      </w:r>
      <w:proofErr w:type="spellEnd"/>
      <w:r w:rsidRPr="00C26A9B">
        <w:rPr>
          <w:rFonts w:ascii="Times New Roman" w:hAnsi="Times New Roman" w:cs="Times New Roman"/>
          <w:bCs/>
          <w:sz w:val="24"/>
          <w:szCs w:val="24"/>
          <w:lang w:val="ro-RO"/>
        </w:rPr>
        <w:t xml:space="preserve"> nefavorabile ale cursurilor de schimb pentru oricare dintre ratele fondurilor sale proprii, inclusiv o strategie clară de acoperire a riscurilor și o structură clară de </w:t>
      </w:r>
      <w:proofErr w:type="spellStart"/>
      <w:r w:rsidRPr="00C26A9B">
        <w:rPr>
          <w:rFonts w:ascii="Times New Roman" w:hAnsi="Times New Roman" w:cs="Times New Roman"/>
          <w:bCs/>
          <w:sz w:val="24"/>
          <w:szCs w:val="24"/>
          <w:lang w:val="ro-RO"/>
        </w:rPr>
        <w:t>guvernanţă</w:t>
      </w:r>
      <w:proofErr w:type="spellEnd"/>
      <w:r w:rsidRPr="00C26A9B">
        <w:rPr>
          <w:rFonts w:ascii="Times New Roman" w:hAnsi="Times New Roman" w:cs="Times New Roman"/>
          <w:bCs/>
          <w:sz w:val="24"/>
          <w:szCs w:val="24"/>
          <w:lang w:val="ro-RO"/>
        </w:rPr>
        <w:t>;</w:t>
      </w:r>
    </w:p>
    <w:p w14:paraId="50F70D33" w14:textId="6161446A" w:rsidR="00293C0D" w:rsidRPr="00C26A9B" w:rsidRDefault="007A0B19" w:rsidP="007A0B19">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38.4. banca a furnizat BNM o justificare pentru excluderea unei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de risc din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fonduri proprii pentru riscul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detaliile </w:t>
      </w:r>
      <w:proofErr w:type="spellStart"/>
      <w:r w:rsidRPr="00C26A9B">
        <w:rPr>
          <w:rFonts w:ascii="Times New Roman" w:hAnsi="Times New Roman" w:cs="Times New Roman"/>
          <w:bCs/>
          <w:sz w:val="24"/>
          <w:szCs w:val="24"/>
          <w:lang w:val="ro-RO"/>
        </w:rPr>
        <w:t>poziţiei</w:t>
      </w:r>
      <w:proofErr w:type="spellEnd"/>
      <w:r w:rsidRPr="00C26A9B">
        <w:rPr>
          <w:rFonts w:ascii="Times New Roman" w:hAnsi="Times New Roman" w:cs="Times New Roman"/>
          <w:bCs/>
          <w:sz w:val="24"/>
          <w:szCs w:val="24"/>
          <w:lang w:val="ro-RO"/>
        </w:rPr>
        <w:t xml:space="preserve"> de risc respective și cuantumul care trebuie exclus.</w:t>
      </w:r>
    </w:p>
    <w:p w14:paraId="22176B61" w14:textId="74702A54" w:rsidR="000479A0" w:rsidRPr="00C26A9B" w:rsidRDefault="000479A0" w:rsidP="007A0B19">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39. Orice excludere a unor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de risc din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fonduri proprii pentru riscul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în conformitate cu pct.38 se aplică în mod consecvent.</w:t>
      </w:r>
    </w:p>
    <w:p w14:paraId="7387A5DD" w14:textId="06A993D6" w:rsidR="000479A0" w:rsidRPr="00C26A9B" w:rsidRDefault="000479A0" w:rsidP="007A0B19">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40. BNM aprobă orice modificări aduse de bancă cadrului de gestionare a riscurilor </w:t>
      </w:r>
      <w:proofErr w:type="spellStart"/>
      <w:r w:rsidRPr="00C26A9B">
        <w:rPr>
          <w:rFonts w:ascii="Times New Roman" w:hAnsi="Times New Roman" w:cs="Times New Roman"/>
          <w:sz w:val="24"/>
          <w:szCs w:val="24"/>
          <w:lang w:val="ro-RO"/>
        </w:rPr>
        <w:t>menţionat</w:t>
      </w:r>
      <w:proofErr w:type="spellEnd"/>
      <w:r w:rsidRPr="00C26A9B">
        <w:rPr>
          <w:rFonts w:ascii="Times New Roman" w:hAnsi="Times New Roman" w:cs="Times New Roman"/>
          <w:sz w:val="24"/>
          <w:szCs w:val="24"/>
          <w:lang w:val="ro-RO"/>
        </w:rPr>
        <w:t xml:space="preserve"> la subpct.38.3 și detaliilor </w:t>
      </w:r>
      <w:proofErr w:type="spellStart"/>
      <w:r w:rsidRPr="00C26A9B">
        <w:rPr>
          <w:rFonts w:ascii="Times New Roman" w:hAnsi="Times New Roman" w:cs="Times New Roman"/>
          <w:sz w:val="24"/>
          <w:szCs w:val="24"/>
          <w:lang w:val="ro-RO"/>
        </w:rPr>
        <w:t>poziţiilor</w:t>
      </w:r>
      <w:proofErr w:type="spellEnd"/>
      <w:r w:rsidRPr="00C26A9B">
        <w:rPr>
          <w:rFonts w:ascii="Times New Roman" w:hAnsi="Times New Roman" w:cs="Times New Roman"/>
          <w:sz w:val="24"/>
          <w:szCs w:val="24"/>
          <w:lang w:val="ro-RO"/>
        </w:rPr>
        <w:t xml:space="preserve"> de risc </w:t>
      </w:r>
      <w:proofErr w:type="spellStart"/>
      <w:r w:rsidRPr="00C26A9B">
        <w:rPr>
          <w:rFonts w:ascii="Times New Roman" w:hAnsi="Times New Roman" w:cs="Times New Roman"/>
          <w:sz w:val="24"/>
          <w:szCs w:val="24"/>
          <w:lang w:val="ro-RO"/>
        </w:rPr>
        <w:t>menţionate</w:t>
      </w:r>
      <w:proofErr w:type="spellEnd"/>
      <w:r w:rsidRPr="00C26A9B">
        <w:rPr>
          <w:rFonts w:ascii="Times New Roman" w:hAnsi="Times New Roman" w:cs="Times New Roman"/>
          <w:sz w:val="24"/>
          <w:szCs w:val="24"/>
          <w:lang w:val="ro-RO"/>
        </w:rPr>
        <w:t xml:space="preserve"> la subpct.38.4.</w:t>
      </w:r>
    </w:p>
    <w:p w14:paraId="38E63628" w14:textId="6E3FF145" w:rsidR="000479A0" w:rsidRPr="00C26A9B" w:rsidRDefault="00D71E1B" w:rsidP="007A0B19">
      <w:pPr>
        <w:rPr>
          <w:rFonts w:ascii="Times New Roman" w:hAnsi="Times New Roman" w:cs="Times New Roman"/>
          <w:b/>
          <w:bCs/>
          <w:sz w:val="24"/>
          <w:szCs w:val="24"/>
          <w:lang w:val="ro-RO"/>
        </w:rPr>
      </w:pPr>
      <w:r w:rsidRPr="00CC1E9B">
        <w:rPr>
          <w:rFonts w:ascii="Times New Roman" w:hAnsi="Times New Roman" w:cs="Times New Roman"/>
          <w:b/>
          <w:sz w:val="24"/>
          <w:szCs w:val="24"/>
          <w:lang w:val="ro-RO"/>
        </w:rPr>
        <w:t>Secțiunea 7.</w:t>
      </w:r>
      <w:r w:rsidRPr="00C26A9B">
        <w:rPr>
          <w:rFonts w:ascii="Times New Roman" w:hAnsi="Times New Roman" w:cs="Times New Roman"/>
          <w:b/>
          <w:i/>
          <w:iCs/>
          <w:sz w:val="24"/>
          <w:szCs w:val="24"/>
          <w:lang w:val="ro-RO"/>
        </w:rPr>
        <w:t xml:space="preserve"> </w:t>
      </w:r>
      <w:proofErr w:type="spellStart"/>
      <w:r w:rsidRPr="00C26A9B">
        <w:rPr>
          <w:rFonts w:ascii="Times New Roman" w:hAnsi="Times New Roman" w:cs="Times New Roman"/>
          <w:b/>
          <w:bCs/>
          <w:sz w:val="24"/>
          <w:szCs w:val="24"/>
          <w:lang w:val="ro-RO"/>
        </w:rPr>
        <w:t>Cerinţe</w:t>
      </w:r>
      <w:proofErr w:type="spellEnd"/>
      <w:r w:rsidRPr="00C26A9B">
        <w:rPr>
          <w:rFonts w:ascii="Times New Roman" w:hAnsi="Times New Roman" w:cs="Times New Roman"/>
          <w:b/>
          <w:bCs/>
          <w:sz w:val="24"/>
          <w:szCs w:val="24"/>
          <w:lang w:val="ro-RO"/>
        </w:rPr>
        <w:t xml:space="preserve"> de evaluare prudentă</w:t>
      </w:r>
    </w:p>
    <w:p w14:paraId="7B529731" w14:textId="2484C6AD" w:rsidR="00D71E1B" w:rsidRPr="00C26A9B" w:rsidRDefault="00D71E1B" w:rsidP="007A0B19">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41. Toate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din portofoliul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și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din afara portofoliului de tranzacţionare evaluate la valoarea justă fac obiectul normelor privind evaluarea prudentă </w:t>
      </w:r>
      <w:proofErr w:type="spellStart"/>
      <w:r w:rsidRPr="00C26A9B">
        <w:rPr>
          <w:rFonts w:ascii="Times New Roman" w:hAnsi="Times New Roman" w:cs="Times New Roman"/>
          <w:bCs/>
          <w:sz w:val="24"/>
          <w:szCs w:val="24"/>
          <w:lang w:val="ro-RO"/>
        </w:rPr>
        <w:t>enunţate</w:t>
      </w:r>
      <w:proofErr w:type="spellEnd"/>
      <w:r w:rsidRPr="00C26A9B">
        <w:rPr>
          <w:rFonts w:ascii="Times New Roman" w:hAnsi="Times New Roman" w:cs="Times New Roman"/>
          <w:bCs/>
          <w:sz w:val="24"/>
          <w:szCs w:val="24"/>
          <w:lang w:val="ro-RO"/>
        </w:rPr>
        <w:t xml:space="preserve"> în prezenta secțiune. Băncile se asigură, în special, că evaluarea prudentă a </w:t>
      </w:r>
      <w:proofErr w:type="spellStart"/>
      <w:r w:rsidRPr="00C26A9B">
        <w:rPr>
          <w:rFonts w:ascii="Times New Roman" w:hAnsi="Times New Roman" w:cs="Times New Roman"/>
          <w:bCs/>
          <w:sz w:val="24"/>
          <w:szCs w:val="24"/>
          <w:lang w:val="ro-RO"/>
        </w:rPr>
        <w:t>poziţiilor</w:t>
      </w:r>
      <w:proofErr w:type="spellEnd"/>
      <w:r w:rsidRPr="00C26A9B">
        <w:rPr>
          <w:rFonts w:ascii="Times New Roman" w:hAnsi="Times New Roman" w:cs="Times New Roman"/>
          <w:bCs/>
          <w:sz w:val="24"/>
          <w:szCs w:val="24"/>
          <w:lang w:val="ro-RO"/>
        </w:rPr>
        <w:t xml:space="preserve"> lor din portofoliul de tranzacţionare atinge un grad corespunzător de certitudine, </w:t>
      </w:r>
      <w:proofErr w:type="spellStart"/>
      <w:r w:rsidRPr="00C26A9B">
        <w:rPr>
          <w:rFonts w:ascii="Times New Roman" w:hAnsi="Times New Roman" w:cs="Times New Roman"/>
          <w:bCs/>
          <w:sz w:val="24"/>
          <w:szCs w:val="24"/>
          <w:lang w:val="ro-RO"/>
        </w:rPr>
        <w:t>ţinând</w:t>
      </w:r>
      <w:proofErr w:type="spellEnd"/>
      <w:r w:rsidRPr="00C26A9B">
        <w:rPr>
          <w:rFonts w:ascii="Times New Roman" w:hAnsi="Times New Roman" w:cs="Times New Roman"/>
          <w:bCs/>
          <w:sz w:val="24"/>
          <w:szCs w:val="24"/>
          <w:lang w:val="ro-RO"/>
        </w:rPr>
        <w:t xml:space="preserve"> seama de natura dinamică a </w:t>
      </w:r>
      <w:proofErr w:type="spellStart"/>
      <w:r w:rsidRPr="00C26A9B">
        <w:rPr>
          <w:rFonts w:ascii="Times New Roman" w:hAnsi="Times New Roman" w:cs="Times New Roman"/>
          <w:bCs/>
          <w:sz w:val="24"/>
          <w:szCs w:val="24"/>
          <w:lang w:val="ro-RO"/>
        </w:rPr>
        <w:t>poziţiilor</w:t>
      </w:r>
      <w:proofErr w:type="spellEnd"/>
      <w:r w:rsidRPr="00C26A9B">
        <w:rPr>
          <w:rFonts w:ascii="Times New Roman" w:hAnsi="Times New Roman" w:cs="Times New Roman"/>
          <w:bCs/>
          <w:sz w:val="24"/>
          <w:szCs w:val="24"/>
          <w:lang w:val="ro-RO"/>
        </w:rPr>
        <w:t xml:space="preserve"> din portofoliul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și a </w:t>
      </w:r>
      <w:proofErr w:type="spellStart"/>
      <w:r w:rsidRPr="00C26A9B">
        <w:rPr>
          <w:rFonts w:ascii="Times New Roman" w:hAnsi="Times New Roman" w:cs="Times New Roman"/>
          <w:bCs/>
          <w:sz w:val="24"/>
          <w:szCs w:val="24"/>
          <w:lang w:val="ro-RO"/>
        </w:rPr>
        <w:t>poziţiilor</w:t>
      </w:r>
      <w:proofErr w:type="spellEnd"/>
      <w:r w:rsidRPr="00C26A9B">
        <w:rPr>
          <w:rFonts w:ascii="Times New Roman" w:hAnsi="Times New Roman" w:cs="Times New Roman"/>
          <w:bCs/>
          <w:sz w:val="24"/>
          <w:szCs w:val="24"/>
          <w:lang w:val="ro-RO"/>
        </w:rPr>
        <w:t xml:space="preserve"> din afara portofoliului de tranzacţionare evaluate la valoarea justă, de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soliditate </w:t>
      </w:r>
      <w:proofErr w:type="spellStart"/>
      <w:r w:rsidRPr="00C26A9B">
        <w:rPr>
          <w:rFonts w:ascii="Times New Roman" w:hAnsi="Times New Roman" w:cs="Times New Roman"/>
          <w:bCs/>
          <w:sz w:val="24"/>
          <w:szCs w:val="24"/>
          <w:lang w:val="ro-RO"/>
        </w:rPr>
        <w:t>prudenţială</w:t>
      </w:r>
      <w:proofErr w:type="spellEnd"/>
      <w:r w:rsidRPr="00C26A9B">
        <w:rPr>
          <w:rFonts w:ascii="Times New Roman" w:hAnsi="Times New Roman" w:cs="Times New Roman"/>
          <w:bCs/>
          <w:sz w:val="24"/>
          <w:szCs w:val="24"/>
          <w:lang w:val="ro-RO"/>
        </w:rPr>
        <w:t xml:space="preserve">, de modul de operare și de scopul </w:t>
      </w:r>
      <w:proofErr w:type="spellStart"/>
      <w:r w:rsidRPr="00C26A9B">
        <w:rPr>
          <w:rFonts w:ascii="Times New Roman" w:hAnsi="Times New Roman" w:cs="Times New Roman"/>
          <w:bCs/>
          <w:sz w:val="24"/>
          <w:szCs w:val="24"/>
          <w:lang w:val="ro-RO"/>
        </w:rPr>
        <w:t>cerinţelor</w:t>
      </w:r>
      <w:proofErr w:type="spellEnd"/>
      <w:r w:rsidRPr="00C26A9B">
        <w:rPr>
          <w:rFonts w:ascii="Times New Roman" w:hAnsi="Times New Roman" w:cs="Times New Roman"/>
          <w:bCs/>
          <w:sz w:val="24"/>
          <w:szCs w:val="24"/>
          <w:lang w:val="ro-RO"/>
        </w:rPr>
        <w:t xml:space="preserve"> de capital în ceea ce privește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din portofoliul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și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din afara portofoliului de tranzacţionare evaluate la valoarea justă.</w:t>
      </w:r>
    </w:p>
    <w:p w14:paraId="0D204F1C" w14:textId="77777777" w:rsidR="000D2247" w:rsidRPr="00C26A9B" w:rsidRDefault="000D2247" w:rsidP="000D2247">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42. Băncile instituie și </w:t>
      </w:r>
      <w:proofErr w:type="spellStart"/>
      <w:r w:rsidRPr="00C26A9B">
        <w:rPr>
          <w:rFonts w:ascii="Times New Roman" w:hAnsi="Times New Roman" w:cs="Times New Roman"/>
          <w:bCs/>
          <w:sz w:val="24"/>
          <w:szCs w:val="24"/>
          <w:lang w:val="ro-RO"/>
        </w:rPr>
        <w:t>menţin</w:t>
      </w:r>
      <w:proofErr w:type="spellEnd"/>
      <w:r w:rsidRPr="00C26A9B">
        <w:rPr>
          <w:rFonts w:ascii="Times New Roman" w:hAnsi="Times New Roman" w:cs="Times New Roman"/>
          <w:bCs/>
          <w:sz w:val="24"/>
          <w:szCs w:val="24"/>
          <w:lang w:val="ro-RO"/>
        </w:rPr>
        <w:t xml:space="preserve"> sisteme și mecanisme de control suficiente pentru a </w:t>
      </w:r>
      <w:proofErr w:type="spellStart"/>
      <w:r w:rsidRPr="00C26A9B">
        <w:rPr>
          <w:rFonts w:ascii="Times New Roman" w:hAnsi="Times New Roman" w:cs="Times New Roman"/>
          <w:bCs/>
          <w:sz w:val="24"/>
          <w:szCs w:val="24"/>
          <w:lang w:val="ro-RO"/>
        </w:rPr>
        <w:t>obţine</w:t>
      </w:r>
      <w:proofErr w:type="spellEnd"/>
      <w:r w:rsidRPr="00C26A9B">
        <w:rPr>
          <w:rFonts w:ascii="Times New Roman" w:hAnsi="Times New Roman" w:cs="Times New Roman"/>
          <w:bCs/>
          <w:sz w:val="24"/>
          <w:szCs w:val="24"/>
          <w:lang w:val="ro-RO"/>
        </w:rPr>
        <w:t xml:space="preserve"> estimări prudente și fiabile pentru scopuri de evaluare. Sistemele și mecanismele de control respective includ cel </w:t>
      </w:r>
      <w:proofErr w:type="spellStart"/>
      <w:r w:rsidRPr="00C26A9B">
        <w:rPr>
          <w:rFonts w:ascii="Times New Roman" w:hAnsi="Times New Roman" w:cs="Times New Roman"/>
          <w:bCs/>
          <w:sz w:val="24"/>
          <w:szCs w:val="24"/>
          <w:lang w:val="ro-RO"/>
        </w:rPr>
        <w:t>puţin</w:t>
      </w:r>
      <w:proofErr w:type="spellEnd"/>
      <w:r w:rsidRPr="00C26A9B">
        <w:rPr>
          <w:rFonts w:ascii="Times New Roman" w:hAnsi="Times New Roman" w:cs="Times New Roman"/>
          <w:bCs/>
          <w:sz w:val="24"/>
          <w:szCs w:val="24"/>
          <w:lang w:val="ro-RO"/>
        </w:rPr>
        <w:t xml:space="preserve"> următoarele elemente:</w:t>
      </w:r>
    </w:p>
    <w:p w14:paraId="2B87AC5B" w14:textId="77777777" w:rsidR="000D2247" w:rsidRPr="00C26A9B" w:rsidRDefault="000D2247" w:rsidP="000D2247">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42.1. politici și proceduri formalizate pentru procesul de evaluare, incluzând </w:t>
      </w:r>
      <w:proofErr w:type="spellStart"/>
      <w:r w:rsidRPr="00C26A9B">
        <w:rPr>
          <w:rFonts w:ascii="Times New Roman" w:hAnsi="Times New Roman" w:cs="Times New Roman"/>
          <w:bCs/>
          <w:sz w:val="24"/>
          <w:szCs w:val="24"/>
          <w:lang w:val="ro-RO"/>
        </w:rPr>
        <w:t>responsabilităţi</w:t>
      </w:r>
      <w:proofErr w:type="spellEnd"/>
      <w:r w:rsidRPr="00C26A9B">
        <w:rPr>
          <w:rFonts w:ascii="Times New Roman" w:hAnsi="Times New Roman" w:cs="Times New Roman"/>
          <w:bCs/>
          <w:sz w:val="24"/>
          <w:szCs w:val="24"/>
          <w:lang w:val="ro-RO"/>
        </w:rPr>
        <w:t xml:space="preserve"> clar definite pentru diversele structuri implicate în procesul de determinare a evaluării, sursele de </w:t>
      </w:r>
      <w:proofErr w:type="spellStart"/>
      <w:r w:rsidRPr="00C26A9B">
        <w:rPr>
          <w:rFonts w:ascii="Times New Roman" w:hAnsi="Times New Roman" w:cs="Times New Roman"/>
          <w:bCs/>
          <w:sz w:val="24"/>
          <w:szCs w:val="24"/>
          <w:lang w:val="ro-RO"/>
        </w:rPr>
        <w:t>informaţii</w:t>
      </w:r>
      <w:proofErr w:type="spellEnd"/>
      <w:r w:rsidRPr="00C26A9B">
        <w:rPr>
          <w:rFonts w:ascii="Times New Roman" w:hAnsi="Times New Roman" w:cs="Times New Roman"/>
          <w:bCs/>
          <w:sz w:val="24"/>
          <w:szCs w:val="24"/>
          <w:lang w:val="ro-RO"/>
        </w:rPr>
        <w:t xml:space="preserve"> privind </w:t>
      </w:r>
      <w:proofErr w:type="spellStart"/>
      <w:r w:rsidRPr="00C26A9B">
        <w:rPr>
          <w:rFonts w:ascii="Times New Roman" w:hAnsi="Times New Roman" w:cs="Times New Roman"/>
          <w:bCs/>
          <w:sz w:val="24"/>
          <w:szCs w:val="24"/>
          <w:lang w:val="ro-RO"/>
        </w:rPr>
        <w:t>piaţa</w:t>
      </w:r>
      <w:proofErr w:type="spellEnd"/>
      <w:r w:rsidRPr="00C26A9B">
        <w:rPr>
          <w:rFonts w:ascii="Times New Roman" w:hAnsi="Times New Roman" w:cs="Times New Roman"/>
          <w:bCs/>
          <w:sz w:val="24"/>
          <w:szCs w:val="24"/>
          <w:lang w:val="ro-RO"/>
        </w:rPr>
        <w:t xml:space="preserve"> și examinarea </w:t>
      </w:r>
      <w:proofErr w:type="spellStart"/>
      <w:r w:rsidRPr="00C26A9B">
        <w:rPr>
          <w:rFonts w:ascii="Times New Roman" w:hAnsi="Times New Roman" w:cs="Times New Roman"/>
          <w:bCs/>
          <w:sz w:val="24"/>
          <w:szCs w:val="24"/>
          <w:lang w:val="ro-RO"/>
        </w:rPr>
        <w:t>pertinenţei</w:t>
      </w:r>
      <w:proofErr w:type="spellEnd"/>
      <w:r w:rsidRPr="00C26A9B">
        <w:rPr>
          <w:rFonts w:ascii="Times New Roman" w:hAnsi="Times New Roman" w:cs="Times New Roman"/>
          <w:bCs/>
          <w:sz w:val="24"/>
          <w:szCs w:val="24"/>
          <w:lang w:val="ro-RO"/>
        </w:rPr>
        <w:t xml:space="preserve"> acestora, orientări pentru utilizarea datelor de intrare neobservabile care reflectă ipotezele băncii referitoare la elementele pe care le-ar utiliza </w:t>
      </w:r>
      <w:proofErr w:type="spellStart"/>
      <w:r w:rsidRPr="00C26A9B">
        <w:rPr>
          <w:rFonts w:ascii="Times New Roman" w:hAnsi="Times New Roman" w:cs="Times New Roman"/>
          <w:bCs/>
          <w:sz w:val="24"/>
          <w:szCs w:val="24"/>
          <w:lang w:val="ro-RO"/>
        </w:rPr>
        <w:t>participanţii</w:t>
      </w:r>
      <w:proofErr w:type="spellEnd"/>
      <w:r w:rsidRPr="00C26A9B">
        <w:rPr>
          <w:rFonts w:ascii="Times New Roman" w:hAnsi="Times New Roman" w:cs="Times New Roman"/>
          <w:bCs/>
          <w:sz w:val="24"/>
          <w:szCs w:val="24"/>
          <w:lang w:val="ro-RO"/>
        </w:rPr>
        <w:t xml:space="preserve"> de pe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pentru stabilirea </w:t>
      </w:r>
      <w:proofErr w:type="spellStart"/>
      <w:r w:rsidRPr="00C26A9B">
        <w:rPr>
          <w:rFonts w:ascii="Times New Roman" w:hAnsi="Times New Roman" w:cs="Times New Roman"/>
          <w:bCs/>
          <w:sz w:val="24"/>
          <w:szCs w:val="24"/>
          <w:lang w:val="ro-RO"/>
        </w:rPr>
        <w:t>preţului</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poziţiei</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frecvenţa</w:t>
      </w:r>
      <w:proofErr w:type="spellEnd"/>
      <w:r w:rsidRPr="00C26A9B">
        <w:rPr>
          <w:rFonts w:ascii="Times New Roman" w:hAnsi="Times New Roman" w:cs="Times New Roman"/>
          <w:bCs/>
          <w:sz w:val="24"/>
          <w:szCs w:val="24"/>
          <w:lang w:val="ro-RO"/>
        </w:rPr>
        <w:t xml:space="preserve"> cu care se realizează evaluările independente, sincronizarea în ceea ce privește </w:t>
      </w:r>
      <w:proofErr w:type="spellStart"/>
      <w:r w:rsidRPr="00C26A9B">
        <w:rPr>
          <w:rFonts w:ascii="Times New Roman" w:hAnsi="Times New Roman" w:cs="Times New Roman"/>
          <w:bCs/>
          <w:sz w:val="24"/>
          <w:szCs w:val="24"/>
          <w:lang w:val="ro-RO"/>
        </w:rPr>
        <w:t>preţurile</w:t>
      </w:r>
      <w:proofErr w:type="spellEnd"/>
      <w:r w:rsidRPr="00C26A9B">
        <w:rPr>
          <w:rFonts w:ascii="Times New Roman" w:hAnsi="Times New Roman" w:cs="Times New Roman"/>
          <w:bCs/>
          <w:sz w:val="24"/>
          <w:szCs w:val="24"/>
          <w:lang w:val="ro-RO"/>
        </w:rPr>
        <w:t xml:space="preserve"> de închidere, procedurile pentru ajustarea evaluărilor, procedurile de verificare ad-hoc și de sfârșit de lună;</w:t>
      </w:r>
    </w:p>
    <w:p w14:paraId="472B111F" w14:textId="4D6A7159" w:rsidR="00D71E1B" w:rsidRPr="00C26A9B" w:rsidRDefault="000D2247" w:rsidP="000D2247">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42.2. linii de raportare pentru </w:t>
      </w:r>
      <w:r w:rsidR="00B9414B">
        <w:rPr>
          <w:rFonts w:ascii="Times New Roman" w:hAnsi="Times New Roman" w:cs="Times New Roman"/>
          <w:bCs/>
          <w:sz w:val="24"/>
          <w:szCs w:val="24"/>
          <w:lang w:val="ro-RO"/>
        </w:rPr>
        <w:t>unitatea</w:t>
      </w:r>
      <w:r w:rsidR="00B9414B" w:rsidRPr="00C26A9B">
        <w:rPr>
          <w:rFonts w:ascii="Times New Roman" w:hAnsi="Times New Roman" w:cs="Times New Roman"/>
          <w:bCs/>
          <w:sz w:val="24"/>
          <w:szCs w:val="24"/>
          <w:lang w:val="ro-RO"/>
        </w:rPr>
        <w:t xml:space="preserve"> </w:t>
      </w:r>
      <w:r w:rsidRPr="00C26A9B">
        <w:rPr>
          <w:rFonts w:ascii="Times New Roman" w:hAnsi="Times New Roman" w:cs="Times New Roman"/>
          <w:bCs/>
          <w:sz w:val="24"/>
          <w:szCs w:val="24"/>
          <w:lang w:val="ro-RO"/>
        </w:rPr>
        <w:t>responsabil</w:t>
      </w:r>
      <w:r w:rsidR="00B9414B">
        <w:rPr>
          <w:rFonts w:ascii="Times New Roman" w:hAnsi="Times New Roman" w:cs="Times New Roman"/>
          <w:bCs/>
          <w:sz w:val="24"/>
          <w:szCs w:val="24"/>
          <w:lang w:val="ro-RO"/>
        </w:rPr>
        <w:t>ă</w:t>
      </w:r>
      <w:r w:rsidRPr="00C26A9B">
        <w:rPr>
          <w:rFonts w:ascii="Times New Roman" w:hAnsi="Times New Roman" w:cs="Times New Roman"/>
          <w:bCs/>
          <w:sz w:val="24"/>
          <w:szCs w:val="24"/>
          <w:lang w:val="ro-RO"/>
        </w:rPr>
        <w:t xml:space="preserve"> </w:t>
      </w:r>
      <w:r w:rsidR="00A06BA7">
        <w:rPr>
          <w:rFonts w:ascii="Times New Roman" w:hAnsi="Times New Roman" w:cs="Times New Roman"/>
          <w:bCs/>
          <w:sz w:val="24"/>
          <w:szCs w:val="24"/>
          <w:lang w:val="ro-RO"/>
        </w:rPr>
        <w:t>de</w:t>
      </w:r>
      <w:r w:rsidR="00A06BA7" w:rsidRPr="00C26A9B">
        <w:rPr>
          <w:rFonts w:ascii="Times New Roman" w:hAnsi="Times New Roman" w:cs="Times New Roman"/>
          <w:bCs/>
          <w:sz w:val="24"/>
          <w:szCs w:val="24"/>
          <w:lang w:val="ro-RO"/>
        </w:rPr>
        <w:t xml:space="preserve"> </w:t>
      </w:r>
      <w:r w:rsidRPr="00C26A9B">
        <w:rPr>
          <w:rFonts w:ascii="Times New Roman" w:hAnsi="Times New Roman" w:cs="Times New Roman"/>
          <w:bCs/>
          <w:sz w:val="24"/>
          <w:szCs w:val="24"/>
          <w:lang w:val="ro-RO"/>
        </w:rPr>
        <w:t xml:space="preserve">procesul de evaluare, care sunt clare și independente de </w:t>
      </w:r>
      <w:r w:rsidR="00390D83">
        <w:rPr>
          <w:rFonts w:ascii="Times New Roman" w:hAnsi="Times New Roman" w:cs="Times New Roman"/>
          <w:bCs/>
          <w:sz w:val="24"/>
          <w:szCs w:val="24"/>
          <w:lang w:val="ro-RO"/>
        </w:rPr>
        <w:t>unitatea</w:t>
      </w:r>
      <w:r w:rsidR="00A06BA7" w:rsidRPr="00C26A9B">
        <w:rPr>
          <w:rFonts w:ascii="Times New Roman" w:hAnsi="Times New Roman" w:cs="Times New Roman"/>
          <w:bCs/>
          <w:sz w:val="24"/>
          <w:szCs w:val="24"/>
          <w:lang w:val="ro-RO"/>
        </w:rPr>
        <w:t xml:space="preserve"> </w:t>
      </w:r>
      <w:r w:rsidR="00390D83">
        <w:rPr>
          <w:rFonts w:ascii="Times New Roman" w:hAnsi="Times New Roman" w:cs="Times New Roman"/>
          <w:bCs/>
          <w:sz w:val="24"/>
          <w:szCs w:val="24"/>
          <w:lang w:val="ro-RO"/>
        </w:rPr>
        <w:t>responsabilă de</w:t>
      </w:r>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iniţierea</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tranzacţiilor</w:t>
      </w:r>
      <w:proofErr w:type="spellEnd"/>
      <w:r w:rsidRPr="00C26A9B">
        <w:rPr>
          <w:rFonts w:ascii="Times New Roman" w:hAnsi="Times New Roman" w:cs="Times New Roman"/>
          <w:bCs/>
          <w:sz w:val="24"/>
          <w:szCs w:val="24"/>
          <w:lang w:val="ro-RO"/>
        </w:rPr>
        <w:t xml:space="preserve"> (</w:t>
      </w:r>
      <w:r w:rsidRPr="00C26A9B">
        <w:rPr>
          <w:rFonts w:ascii="Times New Roman" w:hAnsi="Times New Roman" w:cs="Times New Roman"/>
          <w:bCs/>
          <w:i/>
          <w:iCs/>
          <w:sz w:val="24"/>
          <w:szCs w:val="24"/>
          <w:lang w:val="ro-RO"/>
        </w:rPr>
        <w:t xml:space="preserve">front </w:t>
      </w:r>
      <w:proofErr w:type="spellStart"/>
      <w:r w:rsidRPr="00C26A9B">
        <w:rPr>
          <w:rFonts w:ascii="Times New Roman" w:hAnsi="Times New Roman" w:cs="Times New Roman"/>
          <w:bCs/>
          <w:i/>
          <w:iCs/>
          <w:sz w:val="24"/>
          <w:szCs w:val="24"/>
          <w:lang w:val="ro-RO"/>
        </w:rPr>
        <w:t>office</w:t>
      </w:r>
      <w:proofErr w:type="spellEnd"/>
      <w:r w:rsidRPr="00C26A9B">
        <w:rPr>
          <w:rFonts w:ascii="Times New Roman" w:hAnsi="Times New Roman" w:cs="Times New Roman"/>
          <w:bCs/>
          <w:sz w:val="24"/>
          <w:szCs w:val="24"/>
          <w:lang w:val="ro-RO"/>
        </w:rPr>
        <w:t>) care au ca destinatar final organul de conducere.</w:t>
      </w:r>
    </w:p>
    <w:p w14:paraId="5F82F083" w14:textId="0626D6FB" w:rsidR="000D2247" w:rsidRPr="00C26A9B" w:rsidRDefault="000D2247" w:rsidP="000D2247">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43. Băncile își reevaluează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din portofoliul de tranzacţionare la valoarea justă cel </w:t>
      </w:r>
      <w:proofErr w:type="spellStart"/>
      <w:r w:rsidRPr="00C26A9B">
        <w:rPr>
          <w:rFonts w:ascii="Times New Roman" w:hAnsi="Times New Roman" w:cs="Times New Roman"/>
          <w:bCs/>
          <w:sz w:val="24"/>
          <w:szCs w:val="24"/>
          <w:lang w:val="ro-RO"/>
        </w:rPr>
        <w:t>puţin</w:t>
      </w:r>
      <w:proofErr w:type="spellEnd"/>
      <w:r w:rsidRPr="00C26A9B">
        <w:rPr>
          <w:rFonts w:ascii="Times New Roman" w:hAnsi="Times New Roman" w:cs="Times New Roman"/>
          <w:bCs/>
          <w:sz w:val="24"/>
          <w:szCs w:val="24"/>
          <w:lang w:val="ro-RO"/>
        </w:rPr>
        <w:t xml:space="preserve"> zilnic. Modificările valorii acestor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sunt raportate în contul de profit și pierdere al băncii.</w:t>
      </w:r>
    </w:p>
    <w:p w14:paraId="5CA3893B" w14:textId="4B807046" w:rsidR="000D2247" w:rsidRPr="00C26A9B" w:rsidRDefault="000D2247" w:rsidP="000D2247">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44. Băncile își marchează la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din portofoliul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și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din afara portofoliului de tranzacţionare evaluate la valoarea justă ori de câte ori este posibil, inclusiv atunci când aplică </w:t>
      </w:r>
      <w:proofErr w:type="spellStart"/>
      <w:r w:rsidRPr="00C26A9B">
        <w:rPr>
          <w:rFonts w:ascii="Times New Roman" w:hAnsi="Times New Roman" w:cs="Times New Roman"/>
          <w:bCs/>
          <w:sz w:val="24"/>
          <w:szCs w:val="24"/>
          <w:lang w:val="ro-RO"/>
        </w:rPr>
        <w:t>poziţiilor</w:t>
      </w:r>
      <w:proofErr w:type="spellEnd"/>
      <w:r w:rsidRPr="00C26A9B">
        <w:rPr>
          <w:rFonts w:ascii="Times New Roman" w:hAnsi="Times New Roman" w:cs="Times New Roman"/>
          <w:bCs/>
          <w:sz w:val="24"/>
          <w:szCs w:val="24"/>
          <w:lang w:val="ro-RO"/>
        </w:rPr>
        <w:t xml:space="preserve"> respective tratamentul relevant în materie de capital.</w:t>
      </w:r>
    </w:p>
    <w:p w14:paraId="67798AC3" w14:textId="6C940268" w:rsidR="000D2247" w:rsidRPr="00C26A9B" w:rsidRDefault="000D2247" w:rsidP="000D2247">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45. Pentru marcarea la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banca folosește </w:t>
      </w:r>
      <w:proofErr w:type="spellStart"/>
      <w:r w:rsidRPr="00C26A9B">
        <w:rPr>
          <w:rFonts w:ascii="Times New Roman" w:hAnsi="Times New Roman" w:cs="Times New Roman"/>
          <w:bCs/>
          <w:sz w:val="24"/>
          <w:szCs w:val="24"/>
          <w:lang w:val="ro-RO"/>
        </w:rPr>
        <w:t>cotaţia</w:t>
      </w:r>
      <w:proofErr w:type="spellEnd"/>
      <w:r w:rsidRPr="00C26A9B">
        <w:rPr>
          <w:rFonts w:ascii="Times New Roman" w:hAnsi="Times New Roman" w:cs="Times New Roman"/>
          <w:bCs/>
          <w:sz w:val="24"/>
          <w:szCs w:val="24"/>
          <w:lang w:val="ro-RO"/>
        </w:rPr>
        <w:t xml:space="preserve"> de cumpărare/ vânzare mai prudentă, în afara cazului în care aceasta este în măsură să își închidă </w:t>
      </w:r>
      <w:proofErr w:type="spellStart"/>
      <w:r w:rsidRPr="00C26A9B">
        <w:rPr>
          <w:rFonts w:ascii="Times New Roman" w:hAnsi="Times New Roman" w:cs="Times New Roman"/>
          <w:bCs/>
          <w:sz w:val="24"/>
          <w:szCs w:val="24"/>
          <w:lang w:val="ro-RO"/>
        </w:rPr>
        <w:t>poziţia</w:t>
      </w:r>
      <w:proofErr w:type="spellEnd"/>
      <w:r w:rsidRPr="00C26A9B">
        <w:rPr>
          <w:rFonts w:ascii="Times New Roman" w:hAnsi="Times New Roman" w:cs="Times New Roman"/>
          <w:bCs/>
          <w:sz w:val="24"/>
          <w:szCs w:val="24"/>
          <w:lang w:val="ro-RO"/>
        </w:rPr>
        <w:t xml:space="preserve"> la </w:t>
      </w:r>
      <w:proofErr w:type="spellStart"/>
      <w:r w:rsidRPr="00C26A9B">
        <w:rPr>
          <w:rFonts w:ascii="Times New Roman" w:hAnsi="Times New Roman" w:cs="Times New Roman"/>
          <w:bCs/>
          <w:sz w:val="24"/>
          <w:szCs w:val="24"/>
          <w:lang w:val="ro-RO"/>
        </w:rPr>
        <w:t>preţul</w:t>
      </w:r>
      <w:proofErr w:type="spellEnd"/>
      <w:r w:rsidRPr="00C26A9B">
        <w:rPr>
          <w:rFonts w:ascii="Times New Roman" w:hAnsi="Times New Roman" w:cs="Times New Roman"/>
          <w:bCs/>
          <w:sz w:val="24"/>
          <w:szCs w:val="24"/>
          <w:lang w:val="ro-RO"/>
        </w:rPr>
        <w:t xml:space="preserve"> mediu al </w:t>
      </w:r>
      <w:proofErr w:type="spellStart"/>
      <w:r w:rsidRPr="00C26A9B">
        <w:rPr>
          <w:rFonts w:ascii="Times New Roman" w:hAnsi="Times New Roman" w:cs="Times New Roman"/>
          <w:bCs/>
          <w:sz w:val="24"/>
          <w:szCs w:val="24"/>
          <w:lang w:val="ro-RO"/>
        </w:rPr>
        <w:t>pieţei</w:t>
      </w:r>
      <w:proofErr w:type="spellEnd"/>
      <w:r w:rsidRPr="00C26A9B">
        <w:rPr>
          <w:rFonts w:ascii="Times New Roman" w:hAnsi="Times New Roman" w:cs="Times New Roman"/>
          <w:bCs/>
          <w:sz w:val="24"/>
          <w:szCs w:val="24"/>
          <w:lang w:val="ro-RO"/>
        </w:rPr>
        <w:t xml:space="preserve">. În cazul în care băncile se folosesc de această derogare, acestea informează semestrial BNM cu privire la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vizate și prezintă dovezi conform cărora își pot închide </w:t>
      </w:r>
      <w:proofErr w:type="spellStart"/>
      <w:r w:rsidRPr="00C26A9B">
        <w:rPr>
          <w:rFonts w:ascii="Times New Roman" w:hAnsi="Times New Roman" w:cs="Times New Roman"/>
          <w:bCs/>
          <w:sz w:val="24"/>
          <w:szCs w:val="24"/>
          <w:lang w:val="ro-RO"/>
        </w:rPr>
        <w:t>poziţia</w:t>
      </w:r>
      <w:proofErr w:type="spellEnd"/>
      <w:r w:rsidRPr="00C26A9B">
        <w:rPr>
          <w:rFonts w:ascii="Times New Roman" w:hAnsi="Times New Roman" w:cs="Times New Roman"/>
          <w:bCs/>
          <w:sz w:val="24"/>
          <w:szCs w:val="24"/>
          <w:lang w:val="ro-RO"/>
        </w:rPr>
        <w:t xml:space="preserve"> la </w:t>
      </w:r>
      <w:proofErr w:type="spellStart"/>
      <w:r w:rsidRPr="00C26A9B">
        <w:rPr>
          <w:rFonts w:ascii="Times New Roman" w:hAnsi="Times New Roman" w:cs="Times New Roman"/>
          <w:bCs/>
          <w:sz w:val="24"/>
          <w:szCs w:val="24"/>
          <w:lang w:val="ro-RO"/>
        </w:rPr>
        <w:t>preţul</w:t>
      </w:r>
      <w:proofErr w:type="spellEnd"/>
      <w:r w:rsidRPr="00C26A9B">
        <w:rPr>
          <w:rFonts w:ascii="Times New Roman" w:hAnsi="Times New Roman" w:cs="Times New Roman"/>
          <w:bCs/>
          <w:sz w:val="24"/>
          <w:szCs w:val="24"/>
          <w:lang w:val="ro-RO"/>
        </w:rPr>
        <w:t xml:space="preserve"> mediu al </w:t>
      </w:r>
      <w:proofErr w:type="spellStart"/>
      <w:r w:rsidRPr="00C26A9B">
        <w:rPr>
          <w:rFonts w:ascii="Times New Roman" w:hAnsi="Times New Roman" w:cs="Times New Roman"/>
          <w:bCs/>
          <w:sz w:val="24"/>
          <w:szCs w:val="24"/>
          <w:lang w:val="ro-RO"/>
        </w:rPr>
        <w:t>pieţei</w:t>
      </w:r>
      <w:proofErr w:type="spellEnd"/>
      <w:r w:rsidRPr="00C26A9B">
        <w:rPr>
          <w:rFonts w:ascii="Times New Roman" w:hAnsi="Times New Roman" w:cs="Times New Roman"/>
          <w:bCs/>
          <w:sz w:val="24"/>
          <w:szCs w:val="24"/>
          <w:lang w:val="ro-RO"/>
        </w:rPr>
        <w:t>.</w:t>
      </w:r>
    </w:p>
    <w:p w14:paraId="06A8EF24" w14:textId="201710C8" w:rsidR="000D2247" w:rsidRPr="00C26A9B" w:rsidRDefault="00D55820" w:rsidP="000D2247">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46. Atunci când marcarea la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nu este posibilă, băncile își marchează la model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și portofoliile în mod prudent, inclusiv atunci când calculează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fonduri proprii pentru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din portofoliul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și pentru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din afara portofoliului de tranzacţionare evaluate la valoarea justă.</w:t>
      </w:r>
    </w:p>
    <w:p w14:paraId="1A8305DD" w14:textId="77777777" w:rsidR="00D55820" w:rsidRPr="00C26A9B" w:rsidRDefault="00D55820" w:rsidP="00D55820">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lastRenderedPageBreak/>
        <w:t xml:space="preserve">47. Băncile respectă următoarele </w:t>
      </w:r>
      <w:proofErr w:type="spellStart"/>
      <w:r w:rsidRPr="00C26A9B">
        <w:rPr>
          <w:rFonts w:ascii="Times New Roman" w:hAnsi="Times New Roman" w:cs="Times New Roman"/>
          <w:bCs/>
          <w:sz w:val="24"/>
          <w:szCs w:val="24"/>
          <w:lang w:val="ro-RO"/>
        </w:rPr>
        <w:t>cerinţe</w:t>
      </w:r>
      <w:proofErr w:type="spellEnd"/>
      <w:r w:rsidRPr="00C26A9B">
        <w:rPr>
          <w:rFonts w:ascii="Times New Roman" w:hAnsi="Times New Roman" w:cs="Times New Roman"/>
          <w:bCs/>
          <w:sz w:val="24"/>
          <w:szCs w:val="24"/>
          <w:lang w:val="ro-RO"/>
        </w:rPr>
        <w:t xml:space="preserve"> legate de marcarea la model:</w:t>
      </w:r>
    </w:p>
    <w:p w14:paraId="2F84A83B" w14:textId="77777777" w:rsidR="00D55820" w:rsidRPr="00C26A9B" w:rsidRDefault="00D55820" w:rsidP="00D55820">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47.1. conducerea superioară are </w:t>
      </w:r>
      <w:proofErr w:type="spellStart"/>
      <w:r w:rsidRPr="00C26A9B">
        <w:rPr>
          <w:rFonts w:ascii="Times New Roman" w:hAnsi="Times New Roman" w:cs="Times New Roman"/>
          <w:bCs/>
          <w:sz w:val="24"/>
          <w:szCs w:val="24"/>
          <w:lang w:val="ro-RO"/>
        </w:rPr>
        <w:t>cunoștinţă</w:t>
      </w:r>
      <w:proofErr w:type="spellEnd"/>
      <w:r w:rsidRPr="00C26A9B">
        <w:rPr>
          <w:rFonts w:ascii="Times New Roman" w:hAnsi="Times New Roman" w:cs="Times New Roman"/>
          <w:bCs/>
          <w:sz w:val="24"/>
          <w:szCs w:val="24"/>
          <w:lang w:val="ro-RO"/>
        </w:rPr>
        <w:t xml:space="preserve"> de elementele din portofoliul de tranzacţionare sau de alte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evaluate la valoarea justă care fac obiectul marcării la model și </w:t>
      </w:r>
      <w:proofErr w:type="spellStart"/>
      <w:r w:rsidRPr="00C26A9B">
        <w:rPr>
          <w:rFonts w:ascii="Times New Roman" w:hAnsi="Times New Roman" w:cs="Times New Roman"/>
          <w:bCs/>
          <w:sz w:val="24"/>
          <w:szCs w:val="24"/>
          <w:lang w:val="ro-RO"/>
        </w:rPr>
        <w:t>înţelege</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importanţa</w:t>
      </w:r>
      <w:proofErr w:type="spellEnd"/>
      <w:r w:rsidRPr="00C26A9B">
        <w:rPr>
          <w:rFonts w:ascii="Times New Roman" w:hAnsi="Times New Roman" w:cs="Times New Roman"/>
          <w:bCs/>
          <w:sz w:val="24"/>
          <w:szCs w:val="24"/>
          <w:lang w:val="ro-RO"/>
        </w:rPr>
        <w:t xml:space="preserve"> incertitudinii astfel create în raportarea riscurilor/rezultatelor </w:t>
      </w:r>
      <w:proofErr w:type="spellStart"/>
      <w:r w:rsidRPr="00C26A9B">
        <w:rPr>
          <w:rFonts w:ascii="Times New Roman" w:hAnsi="Times New Roman" w:cs="Times New Roman"/>
          <w:bCs/>
          <w:sz w:val="24"/>
          <w:szCs w:val="24"/>
          <w:lang w:val="ro-RO"/>
        </w:rPr>
        <w:t>activităţii</w:t>
      </w:r>
      <w:proofErr w:type="spellEnd"/>
      <w:r w:rsidRPr="00C26A9B">
        <w:rPr>
          <w:rFonts w:ascii="Times New Roman" w:hAnsi="Times New Roman" w:cs="Times New Roman"/>
          <w:bCs/>
          <w:sz w:val="24"/>
          <w:szCs w:val="24"/>
          <w:lang w:val="ro-RO"/>
        </w:rPr>
        <w:t>;</w:t>
      </w:r>
    </w:p>
    <w:p w14:paraId="41B380FF" w14:textId="3821F0BA" w:rsidR="00D55820" w:rsidRPr="00C26A9B" w:rsidRDefault="00D55820" w:rsidP="00D55820">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47.2. atunci când este posibil, băncile extrag </w:t>
      </w:r>
      <w:proofErr w:type="spellStart"/>
      <w:r w:rsidRPr="00C26A9B">
        <w:rPr>
          <w:rFonts w:ascii="Times New Roman" w:hAnsi="Times New Roman" w:cs="Times New Roman"/>
          <w:bCs/>
          <w:sz w:val="24"/>
          <w:szCs w:val="24"/>
          <w:lang w:val="ro-RO"/>
        </w:rPr>
        <w:t>informaţiile</w:t>
      </w:r>
      <w:proofErr w:type="spellEnd"/>
      <w:r w:rsidRPr="00C26A9B">
        <w:rPr>
          <w:rFonts w:ascii="Times New Roman" w:hAnsi="Times New Roman" w:cs="Times New Roman"/>
          <w:bCs/>
          <w:sz w:val="24"/>
          <w:szCs w:val="24"/>
          <w:lang w:val="ro-RO"/>
        </w:rPr>
        <w:t xml:space="preserve">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din aceleași surse ca și </w:t>
      </w:r>
      <w:proofErr w:type="spellStart"/>
      <w:r w:rsidRPr="00C26A9B">
        <w:rPr>
          <w:rFonts w:ascii="Times New Roman" w:hAnsi="Times New Roman" w:cs="Times New Roman"/>
          <w:bCs/>
          <w:sz w:val="24"/>
          <w:szCs w:val="24"/>
          <w:lang w:val="ro-RO"/>
        </w:rPr>
        <w:t>preţurile</w:t>
      </w:r>
      <w:proofErr w:type="spellEnd"/>
      <w:r w:rsidRPr="00C26A9B">
        <w:rPr>
          <w:rFonts w:ascii="Times New Roman" w:hAnsi="Times New Roman" w:cs="Times New Roman"/>
          <w:bCs/>
          <w:sz w:val="24"/>
          <w:szCs w:val="24"/>
          <w:lang w:val="ro-RO"/>
        </w:rPr>
        <w:t xml:space="preserve">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și evaluează frecvent </w:t>
      </w:r>
      <w:proofErr w:type="spellStart"/>
      <w:r w:rsidRPr="00C26A9B">
        <w:rPr>
          <w:rFonts w:ascii="Times New Roman" w:hAnsi="Times New Roman" w:cs="Times New Roman"/>
          <w:bCs/>
          <w:sz w:val="24"/>
          <w:szCs w:val="24"/>
          <w:lang w:val="ro-RO"/>
        </w:rPr>
        <w:t>pertinenţa</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informaţiilor</w:t>
      </w:r>
      <w:proofErr w:type="spellEnd"/>
      <w:r w:rsidRPr="00C26A9B">
        <w:rPr>
          <w:rFonts w:ascii="Times New Roman" w:hAnsi="Times New Roman" w:cs="Times New Roman"/>
          <w:bCs/>
          <w:sz w:val="24"/>
          <w:szCs w:val="24"/>
          <w:lang w:val="ro-RO"/>
        </w:rPr>
        <w:t xml:space="preserve">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privind o anumită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evaluată și parametrii</w:t>
      </w:r>
      <w:r w:rsidR="00576A1D">
        <w:rPr>
          <w:rFonts w:ascii="Times New Roman" w:hAnsi="Times New Roman" w:cs="Times New Roman"/>
          <w:bCs/>
          <w:sz w:val="24"/>
          <w:szCs w:val="24"/>
          <w:lang w:val="ro-RO"/>
        </w:rPr>
        <w:t xml:space="preserve"> </w:t>
      </w:r>
      <w:r w:rsidRPr="00C26A9B">
        <w:rPr>
          <w:rFonts w:ascii="Times New Roman" w:hAnsi="Times New Roman" w:cs="Times New Roman"/>
          <w:bCs/>
          <w:sz w:val="24"/>
          <w:szCs w:val="24"/>
          <w:lang w:val="ro-RO"/>
        </w:rPr>
        <w:t>modelului;</w:t>
      </w:r>
    </w:p>
    <w:p w14:paraId="1E68A037" w14:textId="77777777" w:rsidR="00D55820" w:rsidRPr="00C26A9B" w:rsidRDefault="00D55820" w:rsidP="00D55820">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47.3. atunci când sunt disponibile, băncile folosesc metodologii de evaluare care reprezintă practici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acceptate pentru instrumentele financiare sau mărfurile în cauză;</w:t>
      </w:r>
    </w:p>
    <w:p w14:paraId="2ED70ED6" w14:textId="77777777" w:rsidR="00D55820" w:rsidRPr="00C26A9B" w:rsidRDefault="00D55820" w:rsidP="00D55820">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47.4 atunci când modelul este dezvoltat chiar de banca însăși, acesta se bazează pe ipoteze adecvate, care au fost evaluate și examinate de </w:t>
      </w:r>
      <w:proofErr w:type="spellStart"/>
      <w:r w:rsidRPr="00C26A9B">
        <w:rPr>
          <w:rFonts w:ascii="Times New Roman" w:hAnsi="Times New Roman" w:cs="Times New Roman"/>
          <w:bCs/>
          <w:sz w:val="24"/>
          <w:szCs w:val="24"/>
          <w:lang w:val="ro-RO"/>
        </w:rPr>
        <w:t>părţi</w:t>
      </w:r>
      <w:proofErr w:type="spellEnd"/>
      <w:r w:rsidRPr="00C26A9B">
        <w:rPr>
          <w:rFonts w:ascii="Times New Roman" w:hAnsi="Times New Roman" w:cs="Times New Roman"/>
          <w:bCs/>
          <w:sz w:val="24"/>
          <w:szCs w:val="24"/>
          <w:lang w:val="ro-RO"/>
        </w:rPr>
        <w:t xml:space="preserve"> calificate corespunzător independente de procesul de elaborare;</w:t>
      </w:r>
    </w:p>
    <w:p w14:paraId="0B60EBB5" w14:textId="77777777" w:rsidR="00D55820" w:rsidRPr="00C26A9B" w:rsidRDefault="00D55820" w:rsidP="00D55820">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47.5. băncile dispun de proceduri formale de control al </w:t>
      </w:r>
      <w:proofErr w:type="spellStart"/>
      <w:r w:rsidRPr="00C26A9B">
        <w:rPr>
          <w:rFonts w:ascii="Times New Roman" w:hAnsi="Times New Roman" w:cs="Times New Roman"/>
          <w:bCs/>
          <w:sz w:val="24"/>
          <w:szCs w:val="24"/>
          <w:lang w:val="ro-RO"/>
        </w:rPr>
        <w:t>variaţiilor</w:t>
      </w:r>
      <w:proofErr w:type="spellEnd"/>
      <w:r w:rsidRPr="00C26A9B">
        <w:rPr>
          <w:rFonts w:ascii="Times New Roman" w:hAnsi="Times New Roman" w:cs="Times New Roman"/>
          <w:bCs/>
          <w:sz w:val="24"/>
          <w:szCs w:val="24"/>
          <w:lang w:val="ro-RO"/>
        </w:rPr>
        <w:t xml:space="preserve"> și păstrează o copie de </w:t>
      </w:r>
      <w:proofErr w:type="spellStart"/>
      <w:r w:rsidRPr="00C26A9B">
        <w:rPr>
          <w:rFonts w:ascii="Times New Roman" w:hAnsi="Times New Roman" w:cs="Times New Roman"/>
          <w:bCs/>
          <w:sz w:val="24"/>
          <w:szCs w:val="24"/>
          <w:lang w:val="ro-RO"/>
        </w:rPr>
        <w:t>siguranţă</w:t>
      </w:r>
      <w:proofErr w:type="spellEnd"/>
      <w:r w:rsidRPr="00C26A9B">
        <w:rPr>
          <w:rFonts w:ascii="Times New Roman" w:hAnsi="Times New Roman" w:cs="Times New Roman"/>
          <w:bCs/>
          <w:sz w:val="24"/>
          <w:szCs w:val="24"/>
          <w:lang w:val="ro-RO"/>
        </w:rPr>
        <w:t xml:space="preserve"> a modelului, care se folosește periodic pentru verificarea evaluărilor;</w:t>
      </w:r>
    </w:p>
    <w:p w14:paraId="203F2891" w14:textId="77777777" w:rsidR="00D55820" w:rsidRPr="00C26A9B" w:rsidRDefault="00D55820" w:rsidP="00D55820">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47.6. echipa de gestionare a riscurilor cunoaște punctele slabe ale modelelor folosite și cum să le reflecte cel mai bine în rezultatele evaluării; și</w:t>
      </w:r>
    </w:p>
    <w:p w14:paraId="320403CA" w14:textId="77777777" w:rsidR="00D55820" w:rsidRPr="00C26A9B" w:rsidRDefault="00D55820" w:rsidP="00D55820">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47.7. modelele băncilor fac obiectul unei examinări periodice pentru a determina precizia rezultatelor lor, care include și o evaluare a </w:t>
      </w:r>
      <w:proofErr w:type="spellStart"/>
      <w:r w:rsidRPr="00C26A9B">
        <w:rPr>
          <w:rFonts w:ascii="Times New Roman" w:hAnsi="Times New Roman" w:cs="Times New Roman"/>
          <w:bCs/>
          <w:sz w:val="24"/>
          <w:szCs w:val="24"/>
          <w:lang w:val="ro-RO"/>
        </w:rPr>
        <w:t>menţinerii</w:t>
      </w:r>
      <w:proofErr w:type="spellEnd"/>
      <w:r w:rsidRPr="00C26A9B">
        <w:rPr>
          <w:rFonts w:ascii="Times New Roman" w:hAnsi="Times New Roman" w:cs="Times New Roman"/>
          <w:bCs/>
          <w:sz w:val="24"/>
          <w:szCs w:val="24"/>
          <w:lang w:val="ro-RO"/>
        </w:rPr>
        <w:t xml:space="preserve"> adecvării ipotezelor, o analiză a profitului și a pierderii în raport cu factorii de risc și o </w:t>
      </w:r>
      <w:proofErr w:type="spellStart"/>
      <w:r w:rsidRPr="00C26A9B">
        <w:rPr>
          <w:rFonts w:ascii="Times New Roman" w:hAnsi="Times New Roman" w:cs="Times New Roman"/>
          <w:bCs/>
          <w:sz w:val="24"/>
          <w:szCs w:val="24"/>
          <w:lang w:val="ro-RO"/>
        </w:rPr>
        <w:t>comparaţie</w:t>
      </w:r>
      <w:proofErr w:type="spellEnd"/>
      <w:r w:rsidRPr="00C26A9B">
        <w:rPr>
          <w:rFonts w:ascii="Times New Roman" w:hAnsi="Times New Roman" w:cs="Times New Roman"/>
          <w:bCs/>
          <w:sz w:val="24"/>
          <w:szCs w:val="24"/>
          <w:lang w:val="ro-RO"/>
        </w:rPr>
        <w:t xml:space="preserve"> a valorilor reale de închidere cu rezultatele modelului.</w:t>
      </w:r>
    </w:p>
    <w:p w14:paraId="41D7931F" w14:textId="5F12304D" w:rsidR="00D55820" w:rsidRPr="00C26A9B" w:rsidRDefault="00D55820" w:rsidP="00D55820">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48. În sensul subpct.47.4, modelul se dezvoltă sau se aprobă independent de birourile de tranzacţionare și este testat independent, inclusiv pentru validarea calculelor matematice, a ipotezelor și a implementării programelor informatice.</w:t>
      </w:r>
    </w:p>
    <w:p w14:paraId="10FA0737" w14:textId="62F370EA" w:rsidR="002E6296" w:rsidRPr="00C26A9B" w:rsidRDefault="002E6296" w:rsidP="00D55820">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49. Pe lângă marcarea zilnică la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sau la model, băncile efectuează și o verificare independentă a </w:t>
      </w:r>
      <w:proofErr w:type="spellStart"/>
      <w:r w:rsidRPr="00C26A9B">
        <w:rPr>
          <w:rFonts w:ascii="Times New Roman" w:hAnsi="Times New Roman" w:cs="Times New Roman"/>
          <w:bCs/>
          <w:sz w:val="24"/>
          <w:szCs w:val="24"/>
          <w:lang w:val="ro-RO"/>
        </w:rPr>
        <w:t>preţurilor</w:t>
      </w:r>
      <w:proofErr w:type="spellEnd"/>
      <w:r w:rsidRPr="00C26A9B">
        <w:rPr>
          <w:rFonts w:ascii="Times New Roman" w:hAnsi="Times New Roman" w:cs="Times New Roman"/>
          <w:bCs/>
          <w:sz w:val="24"/>
          <w:szCs w:val="24"/>
          <w:lang w:val="ro-RO"/>
        </w:rPr>
        <w:t xml:space="preserve">. Verificarea </w:t>
      </w:r>
      <w:proofErr w:type="spellStart"/>
      <w:r w:rsidRPr="00C26A9B">
        <w:rPr>
          <w:rFonts w:ascii="Times New Roman" w:hAnsi="Times New Roman" w:cs="Times New Roman"/>
          <w:bCs/>
          <w:sz w:val="24"/>
          <w:szCs w:val="24"/>
          <w:lang w:val="ro-RO"/>
        </w:rPr>
        <w:t>preţurilor</w:t>
      </w:r>
      <w:proofErr w:type="spellEnd"/>
      <w:r w:rsidRPr="00C26A9B">
        <w:rPr>
          <w:rFonts w:ascii="Times New Roman" w:hAnsi="Times New Roman" w:cs="Times New Roman"/>
          <w:bCs/>
          <w:sz w:val="24"/>
          <w:szCs w:val="24"/>
          <w:lang w:val="ro-RO"/>
        </w:rPr>
        <w:t xml:space="preserve">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și a datelor de intrare ale modelului trebuie să fie efectuată de o persoană sau o unitate independentă de persoanele sau </w:t>
      </w:r>
      <w:proofErr w:type="spellStart"/>
      <w:r w:rsidRPr="00C26A9B">
        <w:rPr>
          <w:rFonts w:ascii="Times New Roman" w:hAnsi="Times New Roman" w:cs="Times New Roman"/>
          <w:bCs/>
          <w:sz w:val="24"/>
          <w:szCs w:val="24"/>
          <w:lang w:val="ro-RO"/>
        </w:rPr>
        <w:t>unităţile</w:t>
      </w:r>
      <w:proofErr w:type="spellEnd"/>
      <w:r w:rsidRPr="00C26A9B">
        <w:rPr>
          <w:rFonts w:ascii="Times New Roman" w:hAnsi="Times New Roman" w:cs="Times New Roman"/>
          <w:bCs/>
          <w:sz w:val="24"/>
          <w:szCs w:val="24"/>
          <w:lang w:val="ro-RO"/>
        </w:rPr>
        <w:t xml:space="preserve"> care beneficiază de pe urma portofoliului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cel </w:t>
      </w:r>
      <w:proofErr w:type="spellStart"/>
      <w:r w:rsidRPr="00C26A9B">
        <w:rPr>
          <w:rFonts w:ascii="Times New Roman" w:hAnsi="Times New Roman" w:cs="Times New Roman"/>
          <w:bCs/>
          <w:sz w:val="24"/>
          <w:szCs w:val="24"/>
          <w:lang w:val="ro-RO"/>
        </w:rPr>
        <w:t>puţin</w:t>
      </w:r>
      <w:proofErr w:type="spellEnd"/>
      <w:r w:rsidRPr="00C26A9B">
        <w:rPr>
          <w:rFonts w:ascii="Times New Roman" w:hAnsi="Times New Roman" w:cs="Times New Roman"/>
          <w:bCs/>
          <w:sz w:val="24"/>
          <w:szCs w:val="24"/>
          <w:lang w:val="ro-RO"/>
        </w:rPr>
        <w:t xml:space="preserve"> o dată pe lună, sau mai frecvent în </w:t>
      </w:r>
      <w:proofErr w:type="spellStart"/>
      <w:r w:rsidRPr="00C26A9B">
        <w:rPr>
          <w:rFonts w:ascii="Times New Roman" w:hAnsi="Times New Roman" w:cs="Times New Roman"/>
          <w:bCs/>
          <w:sz w:val="24"/>
          <w:szCs w:val="24"/>
          <w:lang w:val="ro-RO"/>
        </w:rPr>
        <w:t>funcţie</w:t>
      </w:r>
      <w:proofErr w:type="spellEnd"/>
      <w:r w:rsidRPr="00C26A9B">
        <w:rPr>
          <w:rFonts w:ascii="Times New Roman" w:hAnsi="Times New Roman" w:cs="Times New Roman"/>
          <w:bCs/>
          <w:sz w:val="24"/>
          <w:szCs w:val="24"/>
          <w:lang w:val="ro-RO"/>
        </w:rPr>
        <w:t xml:space="preserve"> de natura </w:t>
      </w:r>
      <w:proofErr w:type="spellStart"/>
      <w:r w:rsidRPr="00C26A9B">
        <w:rPr>
          <w:rFonts w:ascii="Times New Roman" w:hAnsi="Times New Roman" w:cs="Times New Roman"/>
          <w:bCs/>
          <w:sz w:val="24"/>
          <w:szCs w:val="24"/>
          <w:lang w:val="ro-RO"/>
        </w:rPr>
        <w:t>pieţei</w:t>
      </w:r>
      <w:proofErr w:type="spellEnd"/>
      <w:r w:rsidRPr="00C26A9B">
        <w:rPr>
          <w:rFonts w:ascii="Times New Roman" w:hAnsi="Times New Roman" w:cs="Times New Roman"/>
          <w:bCs/>
          <w:sz w:val="24"/>
          <w:szCs w:val="24"/>
          <w:lang w:val="ro-RO"/>
        </w:rPr>
        <w:t xml:space="preserve"> sau a </w:t>
      </w:r>
      <w:proofErr w:type="spellStart"/>
      <w:r w:rsidRPr="00C26A9B">
        <w:rPr>
          <w:rFonts w:ascii="Times New Roman" w:hAnsi="Times New Roman" w:cs="Times New Roman"/>
          <w:bCs/>
          <w:sz w:val="24"/>
          <w:szCs w:val="24"/>
          <w:lang w:val="ro-RO"/>
        </w:rPr>
        <w:t>activităţii</w:t>
      </w:r>
      <w:proofErr w:type="spellEnd"/>
      <w:r w:rsidRPr="00C26A9B">
        <w:rPr>
          <w:rFonts w:ascii="Times New Roman" w:hAnsi="Times New Roman" w:cs="Times New Roman"/>
          <w:bCs/>
          <w:sz w:val="24"/>
          <w:szCs w:val="24"/>
          <w:lang w:val="ro-RO"/>
        </w:rPr>
        <w:t xml:space="preserve">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Atunci când nu există surse independente de determinare a </w:t>
      </w:r>
      <w:proofErr w:type="spellStart"/>
      <w:r w:rsidRPr="00C26A9B">
        <w:rPr>
          <w:rFonts w:ascii="Times New Roman" w:hAnsi="Times New Roman" w:cs="Times New Roman"/>
          <w:bCs/>
          <w:sz w:val="24"/>
          <w:szCs w:val="24"/>
          <w:lang w:val="ro-RO"/>
        </w:rPr>
        <w:t>preţurilor</w:t>
      </w:r>
      <w:proofErr w:type="spellEnd"/>
      <w:r w:rsidRPr="00C26A9B">
        <w:rPr>
          <w:rFonts w:ascii="Times New Roman" w:hAnsi="Times New Roman" w:cs="Times New Roman"/>
          <w:bCs/>
          <w:sz w:val="24"/>
          <w:szCs w:val="24"/>
          <w:lang w:val="ro-RO"/>
        </w:rPr>
        <w:t xml:space="preserve"> sau sursele de determinare a </w:t>
      </w:r>
      <w:proofErr w:type="spellStart"/>
      <w:r w:rsidRPr="00C26A9B">
        <w:rPr>
          <w:rFonts w:ascii="Times New Roman" w:hAnsi="Times New Roman" w:cs="Times New Roman"/>
          <w:bCs/>
          <w:sz w:val="24"/>
          <w:szCs w:val="24"/>
          <w:lang w:val="ro-RO"/>
        </w:rPr>
        <w:t>preţurilor</w:t>
      </w:r>
      <w:proofErr w:type="spellEnd"/>
      <w:r w:rsidRPr="00C26A9B">
        <w:rPr>
          <w:rFonts w:ascii="Times New Roman" w:hAnsi="Times New Roman" w:cs="Times New Roman"/>
          <w:bCs/>
          <w:sz w:val="24"/>
          <w:szCs w:val="24"/>
          <w:lang w:val="ro-RO"/>
        </w:rPr>
        <w:t xml:space="preserve"> sunt mai subiective, pot fi potrivite măsuri prudente, precum ajustările evaluărilor.</w:t>
      </w:r>
    </w:p>
    <w:p w14:paraId="738B1E89" w14:textId="37F04176" w:rsidR="002E6296" w:rsidRPr="00C26A9B" w:rsidRDefault="002E6296" w:rsidP="00D55820">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50. Băncile instituie și </w:t>
      </w:r>
      <w:proofErr w:type="spellStart"/>
      <w:r w:rsidRPr="00C26A9B">
        <w:rPr>
          <w:rFonts w:ascii="Times New Roman" w:hAnsi="Times New Roman" w:cs="Times New Roman"/>
          <w:bCs/>
          <w:sz w:val="24"/>
          <w:szCs w:val="24"/>
          <w:lang w:val="ro-RO"/>
        </w:rPr>
        <w:t>menţin</w:t>
      </w:r>
      <w:proofErr w:type="spellEnd"/>
      <w:r w:rsidRPr="00C26A9B">
        <w:rPr>
          <w:rFonts w:ascii="Times New Roman" w:hAnsi="Times New Roman" w:cs="Times New Roman"/>
          <w:bCs/>
          <w:sz w:val="24"/>
          <w:szCs w:val="24"/>
          <w:lang w:val="ro-RO"/>
        </w:rPr>
        <w:t xml:space="preserve"> proceduri pentru luarea în considerare a ajustărilor evaluărilor.</w:t>
      </w:r>
    </w:p>
    <w:p w14:paraId="5932EDB6" w14:textId="11D63836" w:rsidR="002E6296" w:rsidRPr="00C26A9B" w:rsidRDefault="002E6296" w:rsidP="00D55820">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51. Băncile iau în considerare în mod formal ajustările evaluărilor cu privire la următoarele: marjele de credit constatate în avans, costurile de închidere, riscurile </w:t>
      </w:r>
      <w:proofErr w:type="spellStart"/>
      <w:r w:rsidRPr="00C26A9B">
        <w:rPr>
          <w:rFonts w:ascii="Times New Roman" w:hAnsi="Times New Roman" w:cs="Times New Roman"/>
          <w:bCs/>
          <w:sz w:val="24"/>
          <w:szCs w:val="24"/>
          <w:lang w:val="ro-RO"/>
        </w:rPr>
        <w:t>operaţionale</w:t>
      </w:r>
      <w:proofErr w:type="spellEnd"/>
      <w:r w:rsidRPr="00C26A9B">
        <w:rPr>
          <w:rFonts w:ascii="Times New Roman" w:hAnsi="Times New Roman" w:cs="Times New Roman"/>
          <w:bCs/>
          <w:sz w:val="24"/>
          <w:szCs w:val="24"/>
          <w:lang w:val="ro-RO"/>
        </w:rPr>
        <w:t xml:space="preserve">, incertitudinea </w:t>
      </w:r>
      <w:proofErr w:type="spellStart"/>
      <w:r w:rsidRPr="00C26A9B">
        <w:rPr>
          <w:rFonts w:ascii="Times New Roman" w:hAnsi="Times New Roman" w:cs="Times New Roman"/>
          <w:bCs/>
          <w:sz w:val="24"/>
          <w:szCs w:val="24"/>
          <w:lang w:val="ro-RO"/>
        </w:rPr>
        <w:t>preţului</w:t>
      </w:r>
      <w:proofErr w:type="spellEnd"/>
      <w:r w:rsidRPr="00C26A9B">
        <w:rPr>
          <w:rFonts w:ascii="Times New Roman" w:hAnsi="Times New Roman" w:cs="Times New Roman"/>
          <w:bCs/>
          <w:sz w:val="24"/>
          <w:szCs w:val="24"/>
          <w:lang w:val="ro-RO"/>
        </w:rPr>
        <w:t xml:space="preserve">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finalizarea anticipată, costurile de </w:t>
      </w:r>
      <w:proofErr w:type="spellStart"/>
      <w:r w:rsidRPr="00C26A9B">
        <w:rPr>
          <w:rFonts w:ascii="Times New Roman" w:hAnsi="Times New Roman" w:cs="Times New Roman"/>
          <w:bCs/>
          <w:sz w:val="24"/>
          <w:szCs w:val="24"/>
          <w:lang w:val="ro-RO"/>
        </w:rPr>
        <w:t>investiţie</w:t>
      </w:r>
      <w:proofErr w:type="spellEnd"/>
      <w:r w:rsidRPr="00C26A9B">
        <w:rPr>
          <w:rFonts w:ascii="Times New Roman" w:hAnsi="Times New Roman" w:cs="Times New Roman"/>
          <w:bCs/>
          <w:sz w:val="24"/>
          <w:szCs w:val="24"/>
          <w:lang w:val="ro-RO"/>
        </w:rPr>
        <w:t xml:space="preserve"> și de </w:t>
      </w:r>
      <w:proofErr w:type="spellStart"/>
      <w:r w:rsidRPr="00C26A9B">
        <w:rPr>
          <w:rFonts w:ascii="Times New Roman" w:hAnsi="Times New Roman" w:cs="Times New Roman"/>
          <w:bCs/>
          <w:sz w:val="24"/>
          <w:szCs w:val="24"/>
          <w:lang w:val="ro-RO"/>
        </w:rPr>
        <w:t>finanţare</w:t>
      </w:r>
      <w:proofErr w:type="spellEnd"/>
      <w:r w:rsidRPr="00C26A9B">
        <w:rPr>
          <w:rFonts w:ascii="Times New Roman" w:hAnsi="Times New Roman" w:cs="Times New Roman"/>
          <w:bCs/>
          <w:sz w:val="24"/>
          <w:szCs w:val="24"/>
          <w:lang w:val="ro-RO"/>
        </w:rPr>
        <w:t>, costurile administrative viitoare și, după caz, riscul de model.</w:t>
      </w:r>
    </w:p>
    <w:p w14:paraId="021CC7AC" w14:textId="77777777" w:rsidR="002E6296" w:rsidRPr="00C26A9B" w:rsidRDefault="002E6296" w:rsidP="002E6296">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52. Băncile instituie și </w:t>
      </w:r>
      <w:proofErr w:type="spellStart"/>
      <w:r w:rsidRPr="00C26A9B">
        <w:rPr>
          <w:rFonts w:ascii="Times New Roman" w:hAnsi="Times New Roman" w:cs="Times New Roman"/>
          <w:bCs/>
          <w:sz w:val="24"/>
          <w:szCs w:val="24"/>
          <w:lang w:val="ro-RO"/>
        </w:rPr>
        <w:t>menţin</w:t>
      </w:r>
      <w:proofErr w:type="spellEnd"/>
      <w:r w:rsidRPr="00C26A9B">
        <w:rPr>
          <w:rFonts w:ascii="Times New Roman" w:hAnsi="Times New Roman" w:cs="Times New Roman"/>
          <w:bCs/>
          <w:sz w:val="24"/>
          <w:szCs w:val="24"/>
          <w:lang w:val="ro-RO"/>
        </w:rPr>
        <w:t xml:space="preserve"> proceduri pentru calculul ajustării evaluării curente a oricărei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mai </w:t>
      </w:r>
      <w:proofErr w:type="spellStart"/>
      <w:r w:rsidRPr="00C26A9B">
        <w:rPr>
          <w:rFonts w:ascii="Times New Roman" w:hAnsi="Times New Roman" w:cs="Times New Roman"/>
          <w:bCs/>
          <w:sz w:val="24"/>
          <w:szCs w:val="24"/>
          <w:lang w:val="ro-RO"/>
        </w:rPr>
        <w:t>puţin</w:t>
      </w:r>
      <w:proofErr w:type="spellEnd"/>
      <w:r w:rsidRPr="00C26A9B">
        <w:rPr>
          <w:rFonts w:ascii="Times New Roman" w:hAnsi="Times New Roman" w:cs="Times New Roman"/>
          <w:bCs/>
          <w:sz w:val="24"/>
          <w:szCs w:val="24"/>
          <w:lang w:val="ro-RO"/>
        </w:rPr>
        <w:t xml:space="preserve"> lichide, care ar putea să rezulte în special din evenimente de pe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sau din </w:t>
      </w:r>
      <w:proofErr w:type="spellStart"/>
      <w:r w:rsidRPr="00C26A9B">
        <w:rPr>
          <w:rFonts w:ascii="Times New Roman" w:hAnsi="Times New Roman" w:cs="Times New Roman"/>
          <w:bCs/>
          <w:sz w:val="24"/>
          <w:szCs w:val="24"/>
          <w:lang w:val="ro-RO"/>
        </w:rPr>
        <w:t>situaţii</w:t>
      </w:r>
      <w:proofErr w:type="spellEnd"/>
      <w:r w:rsidRPr="00C26A9B">
        <w:rPr>
          <w:rFonts w:ascii="Times New Roman" w:hAnsi="Times New Roman" w:cs="Times New Roman"/>
          <w:bCs/>
          <w:sz w:val="24"/>
          <w:szCs w:val="24"/>
          <w:lang w:val="ro-RO"/>
        </w:rPr>
        <w:t xml:space="preserve"> proprii băncii, de exemplu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concentrate și/sau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pentru care perioada de </w:t>
      </w:r>
      <w:proofErr w:type="spellStart"/>
      <w:r w:rsidRPr="00C26A9B">
        <w:rPr>
          <w:rFonts w:ascii="Times New Roman" w:hAnsi="Times New Roman" w:cs="Times New Roman"/>
          <w:bCs/>
          <w:sz w:val="24"/>
          <w:szCs w:val="24"/>
          <w:lang w:val="ro-RO"/>
        </w:rPr>
        <w:t>deţinere</w:t>
      </w:r>
      <w:proofErr w:type="spellEnd"/>
      <w:r w:rsidRPr="00C26A9B">
        <w:rPr>
          <w:rFonts w:ascii="Times New Roman" w:hAnsi="Times New Roman" w:cs="Times New Roman"/>
          <w:bCs/>
          <w:sz w:val="24"/>
          <w:szCs w:val="24"/>
          <w:lang w:val="ro-RO"/>
        </w:rPr>
        <w:t xml:space="preserve"> avută în vedere </w:t>
      </w:r>
      <w:proofErr w:type="spellStart"/>
      <w:r w:rsidRPr="00C26A9B">
        <w:rPr>
          <w:rFonts w:ascii="Times New Roman" w:hAnsi="Times New Roman" w:cs="Times New Roman"/>
          <w:bCs/>
          <w:sz w:val="24"/>
          <w:szCs w:val="24"/>
          <w:lang w:val="ro-RO"/>
        </w:rPr>
        <w:t>iniţial</w:t>
      </w:r>
      <w:proofErr w:type="spellEnd"/>
      <w:r w:rsidRPr="00C26A9B">
        <w:rPr>
          <w:rFonts w:ascii="Times New Roman" w:hAnsi="Times New Roman" w:cs="Times New Roman"/>
          <w:bCs/>
          <w:sz w:val="24"/>
          <w:szCs w:val="24"/>
          <w:lang w:val="ro-RO"/>
        </w:rPr>
        <w:t xml:space="preserve"> a fost depășită. Dacă este necesar, băncile efectuează astfel de ajustări în plus </w:t>
      </w:r>
      <w:proofErr w:type="spellStart"/>
      <w:r w:rsidRPr="00C26A9B">
        <w:rPr>
          <w:rFonts w:ascii="Times New Roman" w:hAnsi="Times New Roman" w:cs="Times New Roman"/>
          <w:bCs/>
          <w:sz w:val="24"/>
          <w:szCs w:val="24"/>
          <w:lang w:val="ro-RO"/>
        </w:rPr>
        <w:t>faţă</w:t>
      </w:r>
      <w:proofErr w:type="spellEnd"/>
      <w:r w:rsidRPr="00C26A9B">
        <w:rPr>
          <w:rFonts w:ascii="Times New Roman" w:hAnsi="Times New Roman" w:cs="Times New Roman"/>
          <w:bCs/>
          <w:sz w:val="24"/>
          <w:szCs w:val="24"/>
          <w:lang w:val="ro-RO"/>
        </w:rPr>
        <w:t xml:space="preserve"> de orice modificări ale valorii </w:t>
      </w:r>
      <w:proofErr w:type="spellStart"/>
      <w:r w:rsidRPr="00C26A9B">
        <w:rPr>
          <w:rFonts w:ascii="Times New Roman" w:hAnsi="Times New Roman" w:cs="Times New Roman"/>
          <w:bCs/>
          <w:sz w:val="24"/>
          <w:szCs w:val="24"/>
          <w:lang w:val="ro-RO"/>
        </w:rPr>
        <w:t>poziţiei</w:t>
      </w:r>
      <w:proofErr w:type="spellEnd"/>
      <w:r w:rsidRPr="00C26A9B">
        <w:rPr>
          <w:rFonts w:ascii="Times New Roman" w:hAnsi="Times New Roman" w:cs="Times New Roman"/>
          <w:bCs/>
          <w:sz w:val="24"/>
          <w:szCs w:val="24"/>
          <w:lang w:val="ro-RO"/>
        </w:rPr>
        <w:t xml:space="preserve"> necesare în scopul raportării financiare și le concep în așa fel încât să reflecte lipsa de lichiditate a </w:t>
      </w:r>
      <w:proofErr w:type="spellStart"/>
      <w:r w:rsidRPr="00C26A9B">
        <w:rPr>
          <w:rFonts w:ascii="Times New Roman" w:hAnsi="Times New Roman" w:cs="Times New Roman"/>
          <w:bCs/>
          <w:sz w:val="24"/>
          <w:szCs w:val="24"/>
          <w:lang w:val="ro-RO"/>
        </w:rPr>
        <w:t>poziţiei</w:t>
      </w:r>
      <w:proofErr w:type="spellEnd"/>
      <w:r w:rsidRPr="00C26A9B">
        <w:rPr>
          <w:rFonts w:ascii="Times New Roman" w:hAnsi="Times New Roman" w:cs="Times New Roman"/>
          <w:bCs/>
          <w:sz w:val="24"/>
          <w:szCs w:val="24"/>
          <w:lang w:val="ro-RO"/>
        </w:rPr>
        <w:t>.</w:t>
      </w:r>
    </w:p>
    <w:p w14:paraId="0D20D481" w14:textId="71A09674" w:rsidR="002E6296" w:rsidRPr="00C26A9B" w:rsidRDefault="002E6296" w:rsidP="002E6296">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53. Conform procedurilor menționate la pct.52, băncile trebuie să ia în considerare mai </w:t>
      </w:r>
      <w:proofErr w:type="spellStart"/>
      <w:r w:rsidRPr="00C26A9B">
        <w:rPr>
          <w:rFonts w:ascii="Times New Roman" w:hAnsi="Times New Roman" w:cs="Times New Roman"/>
          <w:bCs/>
          <w:sz w:val="24"/>
          <w:szCs w:val="24"/>
          <w:lang w:val="ro-RO"/>
        </w:rPr>
        <w:t>mulţi</w:t>
      </w:r>
      <w:proofErr w:type="spellEnd"/>
      <w:r w:rsidRPr="00C26A9B">
        <w:rPr>
          <w:rFonts w:ascii="Times New Roman" w:hAnsi="Times New Roman" w:cs="Times New Roman"/>
          <w:bCs/>
          <w:sz w:val="24"/>
          <w:szCs w:val="24"/>
          <w:lang w:val="ro-RO"/>
        </w:rPr>
        <w:t xml:space="preserve"> factori pentru a stabili dacă este necesară o ajustare a evaluării</w:t>
      </w:r>
      <w:r w:rsidR="003714FA">
        <w:rPr>
          <w:rFonts w:ascii="Times New Roman" w:hAnsi="Times New Roman" w:cs="Times New Roman"/>
          <w:bCs/>
          <w:sz w:val="24"/>
          <w:szCs w:val="24"/>
          <w:lang w:val="ro-RO"/>
        </w:rPr>
        <w:t xml:space="preserve"> </w:t>
      </w:r>
      <w:r w:rsidRPr="00C26A9B">
        <w:rPr>
          <w:rFonts w:ascii="Times New Roman" w:hAnsi="Times New Roman" w:cs="Times New Roman"/>
          <w:bCs/>
          <w:sz w:val="24"/>
          <w:szCs w:val="24"/>
          <w:lang w:val="ro-RO"/>
        </w:rPr>
        <w:t xml:space="preserve">pentru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mai </w:t>
      </w:r>
      <w:proofErr w:type="spellStart"/>
      <w:r w:rsidRPr="00C26A9B">
        <w:rPr>
          <w:rFonts w:ascii="Times New Roman" w:hAnsi="Times New Roman" w:cs="Times New Roman"/>
          <w:bCs/>
          <w:sz w:val="24"/>
          <w:szCs w:val="24"/>
          <w:lang w:val="ro-RO"/>
        </w:rPr>
        <w:t>puţin</w:t>
      </w:r>
      <w:proofErr w:type="spellEnd"/>
      <w:r w:rsidRPr="00C26A9B">
        <w:rPr>
          <w:rFonts w:ascii="Times New Roman" w:hAnsi="Times New Roman" w:cs="Times New Roman"/>
          <w:bCs/>
          <w:sz w:val="24"/>
          <w:szCs w:val="24"/>
          <w:lang w:val="ro-RO"/>
        </w:rPr>
        <w:t xml:space="preserve"> lichide. Acești factori includ:</w:t>
      </w:r>
    </w:p>
    <w:p w14:paraId="3F850FC9" w14:textId="0F461452" w:rsidR="002E6296" w:rsidRPr="00C26A9B" w:rsidRDefault="002E6296" w:rsidP="002E6296">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lastRenderedPageBreak/>
        <w:t xml:space="preserve">53.1. timpul suplimentar care ar fi necesar pentru acoperirea </w:t>
      </w:r>
      <w:proofErr w:type="spellStart"/>
      <w:r w:rsidRPr="00C26A9B">
        <w:rPr>
          <w:rFonts w:ascii="Times New Roman" w:hAnsi="Times New Roman" w:cs="Times New Roman"/>
          <w:bCs/>
          <w:sz w:val="24"/>
          <w:szCs w:val="24"/>
          <w:lang w:val="ro-RO"/>
        </w:rPr>
        <w:t>poziţiei</w:t>
      </w:r>
      <w:proofErr w:type="spellEnd"/>
      <w:r w:rsidRPr="00C26A9B">
        <w:rPr>
          <w:rFonts w:ascii="Times New Roman" w:hAnsi="Times New Roman" w:cs="Times New Roman"/>
          <w:bCs/>
          <w:sz w:val="24"/>
          <w:szCs w:val="24"/>
          <w:lang w:val="ro-RO"/>
        </w:rPr>
        <w:t xml:space="preserve"> sau a riscurilor inerente </w:t>
      </w:r>
      <w:proofErr w:type="spellStart"/>
      <w:r w:rsidRPr="00C26A9B">
        <w:rPr>
          <w:rFonts w:ascii="Times New Roman" w:hAnsi="Times New Roman" w:cs="Times New Roman"/>
          <w:bCs/>
          <w:sz w:val="24"/>
          <w:szCs w:val="24"/>
          <w:lang w:val="ro-RO"/>
        </w:rPr>
        <w:t>poziţiei</w:t>
      </w:r>
      <w:proofErr w:type="spellEnd"/>
      <w:r w:rsidRPr="00C26A9B">
        <w:rPr>
          <w:rFonts w:ascii="Times New Roman" w:hAnsi="Times New Roman" w:cs="Times New Roman"/>
          <w:bCs/>
          <w:sz w:val="24"/>
          <w:szCs w:val="24"/>
          <w:lang w:val="ro-RO"/>
        </w:rPr>
        <w:t xml:space="preserve"> dincolo de orizonturile de lichiditate care au fost atribuite factorilor de risc aplicabili </w:t>
      </w:r>
      <w:proofErr w:type="spellStart"/>
      <w:r w:rsidRPr="00C26A9B">
        <w:rPr>
          <w:rFonts w:ascii="Times New Roman" w:hAnsi="Times New Roman" w:cs="Times New Roman"/>
          <w:bCs/>
          <w:sz w:val="24"/>
          <w:szCs w:val="24"/>
          <w:lang w:val="ro-RO"/>
        </w:rPr>
        <w:t>poziţiei</w:t>
      </w:r>
      <w:proofErr w:type="spellEnd"/>
      <w:r w:rsidRPr="00C26A9B">
        <w:rPr>
          <w:rFonts w:ascii="Times New Roman" w:hAnsi="Times New Roman" w:cs="Times New Roman"/>
          <w:bCs/>
          <w:sz w:val="24"/>
          <w:szCs w:val="24"/>
          <w:lang w:val="ro-RO"/>
        </w:rPr>
        <w:t xml:space="preserve"> în conformitate cu </w:t>
      </w:r>
      <w:r w:rsidR="00597363" w:rsidRPr="00C26A9B">
        <w:rPr>
          <w:rFonts w:ascii="Times New Roman" w:hAnsi="Times New Roman" w:cs="Times New Roman"/>
          <w:bCs/>
          <w:sz w:val="24"/>
          <w:szCs w:val="24"/>
          <w:lang w:val="ro-RO"/>
        </w:rPr>
        <w:t>titlul II capitolul III secțiunea 2</w:t>
      </w:r>
      <w:r w:rsidR="00597363">
        <w:rPr>
          <w:rFonts w:ascii="Times New Roman" w:hAnsi="Times New Roman" w:cs="Times New Roman"/>
          <w:bCs/>
          <w:sz w:val="24"/>
          <w:szCs w:val="24"/>
          <w:lang w:val="ro-RO"/>
        </w:rPr>
        <w:t xml:space="preserve"> </w:t>
      </w:r>
      <w:r w:rsidRPr="00C26A9B">
        <w:rPr>
          <w:rFonts w:ascii="Times New Roman" w:hAnsi="Times New Roman" w:cs="Times New Roman"/>
          <w:bCs/>
          <w:sz w:val="24"/>
          <w:szCs w:val="24"/>
          <w:lang w:val="ro-RO"/>
        </w:rPr>
        <w:t>subsecțiunea 3 , ;</w:t>
      </w:r>
    </w:p>
    <w:p w14:paraId="6EBB7153" w14:textId="77777777" w:rsidR="002E6296" w:rsidRPr="00C26A9B" w:rsidRDefault="002E6296" w:rsidP="002E6296">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53.2. volatilitatea și media marjelor dintre </w:t>
      </w:r>
      <w:proofErr w:type="spellStart"/>
      <w:r w:rsidRPr="00C26A9B">
        <w:rPr>
          <w:rFonts w:ascii="Times New Roman" w:hAnsi="Times New Roman" w:cs="Times New Roman"/>
          <w:bCs/>
          <w:sz w:val="24"/>
          <w:szCs w:val="24"/>
          <w:lang w:val="ro-RO"/>
        </w:rPr>
        <w:t>preţurile</w:t>
      </w:r>
      <w:proofErr w:type="spellEnd"/>
      <w:r w:rsidRPr="00C26A9B">
        <w:rPr>
          <w:rFonts w:ascii="Times New Roman" w:hAnsi="Times New Roman" w:cs="Times New Roman"/>
          <w:bCs/>
          <w:sz w:val="24"/>
          <w:szCs w:val="24"/>
          <w:lang w:val="ro-RO"/>
        </w:rPr>
        <w:t xml:space="preserve"> de cumpărare și cele de vânzare;</w:t>
      </w:r>
    </w:p>
    <w:p w14:paraId="27F77F28" w14:textId="77777777" w:rsidR="002E6296" w:rsidRPr="00C26A9B" w:rsidRDefault="002E6296" w:rsidP="002E6296">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53.3. disponibilitatea </w:t>
      </w:r>
      <w:proofErr w:type="spellStart"/>
      <w:r w:rsidRPr="00C26A9B">
        <w:rPr>
          <w:rFonts w:ascii="Times New Roman" w:hAnsi="Times New Roman" w:cs="Times New Roman"/>
          <w:bCs/>
          <w:sz w:val="24"/>
          <w:szCs w:val="24"/>
          <w:lang w:val="ro-RO"/>
        </w:rPr>
        <w:t>cotaţiilor</w:t>
      </w:r>
      <w:proofErr w:type="spellEnd"/>
      <w:r w:rsidRPr="00C26A9B">
        <w:rPr>
          <w:rFonts w:ascii="Times New Roman" w:hAnsi="Times New Roman" w:cs="Times New Roman"/>
          <w:bCs/>
          <w:sz w:val="24"/>
          <w:szCs w:val="24"/>
          <w:lang w:val="ro-RO"/>
        </w:rPr>
        <w:t xml:space="preserve">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(numărul și identitatea formatorilor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volatilitatea și media volumelor de tranzacţionare, inclusiv volumele de tranzacţionare în perioadele de criză a </w:t>
      </w:r>
      <w:proofErr w:type="spellStart"/>
      <w:r w:rsidRPr="00C26A9B">
        <w:rPr>
          <w:rFonts w:ascii="Times New Roman" w:hAnsi="Times New Roman" w:cs="Times New Roman"/>
          <w:bCs/>
          <w:sz w:val="24"/>
          <w:szCs w:val="24"/>
          <w:lang w:val="ro-RO"/>
        </w:rPr>
        <w:t>pieţei</w:t>
      </w:r>
      <w:proofErr w:type="spellEnd"/>
      <w:r w:rsidRPr="00C26A9B">
        <w:rPr>
          <w:rFonts w:ascii="Times New Roman" w:hAnsi="Times New Roman" w:cs="Times New Roman"/>
          <w:bCs/>
          <w:sz w:val="24"/>
          <w:szCs w:val="24"/>
          <w:lang w:val="ro-RO"/>
        </w:rPr>
        <w:t>;</w:t>
      </w:r>
    </w:p>
    <w:p w14:paraId="5CD5DAB3" w14:textId="77777777" w:rsidR="002E6296" w:rsidRPr="00C26A9B" w:rsidRDefault="002E6296" w:rsidP="002E6296">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53.4. concentrările </w:t>
      </w:r>
      <w:proofErr w:type="spellStart"/>
      <w:r w:rsidRPr="00C26A9B">
        <w:rPr>
          <w:rFonts w:ascii="Times New Roman" w:hAnsi="Times New Roman" w:cs="Times New Roman"/>
          <w:bCs/>
          <w:sz w:val="24"/>
          <w:szCs w:val="24"/>
          <w:lang w:val="ro-RO"/>
        </w:rPr>
        <w:t>pieţei</w:t>
      </w:r>
      <w:proofErr w:type="spellEnd"/>
      <w:r w:rsidRPr="00C26A9B">
        <w:rPr>
          <w:rFonts w:ascii="Times New Roman" w:hAnsi="Times New Roman" w:cs="Times New Roman"/>
          <w:bCs/>
          <w:sz w:val="24"/>
          <w:szCs w:val="24"/>
          <w:lang w:val="ro-RO"/>
        </w:rPr>
        <w:t>;</w:t>
      </w:r>
    </w:p>
    <w:p w14:paraId="1333F593" w14:textId="77777777" w:rsidR="002E6296" w:rsidRPr="00C26A9B" w:rsidRDefault="002E6296" w:rsidP="002E6296">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53.5. clasamentul cronologic al </w:t>
      </w:r>
      <w:proofErr w:type="spellStart"/>
      <w:r w:rsidRPr="00C26A9B">
        <w:rPr>
          <w:rFonts w:ascii="Times New Roman" w:hAnsi="Times New Roman" w:cs="Times New Roman"/>
          <w:bCs/>
          <w:sz w:val="24"/>
          <w:szCs w:val="24"/>
          <w:lang w:val="ro-RO"/>
        </w:rPr>
        <w:t>poziţiilor</w:t>
      </w:r>
      <w:proofErr w:type="spellEnd"/>
      <w:r w:rsidRPr="00C26A9B">
        <w:rPr>
          <w:rFonts w:ascii="Times New Roman" w:hAnsi="Times New Roman" w:cs="Times New Roman"/>
          <w:bCs/>
          <w:sz w:val="24"/>
          <w:szCs w:val="24"/>
          <w:lang w:val="ro-RO"/>
        </w:rPr>
        <w:t>;</w:t>
      </w:r>
    </w:p>
    <w:p w14:paraId="4B60B522" w14:textId="77777777" w:rsidR="002E6296" w:rsidRPr="00C26A9B" w:rsidRDefault="002E6296" w:rsidP="002E6296">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53.6. măsura în care evaluarea se bazează pe marcarea la model;</w:t>
      </w:r>
    </w:p>
    <w:p w14:paraId="69DA294E" w14:textId="5811C40C" w:rsidR="002E6296" w:rsidRPr="00C26A9B" w:rsidRDefault="002E6296" w:rsidP="002E6296">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53.7. impactul altor riscuri de model.</w:t>
      </w:r>
    </w:p>
    <w:p w14:paraId="2CE1E3A4" w14:textId="51EF336A" w:rsidR="002E6296" w:rsidRPr="00C26A9B" w:rsidRDefault="00B10C94" w:rsidP="00B10C94">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54. În cazul utilizării unor evaluări realizate de </w:t>
      </w:r>
      <w:proofErr w:type="spellStart"/>
      <w:r w:rsidRPr="00C26A9B">
        <w:rPr>
          <w:rFonts w:ascii="Times New Roman" w:hAnsi="Times New Roman" w:cs="Times New Roman"/>
          <w:bCs/>
          <w:sz w:val="24"/>
          <w:szCs w:val="24"/>
          <w:lang w:val="ro-RO"/>
        </w:rPr>
        <w:t>terţi</w:t>
      </w:r>
      <w:proofErr w:type="spellEnd"/>
      <w:r w:rsidRPr="00C26A9B">
        <w:rPr>
          <w:rFonts w:ascii="Times New Roman" w:hAnsi="Times New Roman" w:cs="Times New Roman"/>
          <w:bCs/>
          <w:sz w:val="24"/>
          <w:szCs w:val="24"/>
          <w:lang w:val="ro-RO"/>
        </w:rPr>
        <w:t xml:space="preserve"> sau în cazul marcării la model, băncile verifică dacă este oportună aplicarea unei ajustări a evaluării. În plus, băncile verifică necesitatea stabilirii de ajustări pentru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mai </w:t>
      </w:r>
      <w:proofErr w:type="spellStart"/>
      <w:r w:rsidRPr="00C26A9B">
        <w:rPr>
          <w:rFonts w:ascii="Times New Roman" w:hAnsi="Times New Roman" w:cs="Times New Roman"/>
          <w:bCs/>
          <w:sz w:val="24"/>
          <w:szCs w:val="24"/>
          <w:lang w:val="ro-RO"/>
        </w:rPr>
        <w:t>puţin</w:t>
      </w:r>
      <w:proofErr w:type="spellEnd"/>
      <w:r w:rsidRPr="00C26A9B">
        <w:rPr>
          <w:rFonts w:ascii="Times New Roman" w:hAnsi="Times New Roman" w:cs="Times New Roman"/>
          <w:bCs/>
          <w:sz w:val="24"/>
          <w:szCs w:val="24"/>
          <w:lang w:val="ro-RO"/>
        </w:rPr>
        <w:t xml:space="preserve"> lichide și reexaminează permanent continuitatea caracterului adecvat al acestora. De asemenea, băncile evaluează în mod explicit necesitatea de a efectua ajustări ale evaluărilor în legătură cu gradul de incertitudine al datelor utilizate pentru parametri în cadrul modelelor.</w:t>
      </w:r>
    </w:p>
    <w:p w14:paraId="4DB09C50" w14:textId="6FEE4793" w:rsidR="00B10C94" w:rsidRPr="00C26A9B" w:rsidRDefault="00B10C94" w:rsidP="00B10C94">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55. În ceea ce privește produsele complexe care includ expunerile din securitizare și instrumentele derivate de credit de tip „</w:t>
      </w:r>
      <w:r w:rsidRPr="00C26A9B">
        <w:rPr>
          <w:rFonts w:ascii="Times New Roman" w:hAnsi="Times New Roman" w:cs="Times New Roman"/>
          <w:bCs/>
          <w:i/>
          <w:iCs/>
          <w:sz w:val="24"/>
          <w:szCs w:val="24"/>
          <w:lang w:val="ro-RO"/>
        </w:rPr>
        <w:t>n-</w:t>
      </w:r>
      <w:proofErr w:type="spellStart"/>
      <w:r w:rsidRPr="00C26A9B">
        <w:rPr>
          <w:rFonts w:ascii="Times New Roman" w:hAnsi="Times New Roman" w:cs="Times New Roman"/>
          <w:bCs/>
          <w:i/>
          <w:iCs/>
          <w:sz w:val="24"/>
          <w:szCs w:val="24"/>
          <w:lang w:val="ro-RO"/>
        </w:rPr>
        <w:t>th</w:t>
      </w:r>
      <w:proofErr w:type="spellEnd"/>
      <w:r w:rsidRPr="00C26A9B">
        <w:rPr>
          <w:rFonts w:ascii="Times New Roman" w:hAnsi="Times New Roman" w:cs="Times New Roman"/>
          <w:bCs/>
          <w:i/>
          <w:iCs/>
          <w:sz w:val="24"/>
          <w:szCs w:val="24"/>
          <w:lang w:val="ro-RO"/>
        </w:rPr>
        <w:t>-</w:t>
      </w:r>
      <w:proofErr w:type="spellStart"/>
      <w:r w:rsidRPr="00C26A9B">
        <w:rPr>
          <w:rFonts w:ascii="Times New Roman" w:hAnsi="Times New Roman" w:cs="Times New Roman"/>
          <w:bCs/>
          <w:i/>
          <w:iCs/>
          <w:sz w:val="24"/>
          <w:szCs w:val="24"/>
          <w:lang w:val="ro-RO"/>
        </w:rPr>
        <w:t>to</w:t>
      </w:r>
      <w:proofErr w:type="spellEnd"/>
      <w:r w:rsidRPr="00C26A9B">
        <w:rPr>
          <w:rFonts w:ascii="Times New Roman" w:hAnsi="Times New Roman" w:cs="Times New Roman"/>
          <w:bCs/>
          <w:i/>
          <w:iCs/>
          <w:sz w:val="24"/>
          <w:szCs w:val="24"/>
          <w:lang w:val="ro-RO"/>
        </w:rPr>
        <w:t xml:space="preserve"> </w:t>
      </w:r>
      <w:proofErr w:type="spellStart"/>
      <w:r w:rsidRPr="00C26A9B">
        <w:rPr>
          <w:rFonts w:ascii="Times New Roman" w:hAnsi="Times New Roman" w:cs="Times New Roman"/>
          <w:bCs/>
          <w:i/>
          <w:iCs/>
          <w:sz w:val="24"/>
          <w:szCs w:val="24"/>
          <w:lang w:val="ro-RO"/>
        </w:rPr>
        <w:t>default</w:t>
      </w:r>
      <w:proofErr w:type="spellEnd"/>
      <w:r w:rsidRPr="00C26A9B">
        <w:rPr>
          <w:rFonts w:ascii="Times New Roman" w:hAnsi="Times New Roman" w:cs="Times New Roman"/>
          <w:bCs/>
          <w:sz w:val="24"/>
          <w:szCs w:val="24"/>
          <w:lang w:val="ro-RO"/>
        </w:rPr>
        <w:t xml:space="preserve">”(al n-lea caz de nerambursare), băncile evaluează în mod explicit necesitatea unor ajustări ale evaluării pentru a reflecta riscul de model asociat utilizării unei metodologii de evaluare care ar putea fi incorectă și riscul de model asociat utilizării, în modelul de evaluare, a unor parametri de calibrare ce nu pot fi </w:t>
      </w:r>
      <w:proofErr w:type="spellStart"/>
      <w:r w:rsidRPr="00C26A9B">
        <w:rPr>
          <w:rFonts w:ascii="Times New Roman" w:hAnsi="Times New Roman" w:cs="Times New Roman"/>
          <w:bCs/>
          <w:sz w:val="24"/>
          <w:szCs w:val="24"/>
          <w:lang w:val="ro-RO"/>
        </w:rPr>
        <w:t>observaţi</w:t>
      </w:r>
      <w:proofErr w:type="spellEnd"/>
      <w:r w:rsidRPr="00C26A9B">
        <w:rPr>
          <w:rFonts w:ascii="Times New Roman" w:hAnsi="Times New Roman" w:cs="Times New Roman"/>
          <w:bCs/>
          <w:sz w:val="24"/>
          <w:szCs w:val="24"/>
          <w:lang w:val="ro-RO"/>
        </w:rPr>
        <w:t xml:space="preserve"> (și care ar putea fi </w:t>
      </w:r>
      <w:proofErr w:type="spellStart"/>
      <w:r w:rsidRPr="00C26A9B">
        <w:rPr>
          <w:rFonts w:ascii="Times New Roman" w:hAnsi="Times New Roman" w:cs="Times New Roman"/>
          <w:bCs/>
          <w:sz w:val="24"/>
          <w:szCs w:val="24"/>
          <w:lang w:val="ro-RO"/>
        </w:rPr>
        <w:t>incorecţi</w:t>
      </w:r>
      <w:proofErr w:type="spellEnd"/>
      <w:r w:rsidRPr="00C26A9B">
        <w:rPr>
          <w:rFonts w:ascii="Times New Roman" w:hAnsi="Times New Roman" w:cs="Times New Roman"/>
          <w:bCs/>
          <w:sz w:val="24"/>
          <w:szCs w:val="24"/>
          <w:lang w:val="ro-RO"/>
        </w:rPr>
        <w:t>).</w:t>
      </w:r>
    </w:p>
    <w:p w14:paraId="00FA3639" w14:textId="6F512850" w:rsidR="00B10C94" w:rsidRPr="00C26A9B" w:rsidRDefault="00DE725C" w:rsidP="00DE725C">
      <w:pPr>
        <w:rPr>
          <w:rFonts w:ascii="Times New Roman" w:hAnsi="Times New Roman" w:cs="Times New Roman"/>
          <w:b/>
          <w:bCs/>
          <w:sz w:val="24"/>
          <w:szCs w:val="24"/>
          <w:lang w:val="ro-RO"/>
        </w:rPr>
      </w:pPr>
      <w:r w:rsidRPr="00CC1E9B">
        <w:rPr>
          <w:rFonts w:ascii="Times New Roman" w:hAnsi="Times New Roman" w:cs="Times New Roman"/>
          <w:b/>
          <w:sz w:val="24"/>
          <w:szCs w:val="24"/>
          <w:lang w:val="ro-RO"/>
        </w:rPr>
        <w:t>Secțiunea 8</w:t>
      </w:r>
      <w:r w:rsidR="009A1F02">
        <w:rPr>
          <w:rFonts w:ascii="Times New Roman" w:hAnsi="Times New Roman" w:cs="Times New Roman"/>
          <w:b/>
          <w:sz w:val="24"/>
          <w:szCs w:val="24"/>
          <w:lang w:val="ro-RO"/>
        </w:rPr>
        <w:t>.</w:t>
      </w:r>
      <w:r w:rsidRPr="00C26A9B">
        <w:rPr>
          <w:rFonts w:ascii="Times New Roman" w:hAnsi="Times New Roman" w:cs="Times New Roman"/>
          <w:bCs/>
          <w:i/>
          <w:iCs/>
          <w:sz w:val="24"/>
          <w:szCs w:val="24"/>
          <w:lang w:val="ro-RO"/>
        </w:rPr>
        <w:t xml:space="preserve"> </w:t>
      </w:r>
      <w:r w:rsidRPr="00C26A9B">
        <w:rPr>
          <w:rFonts w:ascii="Times New Roman" w:hAnsi="Times New Roman" w:cs="Times New Roman"/>
          <w:b/>
          <w:bCs/>
          <w:sz w:val="24"/>
          <w:szCs w:val="24"/>
          <w:lang w:val="ro-RO"/>
        </w:rPr>
        <w:t>Acoperiri interne</w:t>
      </w:r>
    </w:p>
    <w:p w14:paraId="11C325BB" w14:textId="77777777" w:rsidR="00DE725C" w:rsidRPr="00C26A9B" w:rsidRDefault="00DE725C" w:rsidP="00DE725C">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56. O acoperire internă respectă, în </w:t>
      </w:r>
      <w:proofErr w:type="spellStart"/>
      <w:r w:rsidRPr="00C26A9B">
        <w:rPr>
          <w:rFonts w:ascii="Times New Roman" w:hAnsi="Times New Roman" w:cs="Times New Roman"/>
          <w:sz w:val="24"/>
          <w:szCs w:val="24"/>
          <w:lang w:val="ro-RO"/>
        </w:rPr>
        <w:t>speţă</w:t>
      </w:r>
      <w:proofErr w:type="spellEnd"/>
      <w:r w:rsidRPr="00C26A9B">
        <w:rPr>
          <w:rFonts w:ascii="Times New Roman" w:hAnsi="Times New Roman" w:cs="Times New Roman"/>
          <w:sz w:val="24"/>
          <w:szCs w:val="24"/>
          <w:lang w:val="ro-RO"/>
        </w:rPr>
        <w:t xml:space="preserve">, următoarele </w:t>
      </w:r>
      <w:proofErr w:type="spellStart"/>
      <w:r w:rsidRPr="00C26A9B">
        <w:rPr>
          <w:rFonts w:ascii="Times New Roman" w:hAnsi="Times New Roman" w:cs="Times New Roman"/>
          <w:sz w:val="24"/>
          <w:szCs w:val="24"/>
          <w:lang w:val="ro-RO"/>
        </w:rPr>
        <w:t>cerinţe</w:t>
      </w:r>
      <w:proofErr w:type="spellEnd"/>
      <w:r w:rsidRPr="00C26A9B">
        <w:rPr>
          <w:rFonts w:ascii="Times New Roman" w:hAnsi="Times New Roman" w:cs="Times New Roman"/>
          <w:sz w:val="24"/>
          <w:szCs w:val="24"/>
          <w:lang w:val="ro-RO"/>
        </w:rPr>
        <w:t>:</w:t>
      </w:r>
    </w:p>
    <w:p w14:paraId="068B3281" w14:textId="77777777" w:rsidR="00DE725C" w:rsidRPr="00C26A9B" w:rsidRDefault="00DE725C" w:rsidP="00DE725C">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56.1. nu este destinată în principal evitării sau reducerii </w:t>
      </w:r>
      <w:proofErr w:type="spellStart"/>
      <w:r w:rsidRPr="00C26A9B">
        <w:rPr>
          <w:rFonts w:ascii="Times New Roman" w:hAnsi="Times New Roman" w:cs="Times New Roman"/>
          <w:sz w:val="24"/>
          <w:szCs w:val="24"/>
          <w:lang w:val="ro-RO"/>
        </w:rPr>
        <w:t>cerinţelor</w:t>
      </w:r>
      <w:proofErr w:type="spellEnd"/>
      <w:r w:rsidRPr="00C26A9B">
        <w:rPr>
          <w:rFonts w:ascii="Times New Roman" w:hAnsi="Times New Roman" w:cs="Times New Roman"/>
          <w:sz w:val="24"/>
          <w:szCs w:val="24"/>
          <w:lang w:val="ro-RO"/>
        </w:rPr>
        <w:t xml:space="preserve"> de fonduri proprii;</w:t>
      </w:r>
    </w:p>
    <w:p w14:paraId="251D41DA" w14:textId="77777777" w:rsidR="00DE725C" w:rsidRPr="00C26A9B" w:rsidRDefault="00DE725C" w:rsidP="00DE725C">
      <w:pPr>
        <w:rPr>
          <w:rFonts w:ascii="Times New Roman" w:hAnsi="Times New Roman" w:cs="Times New Roman"/>
          <w:sz w:val="24"/>
          <w:szCs w:val="24"/>
          <w:lang w:val="ro-RO"/>
        </w:rPr>
      </w:pPr>
      <w:r w:rsidRPr="00C26A9B">
        <w:rPr>
          <w:rFonts w:ascii="Times New Roman" w:hAnsi="Times New Roman" w:cs="Times New Roman"/>
          <w:sz w:val="24"/>
          <w:szCs w:val="24"/>
          <w:lang w:val="ro-RO"/>
        </w:rPr>
        <w:t>56.2. este documentată corespunzător și este supusă unor proceduri interne speciale de aprobare și de audit;</w:t>
      </w:r>
    </w:p>
    <w:p w14:paraId="6E740A81" w14:textId="77777777" w:rsidR="00DE725C" w:rsidRPr="00C26A9B" w:rsidRDefault="00DE725C" w:rsidP="00DE725C">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56.3. se efectuează în </w:t>
      </w:r>
      <w:proofErr w:type="spellStart"/>
      <w:r w:rsidRPr="00C26A9B">
        <w:rPr>
          <w:rFonts w:ascii="Times New Roman" w:hAnsi="Times New Roman" w:cs="Times New Roman"/>
          <w:sz w:val="24"/>
          <w:szCs w:val="24"/>
          <w:lang w:val="ro-RO"/>
        </w:rPr>
        <w:t>condiţiile</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pieţei</w:t>
      </w:r>
      <w:proofErr w:type="spellEnd"/>
      <w:r w:rsidRPr="00C26A9B">
        <w:rPr>
          <w:rFonts w:ascii="Times New Roman" w:hAnsi="Times New Roman" w:cs="Times New Roman"/>
          <w:sz w:val="24"/>
          <w:szCs w:val="24"/>
          <w:lang w:val="ro-RO"/>
        </w:rPr>
        <w:t>;</w:t>
      </w:r>
    </w:p>
    <w:p w14:paraId="74C3ED8C" w14:textId="77777777" w:rsidR="00DE725C" w:rsidRPr="00C26A9B" w:rsidRDefault="00DE725C" w:rsidP="00DE725C">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56.4. riscul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generat de acoperirea internă este administrat în mod dinamic în portofoliul de tranzacţionare în limitele autorizate;</w:t>
      </w:r>
    </w:p>
    <w:p w14:paraId="30F89B2F" w14:textId="1B7D0946" w:rsidR="00DE725C" w:rsidRPr="00C26A9B" w:rsidRDefault="00DE725C" w:rsidP="00DE725C">
      <w:pPr>
        <w:rPr>
          <w:rFonts w:ascii="Times New Roman" w:hAnsi="Times New Roman" w:cs="Times New Roman"/>
          <w:sz w:val="24"/>
          <w:szCs w:val="24"/>
          <w:lang w:val="ro-RO"/>
        </w:rPr>
      </w:pPr>
      <w:r w:rsidRPr="00C26A9B">
        <w:rPr>
          <w:rFonts w:ascii="Times New Roman" w:hAnsi="Times New Roman" w:cs="Times New Roman"/>
          <w:sz w:val="24"/>
          <w:szCs w:val="24"/>
          <w:lang w:val="ro-RO"/>
        </w:rPr>
        <w:t>56.5. este atent monitorizată în conformitate cu proceduri adecvate.</w:t>
      </w:r>
    </w:p>
    <w:p w14:paraId="3860DE67" w14:textId="5FEA7A29" w:rsidR="00DE725C" w:rsidRPr="00C26A9B" w:rsidRDefault="00DE725C" w:rsidP="00DE725C">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57.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prevăzute la pct.56 se aplică fără a aduce atingere </w:t>
      </w:r>
      <w:proofErr w:type="spellStart"/>
      <w:r w:rsidRPr="00C26A9B">
        <w:rPr>
          <w:rFonts w:ascii="Times New Roman" w:hAnsi="Times New Roman" w:cs="Times New Roman"/>
          <w:bCs/>
          <w:sz w:val="24"/>
          <w:szCs w:val="24"/>
          <w:lang w:val="ro-RO"/>
        </w:rPr>
        <w:t>cerinţelor</w:t>
      </w:r>
      <w:proofErr w:type="spellEnd"/>
      <w:r w:rsidRPr="00C26A9B">
        <w:rPr>
          <w:rFonts w:ascii="Times New Roman" w:hAnsi="Times New Roman" w:cs="Times New Roman"/>
          <w:bCs/>
          <w:sz w:val="24"/>
          <w:szCs w:val="24"/>
          <w:lang w:val="ro-RO"/>
        </w:rPr>
        <w:t xml:space="preserve"> aplicabile </w:t>
      </w:r>
      <w:proofErr w:type="spellStart"/>
      <w:r w:rsidRPr="00C26A9B">
        <w:rPr>
          <w:rFonts w:ascii="Times New Roman" w:hAnsi="Times New Roman" w:cs="Times New Roman"/>
          <w:bCs/>
          <w:sz w:val="24"/>
          <w:szCs w:val="24"/>
          <w:lang w:val="ro-RO"/>
        </w:rPr>
        <w:t>poziţiei</w:t>
      </w:r>
      <w:proofErr w:type="spellEnd"/>
      <w:r w:rsidRPr="00C26A9B">
        <w:rPr>
          <w:rFonts w:ascii="Times New Roman" w:hAnsi="Times New Roman" w:cs="Times New Roman"/>
          <w:bCs/>
          <w:sz w:val="24"/>
          <w:szCs w:val="24"/>
          <w:lang w:val="ro-RO"/>
        </w:rPr>
        <w:t xml:space="preserve"> acoperite din afara portofoliului de tranzacţionare sau din portofoliul de tranzacţionare, după caz.</w:t>
      </w:r>
    </w:p>
    <w:p w14:paraId="0F1E7B6F" w14:textId="77777777" w:rsidR="00695C44" w:rsidRPr="00C26A9B" w:rsidRDefault="00695C44" w:rsidP="00695C44">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58. În cazul în care o bancă acoperă o expunere la riscul de credit sau o expunere la riscul de </w:t>
      </w:r>
      <w:proofErr w:type="spellStart"/>
      <w:r w:rsidRPr="00C26A9B">
        <w:rPr>
          <w:rFonts w:ascii="Times New Roman" w:hAnsi="Times New Roman" w:cs="Times New Roman"/>
          <w:bCs/>
          <w:sz w:val="24"/>
          <w:szCs w:val="24"/>
          <w:lang w:val="ro-RO"/>
        </w:rPr>
        <w:t>contraparte</w:t>
      </w:r>
      <w:proofErr w:type="spellEnd"/>
      <w:r w:rsidRPr="00C26A9B">
        <w:rPr>
          <w:rFonts w:ascii="Times New Roman" w:hAnsi="Times New Roman" w:cs="Times New Roman"/>
          <w:bCs/>
          <w:sz w:val="24"/>
          <w:szCs w:val="24"/>
          <w:lang w:val="ro-RO"/>
        </w:rPr>
        <w:t xml:space="preserve"> din afara portofoliului de tranzacţionare utilizând un instrument financiar derivat de credit înregistrat în portofoliul său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această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pe instrumentul financiar derivat de credit este recunoscută ca acoperire internă a expunerii la riscul de credit sau a expunerii la riscul de </w:t>
      </w:r>
      <w:proofErr w:type="spellStart"/>
      <w:r w:rsidRPr="00C26A9B">
        <w:rPr>
          <w:rFonts w:ascii="Times New Roman" w:hAnsi="Times New Roman" w:cs="Times New Roman"/>
          <w:bCs/>
          <w:sz w:val="24"/>
          <w:szCs w:val="24"/>
          <w:lang w:val="ro-RO"/>
        </w:rPr>
        <w:t>contraparte</w:t>
      </w:r>
      <w:proofErr w:type="spellEnd"/>
      <w:r w:rsidRPr="00C26A9B">
        <w:rPr>
          <w:rFonts w:ascii="Times New Roman" w:hAnsi="Times New Roman" w:cs="Times New Roman"/>
          <w:bCs/>
          <w:sz w:val="24"/>
          <w:szCs w:val="24"/>
          <w:lang w:val="ro-RO"/>
        </w:rPr>
        <w:t xml:space="preserve"> din afara portofoliului de tranzacţionare în scopul calculării cuantumurilor expunerilor ponderate la risc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la pct.130, subpct.1) din Regulamentul nr.109/2018 în cazul în care banca încheie o altă </w:t>
      </w:r>
      <w:proofErr w:type="spellStart"/>
      <w:r w:rsidRPr="00C26A9B">
        <w:rPr>
          <w:rFonts w:ascii="Times New Roman" w:hAnsi="Times New Roman" w:cs="Times New Roman"/>
          <w:bCs/>
          <w:sz w:val="24"/>
          <w:szCs w:val="24"/>
          <w:lang w:val="ro-RO"/>
        </w:rPr>
        <w:t>tranzacţie</w:t>
      </w:r>
      <w:proofErr w:type="spellEnd"/>
      <w:r w:rsidRPr="00C26A9B">
        <w:rPr>
          <w:rFonts w:ascii="Times New Roman" w:hAnsi="Times New Roman" w:cs="Times New Roman"/>
          <w:bCs/>
          <w:sz w:val="24"/>
          <w:szCs w:val="24"/>
          <w:lang w:val="ro-RO"/>
        </w:rPr>
        <w:t xml:space="preserve"> cu instrumente financiare derivate de credit cu un </w:t>
      </w:r>
      <w:proofErr w:type="spellStart"/>
      <w:r w:rsidRPr="00C26A9B">
        <w:rPr>
          <w:rFonts w:ascii="Times New Roman" w:hAnsi="Times New Roman" w:cs="Times New Roman"/>
          <w:bCs/>
          <w:sz w:val="24"/>
          <w:szCs w:val="24"/>
          <w:lang w:val="ro-RO"/>
        </w:rPr>
        <w:t>terţ</w:t>
      </w:r>
      <w:proofErr w:type="spellEnd"/>
      <w:r w:rsidRPr="00C26A9B">
        <w:rPr>
          <w:rFonts w:ascii="Times New Roman" w:hAnsi="Times New Roman" w:cs="Times New Roman"/>
          <w:bCs/>
          <w:sz w:val="24"/>
          <w:szCs w:val="24"/>
          <w:lang w:val="ro-RO"/>
        </w:rPr>
        <w:t xml:space="preserve"> furnizor de </w:t>
      </w:r>
      <w:proofErr w:type="spellStart"/>
      <w:r w:rsidRPr="00C26A9B">
        <w:rPr>
          <w:rFonts w:ascii="Times New Roman" w:hAnsi="Times New Roman" w:cs="Times New Roman"/>
          <w:bCs/>
          <w:sz w:val="24"/>
          <w:szCs w:val="24"/>
          <w:lang w:val="ro-RO"/>
        </w:rPr>
        <w:t>protecţie</w:t>
      </w:r>
      <w:proofErr w:type="spellEnd"/>
      <w:r w:rsidRPr="00C26A9B">
        <w:rPr>
          <w:rFonts w:ascii="Times New Roman" w:hAnsi="Times New Roman" w:cs="Times New Roman"/>
          <w:bCs/>
          <w:sz w:val="24"/>
          <w:szCs w:val="24"/>
          <w:lang w:val="ro-RO"/>
        </w:rPr>
        <w:t xml:space="preserve"> eligibil care îndeplinește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privind </w:t>
      </w:r>
      <w:proofErr w:type="spellStart"/>
      <w:r w:rsidRPr="00C26A9B">
        <w:rPr>
          <w:rFonts w:ascii="Times New Roman" w:hAnsi="Times New Roman" w:cs="Times New Roman"/>
          <w:bCs/>
          <w:sz w:val="24"/>
          <w:szCs w:val="24"/>
          <w:lang w:val="ro-RO"/>
        </w:rPr>
        <w:t>protecţia</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nefinanţată</w:t>
      </w:r>
      <w:proofErr w:type="spellEnd"/>
      <w:r w:rsidRPr="00C26A9B">
        <w:rPr>
          <w:rFonts w:ascii="Times New Roman" w:hAnsi="Times New Roman" w:cs="Times New Roman"/>
          <w:bCs/>
          <w:sz w:val="24"/>
          <w:szCs w:val="24"/>
          <w:lang w:val="ro-RO"/>
        </w:rPr>
        <w:t xml:space="preserve"> a creditului din afara portofoliului de tranzacţionare și compensează perfect riscul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al acoperirii interne.</w:t>
      </w:r>
    </w:p>
    <w:p w14:paraId="16DA333D" w14:textId="0E86362E" w:rsidR="0086556B" w:rsidRPr="00C26A9B" w:rsidRDefault="00695C44" w:rsidP="00695C44">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lastRenderedPageBreak/>
        <w:t xml:space="preserve">59. Atât acoperirea internă a riscului recunoscută în conformitate cu pct.58, cât și instrumentul financiar derivat de credit încheiat cu </w:t>
      </w:r>
      <w:proofErr w:type="spellStart"/>
      <w:r w:rsidRPr="00C26A9B">
        <w:rPr>
          <w:rFonts w:ascii="Times New Roman" w:hAnsi="Times New Roman" w:cs="Times New Roman"/>
          <w:bCs/>
          <w:sz w:val="24"/>
          <w:szCs w:val="24"/>
          <w:lang w:val="ro-RO"/>
        </w:rPr>
        <w:t>terţul</w:t>
      </w:r>
      <w:proofErr w:type="spellEnd"/>
      <w:r w:rsidRPr="00C26A9B">
        <w:rPr>
          <w:rFonts w:ascii="Times New Roman" w:hAnsi="Times New Roman" w:cs="Times New Roman"/>
          <w:bCs/>
          <w:sz w:val="24"/>
          <w:szCs w:val="24"/>
          <w:lang w:val="ro-RO"/>
        </w:rPr>
        <w:t xml:space="preserve"> furnizor de </w:t>
      </w:r>
      <w:proofErr w:type="spellStart"/>
      <w:r w:rsidRPr="00C26A9B">
        <w:rPr>
          <w:rFonts w:ascii="Times New Roman" w:hAnsi="Times New Roman" w:cs="Times New Roman"/>
          <w:bCs/>
          <w:sz w:val="24"/>
          <w:szCs w:val="24"/>
          <w:lang w:val="ro-RO"/>
        </w:rPr>
        <w:t>protecţie</w:t>
      </w:r>
      <w:proofErr w:type="spellEnd"/>
      <w:r w:rsidRPr="00C26A9B">
        <w:rPr>
          <w:rFonts w:ascii="Times New Roman" w:hAnsi="Times New Roman" w:cs="Times New Roman"/>
          <w:bCs/>
          <w:sz w:val="24"/>
          <w:szCs w:val="24"/>
          <w:lang w:val="ro-RO"/>
        </w:rPr>
        <w:t xml:space="preserve"> eligibil se includ în portofoliul de tranzacţionare în scopul calculării </w:t>
      </w:r>
      <w:proofErr w:type="spellStart"/>
      <w:r w:rsidRPr="00C26A9B">
        <w:rPr>
          <w:rFonts w:ascii="Times New Roman" w:hAnsi="Times New Roman" w:cs="Times New Roman"/>
          <w:bCs/>
          <w:sz w:val="24"/>
          <w:szCs w:val="24"/>
          <w:lang w:val="ro-RO"/>
        </w:rPr>
        <w:t>cerinţelor</w:t>
      </w:r>
      <w:proofErr w:type="spellEnd"/>
      <w:r w:rsidRPr="00C26A9B">
        <w:rPr>
          <w:rFonts w:ascii="Times New Roman" w:hAnsi="Times New Roman" w:cs="Times New Roman"/>
          <w:bCs/>
          <w:sz w:val="24"/>
          <w:szCs w:val="24"/>
          <w:lang w:val="ro-RO"/>
        </w:rPr>
        <w:t xml:space="preserve"> de fonduri proprii pentru riscul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În scopul calculării </w:t>
      </w:r>
      <w:proofErr w:type="spellStart"/>
      <w:r w:rsidRPr="00C26A9B">
        <w:rPr>
          <w:rFonts w:ascii="Times New Roman" w:hAnsi="Times New Roman" w:cs="Times New Roman"/>
          <w:bCs/>
          <w:sz w:val="24"/>
          <w:szCs w:val="24"/>
          <w:lang w:val="ro-RO"/>
        </w:rPr>
        <w:t>cerinţelor</w:t>
      </w:r>
      <w:proofErr w:type="spellEnd"/>
      <w:r w:rsidRPr="00C26A9B">
        <w:rPr>
          <w:rFonts w:ascii="Times New Roman" w:hAnsi="Times New Roman" w:cs="Times New Roman"/>
          <w:bCs/>
          <w:sz w:val="24"/>
          <w:szCs w:val="24"/>
          <w:lang w:val="ro-RO"/>
        </w:rPr>
        <w:t xml:space="preserve"> de fonduri proprii pentru riscul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utilizând abordarea </w:t>
      </w:r>
      <w:proofErr w:type="spellStart"/>
      <w:r w:rsidRPr="00C26A9B">
        <w:rPr>
          <w:rFonts w:ascii="Times New Roman" w:hAnsi="Times New Roman" w:cs="Times New Roman"/>
          <w:bCs/>
          <w:sz w:val="24"/>
          <w:szCs w:val="24"/>
          <w:lang w:val="ro-RO"/>
        </w:rPr>
        <w:t>menţionată</w:t>
      </w:r>
      <w:proofErr w:type="spellEnd"/>
      <w:r w:rsidRPr="00C26A9B">
        <w:rPr>
          <w:rFonts w:ascii="Times New Roman" w:hAnsi="Times New Roman" w:cs="Times New Roman"/>
          <w:bCs/>
          <w:sz w:val="24"/>
          <w:szCs w:val="24"/>
          <w:lang w:val="ro-RO"/>
        </w:rPr>
        <w:t xml:space="preserve"> </w:t>
      </w:r>
      <w:r w:rsidRPr="00597363">
        <w:rPr>
          <w:rFonts w:ascii="Times New Roman" w:hAnsi="Times New Roman" w:cs="Times New Roman"/>
          <w:bCs/>
          <w:sz w:val="24"/>
          <w:szCs w:val="24"/>
          <w:lang w:val="ro-RO"/>
        </w:rPr>
        <w:t xml:space="preserve">la </w:t>
      </w:r>
      <w:r w:rsidR="00597363" w:rsidRPr="00597363">
        <w:rPr>
          <w:rFonts w:ascii="Times New Roman" w:hAnsi="Times New Roman" w:cs="Times New Roman"/>
          <w:bCs/>
          <w:sz w:val="24"/>
          <w:szCs w:val="24"/>
          <w:lang w:val="ro-RO"/>
        </w:rPr>
        <w:t>subpct.69.2</w:t>
      </w:r>
      <w:r w:rsidRPr="00597363">
        <w:rPr>
          <w:rFonts w:ascii="Times New Roman" w:hAnsi="Times New Roman" w:cs="Times New Roman"/>
          <w:bCs/>
          <w:sz w:val="24"/>
          <w:szCs w:val="24"/>
          <w:lang w:val="ro-RO"/>
        </w:rPr>
        <w:t>, ambele</w:t>
      </w:r>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se atribuie aceluiași birou de tranzacţionare care gestionează riscuri similare.</w:t>
      </w:r>
    </w:p>
    <w:p w14:paraId="5C6DCE02" w14:textId="4EC15DEA" w:rsidR="00695C44" w:rsidRPr="00C26A9B" w:rsidRDefault="00695C44" w:rsidP="00695C44">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60. În cazul în care o bancă acoperă o expunere la riscul privind titlurile de capital din afara portofoliului de tranzacţionare utilizând un instrument financiar derivat pe titluri de capital înregistrat în portofoliul său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această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pe instrumentul financiar derivat pe titluri de capital este recunoscută ca acoperire internă a expunerii la riscul privind titlurile de capital din afara portofoliului de tranzacţionare în scopul calculării cuantumurilor expunerilor ponderate la risc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la pct.130, subpct.1) din Regulamentul nr.109/2018 în cazul în care banca încheie o altă </w:t>
      </w:r>
      <w:proofErr w:type="spellStart"/>
      <w:r w:rsidRPr="00C26A9B">
        <w:rPr>
          <w:rFonts w:ascii="Times New Roman" w:hAnsi="Times New Roman" w:cs="Times New Roman"/>
          <w:bCs/>
          <w:sz w:val="24"/>
          <w:szCs w:val="24"/>
          <w:lang w:val="ro-RO"/>
        </w:rPr>
        <w:t>tranzacţie</w:t>
      </w:r>
      <w:proofErr w:type="spellEnd"/>
      <w:r w:rsidRPr="00C26A9B">
        <w:rPr>
          <w:rFonts w:ascii="Times New Roman" w:hAnsi="Times New Roman" w:cs="Times New Roman"/>
          <w:bCs/>
          <w:sz w:val="24"/>
          <w:szCs w:val="24"/>
          <w:lang w:val="ro-RO"/>
        </w:rPr>
        <w:t xml:space="preserve"> cu instrumente financiare derivate pe titluri de capital cu un </w:t>
      </w:r>
      <w:proofErr w:type="spellStart"/>
      <w:r w:rsidRPr="00C26A9B">
        <w:rPr>
          <w:rFonts w:ascii="Times New Roman" w:hAnsi="Times New Roman" w:cs="Times New Roman"/>
          <w:bCs/>
          <w:sz w:val="24"/>
          <w:szCs w:val="24"/>
          <w:lang w:val="ro-RO"/>
        </w:rPr>
        <w:t>terţ</w:t>
      </w:r>
      <w:proofErr w:type="spellEnd"/>
      <w:r w:rsidRPr="00C26A9B">
        <w:rPr>
          <w:rFonts w:ascii="Times New Roman" w:hAnsi="Times New Roman" w:cs="Times New Roman"/>
          <w:bCs/>
          <w:sz w:val="24"/>
          <w:szCs w:val="24"/>
          <w:lang w:val="ro-RO"/>
        </w:rPr>
        <w:t xml:space="preserve"> furnizor de </w:t>
      </w:r>
      <w:proofErr w:type="spellStart"/>
      <w:r w:rsidRPr="00C26A9B">
        <w:rPr>
          <w:rFonts w:ascii="Times New Roman" w:hAnsi="Times New Roman" w:cs="Times New Roman"/>
          <w:bCs/>
          <w:sz w:val="24"/>
          <w:szCs w:val="24"/>
          <w:lang w:val="ro-RO"/>
        </w:rPr>
        <w:t>protecţie</w:t>
      </w:r>
      <w:proofErr w:type="spellEnd"/>
      <w:r w:rsidRPr="00C26A9B">
        <w:rPr>
          <w:rFonts w:ascii="Times New Roman" w:hAnsi="Times New Roman" w:cs="Times New Roman"/>
          <w:bCs/>
          <w:sz w:val="24"/>
          <w:szCs w:val="24"/>
          <w:lang w:val="ro-RO"/>
        </w:rPr>
        <w:t xml:space="preserve"> eligibil care îndeplinește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privind </w:t>
      </w:r>
      <w:proofErr w:type="spellStart"/>
      <w:r w:rsidRPr="00C26A9B">
        <w:rPr>
          <w:rFonts w:ascii="Times New Roman" w:hAnsi="Times New Roman" w:cs="Times New Roman"/>
          <w:bCs/>
          <w:sz w:val="24"/>
          <w:szCs w:val="24"/>
          <w:lang w:val="ro-RO"/>
        </w:rPr>
        <w:t>protecţia</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nefinanţată</w:t>
      </w:r>
      <w:proofErr w:type="spellEnd"/>
      <w:r w:rsidRPr="00C26A9B">
        <w:rPr>
          <w:rFonts w:ascii="Times New Roman" w:hAnsi="Times New Roman" w:cs="Times New Roman"/>
          <w:bCs/>
          <w:sz w:val="24"/>
          <w:szCs w:val="24"/>
          <w:lang w:val="ro-RO"/>
        </w:rPr>
        <w:t xml:space="preserve"> a creditului din afara portofoliului de tranzacţionare și compensează perfect riscul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al acoperirii interne.</w:t>
      </w:r>
    </w:p>
    <w:p w14:paraId="66D9EBF7" w14:textId="4DD93284" w:rsidR="00695C44" w:rsidRPr="00C26A9B" w:rsidRDefault="00695C44" w:rsidP="00695C44">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61. Atât acoperirea internă a riscului recunoscută în conformitate cu pct.60, cât și instrumentul financiar derivat pe titluri de capital încheiat cu </w:t>
      </w:r>
      <w:proofErr w:type="spellStart"/>
      <w:r w:rsidRPr="00C26A9B">
        <w:rPr>
          <w:rFonts w:ascii="Times New Roman" w:hAnsi="Times New Roman" w:cs="Times New Roman"/>
          <w:bCs/>
          <w:sz w:val="24"/>
          <w:szCs w:val="24"/>
          <w:lang w:val="ro-RO"/>
        </w:rPr>
        <w:t>terţul</w:t>
      </w:r>
      <w:proofErr w:type="spellEnd"/>
      <w:r w:rsidRPr="00C26A9B">
        <w:rPr>
          <w:rFonts w:ascii="Times New Roman" w:hAnsi="Times New Roman" w:cs="Times New Roman"/>
          <w:bCs/>
          <w:sz w:val="24"/>
          <w:szCs w:val="24"/>
          <w:lang w:val="ro-RO"/>
        </w:rPr>
        <w:t xml:space="preserve"> furnizor de </w:t>
      </w:r>
      <w:proofErr w:type="spellStart"/>
      <w:r w:rsidRPr="00C26A9B">
        <w:rPr>
          <w:rFonts w:ascii="Times New Roman" w:hAnsi="Times New Roman" w:cs="Times New Roman"/>
          <w:bCs/>
          <w:sz w:val="24"/>
          <w:szCs w:val="24"/>
          <w:lang w:val="ro-RO"/>
        </w:rPr>
        <w:t>protecţie</w:t>
      </w:r>
      <w:proofErr w:type="spellEnd"/>
      <w:r w:rsidRPr="00C26A9B">
        <w:rPr>
          <w:rFonts w:ascii="Times New Roman" w:hAnsi="Times New Roman" w:cs="Times New Roman"/>
          <w:bCs/>
          <w:sz w:val="24"/>
          <w:szCs w:val="24"/>
          <w:lang w:val="ro-RO"/>
        </w:rPr>
        <w:t xml:space="preserve"> eligibil se includ în portofoliul de tranzacţionare în scopul calculării </w:t>
      </w:r>
      <w:proofErr w:type="spellStart"/>
      <w:r w:rsidRPr="00C26A9B">
        <w:rPr>
          <w:rFonts w:ascii="Times New Roman" w:hAnsi="Times New Roman" w:cs="Times New Roman"/>
          <w:bCs/>
          <w:sz w:val="24"/>
          <w:szCs w:val="24"/>
          <w:lang w:val="ro-RO"/>
        </w:rPr>
        <w:t>cerinţelor</w:t>
      </w:r>
      <w:proofErr w:type="spellEnd"/>
      <w:r w:rsidRPr="00C26A9B">
        <w:rPr>
          <w:rFonts w:ascii="Times New Roman" w:hAnsi="Times New Roman" w:cs="Times New Roman"/>
          <w:bCs/>
          <w:sz w:val="24"/>
          <w:szCs w:val="24"/>
          <w:lang w:val="ro-RO"/>
        </w:rPr>
        <w:t xml:space="preserve"> de fonduri proprii pentru riscul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În scopul calculării </w:t>
      </w:r>
      <w:proofErr w:type="spellStart"/>
      <w:r w:rsidRPr="00C26A9B">
        <w:rPr>
          <w:rFonts w:ascii="Times New Roman" w:hAnsi="Times New Roman" w:cs="Times New Roman"/>
          <w:bCs/>
          <w:sz w:val="24"/>
          <w:szCs w:val="24"/>
          <w:lang w:val="ro-RO"/>
        </w:rPr>
        <w:t>cerinţelor</w:t>
      </w:r>
      <w:proofErr w:type="spellEnd"/>
      <w:r w:rsidRPr="00C26A9B">
        <w:rPr>
          <w:rFonts w:ascii="Times New Roman" w:hAnsi="Times New Roman" w:cs="Times New Roman"/>
          <w:bCs/>
          <w:sz w:val="24"/>
          <w:szCs w:val="24"/>
          <w:lang w:val="ro-RO"/>
        </w:rPr>
        <w:t xml:space="preserve"> de fonduri proprii pentru riscul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utilizând abordarea </w:t>
      </w:r>
      <w:proofErr w:type="spellStart"/>
      <w:r w:rsidRPr="00C26A9B">
        <w:rPr>
          <w:rFonts w:ascii="Times New Roman" w:hAnsi="Times New Roman" w:cs="Times New Roman"/>
          <w:bCs/>
          <w:sz w:val="24"/>
          <w:szCs w:val="24"/>
          <w:lang w:val="ro-RO"/>
        </w:rPr>
        <w:t>menţionată</w:t>
      </w:r>
      <w:proofErr w:type="spellEnd"/>
      <w:r w:rsidRPr="00C26A9B">
        <w:rPr>
          <w:rFonts w:ascii="Times New Roman" w:hAnsi="Times New Roman" w:cs="Times New Roman"/>
          <w:bCs/>
          <w:sz w:val="24"/>
          <w:szCs w:val="24"/>
          <w:lang w:val="ro-RO"/>
        </w:rPr>
        <w:t xml:space="preserve"> </w:t>
      </w:r>
      <w:r w:rsidRPr="00597363">
        <w:rPr>
          <w:rFonts w:ascii="Times New Roman" w:hAnsi="Times New Roman" w:cs="Times New Roman"/>
          <w:bCs/>
          <w:sz w:val="24"/>
          <w:szCs w:val="24"/>
          <w:lang w:val="ro-RO"/>
        </w:rPr>
        <w:t xml:space="preserve">la </w:t>
      </w:r>
      <w:r w:rsidR="00597363" w:rsidRPr="00CC1E9B">
        <w:rPr>
          <w:rFonts w:ascii="Times New Roman" w:hAnsi="Times New Roman" w:cs="Times New Roman"/>
          <w:bCs/>
          <w:sz w:val="24"/>
          <w:szCs w:val="24"/>
          <w:lang w:val="ro-RO"/>
        </w:rPr>
        <w:t>subpct.69.2</w:t>
      </w:r>
      <w:r w:rsidRPr="00597363">
        <w:rPr>
          <w:rFonts w:ascii="Times New Roman" w:hAnsi="Times New Roman" w:cs="Times New Roman"/>
          <w:bCs/>
          <w:sz w:val="24"/>
          <w:szCs w:val="24"/>
          <w:lang w:val="ro-RO"/>
        </w:rPr>
        <w:t>,</w:t>
      </w:r>
      <w:r w:rsidRPr="00C26A9B">
        <w:rPr>
          <w:rFonts w:ascii="Times New Roman" w:hAnsi="Times New Roman" w:cs="Times New Roman"/>
          <w:bCs/>
          <w:sz w:val="24"/>
          <w:szCs w:val="24"/>
          <w:lang w:val="ro-RO"/>
        </w:rPr>
        <w:t xml:space="preserve"> ambele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se atribuie aceluiași birou de tranzacţionare care gestionează riscuri similare.</w:t>
      </w:r>
    </w:p>
    <w:p w14:paraId="2EB74903" w14:textId="4F369ADD" w:rsidR="00695C44" w:rsidRPr="00C26A9B" w:rsidRDefault="00695C44" w:rsidP="00695C44">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62. În sensul pct.59-61, </w:t>
      </w:r>
      <w:proofErr w:type="spellStart"/>
      <w:r w:rsidRPr="00C26A9B">
        <w:rPr>
          <w:rFonts w:ascii="Times New Roman" w:hAnsi="Times New Roman" w:cs="Times New Roman"/>
          <w:bCs/>
          <w:sz w:val="24"/>
          <w:szCs w:val="24"/>
          <w:lang w:val="ro-RO"/>
        </w:rPr>
        <w:t>tranzacţia</w:t>
      </w:r>
      <w:proofErr w:type="spellEnd"/>
      <w:r w:rsidRPr="00C26A9B">
        <w:rPr>
          <w:rFonts w:ascii="Times New Roman" w:hAnsi="Times New Roman" w:cs="Times New Roman"/>
          <w:bCs/>
          <w:sz w:val="24"/>
          <w:szCs w:val="24"/>
          <w:lang w:val="ro-RO"/>
        </w:rPr>
        <w:t xml:space="preserve"> cu instrumente financiare derivate de credit sau pe titluri de capital încheiată de o bancă poate fi compusă din mai multe </w:t>
      </w:r>
      <w:proofErr w:type="spellStart"/>
      <w:r w:rsidRPr="00C26A9B">
        <w:rPr>
          <w:rFonts w:ascii="Times New Roman" w:hAnsi="Times New Roman" w:cs="Times New Roman"/>
          <w:bCs/>
          <w:sz w:val="24"/>
          <w:szCs w:val="24"/>
          <w:lang w:val="ro-RO"/>
        </w:rPr>
        <w:t>tranzacţii</w:t>
      </w:r>
      <w:proofErr w:type="spellEnd"/>
      <w:r w:rsidRPr="00C26A9B">
        <w:rPr>
          <w:rFonts w:ascii="Times New Roman" w:hAnsi="Times New Roman" w:cs="Times New Roman"/>
          <w:bCs/>
          <w:sz w:val="24"/>
          <w:szCs w:val="24"/>
          <w:lang w:val="ro-RO"/>
        </w:rPr>
        <w:t xml:space="preserve"> cu mai </w:t>
      </w:r>
      <w:proofErr w:type="spellStart"/>
      <w:r w:rsidRPr="00C26A9B">
        <w:rPr>
          <w:rFonts w:ascii="Times New Roman" w:hAnsi="Times New Roman" w:cs="Times New Roman"/>
          <w:bCs/>
          <w:sz w:val="24"/>
          <w:szCs w:val="24"/>
          <w:lang w:val="ro-RO"/>
        </w:rPr>
        <w:t>mulţi</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terţi</w:t>
      </w:r>
      <w:proofErr w:type="spellEnd"/>
      <w:r w:rsidRPr="00C26A9B">
        <w:rPr>
          <w:rFonts w:ascii="Times New Roman" w:hAnsi="Times New Roman" w:cs="Times New Roman"/>
          <w:bCs/>
          <w:sz w:val="24"/>
          <w:szCs w:val="24"/>
          <w:lang w:val="ro-RO"/>
        </w:rPr>
        <w:t xml:space="preserve"> furnizori de </w:t>
      </w:r>
      <w:proofErr w:type="spellStart"/>
      <w:r w:rsidRPr="00C26A9B">
        <w:rPr>
          <w:rFonts w:ascii="Times New Roman" w:hAnsi="Times New Roman" w:cs="Times New Roman"/>
          <w:bCs/>
          <w:sz w:val="24"/>
          <w:szCs w:val="24"/>
          <w:lang w:val="ro-RO"/>
        </w:rPr>
        <w:t>protecţie</w:t>
      </w:r>
      <w:proofErr w:type="spellEnd"/>
      <w:r w:rsidRPr="00C26A9B">
        <w:rPr>
          <w:rFonts w:ascii="Times New Roman" w:hAnsi="Times New Roman" w:cs="Times New Roman"/>
          <w:bCs/>
          <w:sz w:val="24"/>
          <w:szCs w:val="24"/>
          <w:lang w:val="ro-RO"/>
        </w:rPr>
        <w:t xml:space="preserve"> eligibili, cu </w:t>
      </w:r>
      <w:proofErr w:type="spellStart"/>
      <w:r w:rsidRPr="00C26A9B">
        <w:rPr>
          <w:rFonts w:ascii="Times New Roman" w:hAnsi="Times New Roman" w:cs="Times New Roman"/>
          <w:bCs/>
          <w:sz w:val="24"/>
          <w:szCs w:val="24"/>
          <w:lang w:val="ro-RO"/>
        </w:rPr>
        <w:t>condiţia</w:t>
      </w:r>
      <w:proofErr w:type="spellEnd"/>
      <w:r w:rsidRPr="00C26A9B">
        <w:rPr>
          <w:rFonts w:ascii="Times New Roman" w:hAnsi="Times New Roman" w:cs="Times New Roman"/>
          <w:bCs/>
          <w:sz w:val="24"/>
          <w:szCs w:val="24"/>
          <w:lang w:val="ro-RO"/>
        </w:rPr>
        <w:t xml:space="preserve"> ca </w:t>
      </w:r>
      <w:proofErr w:type="spellStart"/>
      <w:r w:rsidRPr="00C26A9B">
        <w:rPr>
          <w:rFonts w:ascii="Times New Roman" w:hAnsi="Times New Roman" w:cs="Times New Roman"/>
          <w:bCs/>
          <w:sz w:val="24"/>
          <w:szCs w:val="24"/>
          <w:lang w:val="ro-RO"/>
        </w:rPr>
        <w:t>tranzacţia</w:t>
      </w:r>
      <w:proofErr w:type="spellEnd"/>
      <w:r w:rsidRPr="00C26A9B">
        <w:rPr>
          <w:rFonts w:ascii="Times New Roman" w:hAnsi="Times New Roman" w:cs="Times New Roman"/>
          <w:bCs/>
          <w:sz w:val="24"/>
          <w:szCs w:val="24"/>
          <w:lang w:val="ro-RO"/>
        </w:rPr>
        <w:t xml:space="preserve"> agregată rezultată să îndeplinească </w:t>
      </w:r>
      <w:proofErr w:type="spellStart"/>
      <w:r w:rsidRPr="00C26A9B">
        <w:rPr>
          <w:rFonts w:ascii="Times New Roman" w:hAnsi="Times New Roman" w:cs="Times New Roman"/>
          <w:bCs/>
          <w:sz w:val="24"/>
          <w:szCs w:val="24"/>
          <w:lang w:val="ro-RO"/>
        </w:rPr>
        <w:t>condiţiile</w:t>
      </w:r>
      <w:proofErr w:type="spellEnd"/>
      <w:r w:rsidRPr="00C26A9B">
        <w:rPr>
          <w:rFonts w:ascii="Times New Roman" w:hAnsi="Times New Roman" w:cs="Times New Roman"/>
          <w:bCs/>
          <w:sz w:val="24"/>
          <w:szCs w:val="24"/>
          <w:lang w:val="ro-RO"/>
        </w:rPr>
        <w:t xml:space="preserve"> prevăzute la punctele respective.</w:t>
      </w:r>
    </w:p>
    <w:p w14:paraId="3F775ED3" w14:textId="58BB8815" w:rsidR="00026783" w:rsidRPr="00C26A9B" w:rsidRDefault="00026783" w:rsidP="00CF4EEE">
      <w:pPr>
        <w:rPr>
          <w:rFonts w:ascii="Times New Roman" w:hAnsi="Times New Roman" w:cs="Times New Roman"/>
          <w:bCs/>
          <w:sz w:val="24"/>
          <w:szCs w:val="24"/>
          <w:lang w:val="ro-RO"/>
        </w:rPr>
      </w:pPr>
      <w:r w:rsidRPr="00101345">
        <w:rPr>
          <w:rFonts w:ascii="Times New Roman" w:hAnsi="Times New Roman" w:cs="Times New Roman"/>
          <w:bCs/>
          <w:sz w:val="24"/>
          <w:szCs w:val="24"/>
          <w:lang w:val="ro-RO"/>
        </w:rPr>
        <w:t>63.</w:t>
      </w:r>
      <w:r w:rsidRPr="00C26A9B">
        <w:rPr>
          <w:rFonts w:ascii="Times New Roman" w:hAnsi="Times New Roman" w:cs="Times New Roman"/>
          <w:bCs/>
          <w:sz w:val="24"/>
          <w:szCs w:val="24"/>
          <w:lang w:val="ro-RO"/>
        </w:rPr>
        <w:t xml:space="preserve"> În cazul în care o bancă acoperă expuneri la riscul de rată a dobânzii din afara portofoliului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utilizând o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de risc de rată a dobânzii înregistrată în portofoliul său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această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de risc de rată a dobânzii este considerată a fi o acoperire internă în scopul evaluării riscului de rată a dobânzii rezultat din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din afara portofoliului de tranzacţionare în conformitate cu </w:t>
      </w:r>
      <w:r w:rsidR="00CF4EEE">
        <w:rPr>
          <w:rFonts w:ascii="Times New Roman" w:hAnsi="Times New Roman" w:cs="Times New Roman"/>
          <w:bCs/>
          <w:sz w:val="24"/>
          <w:szCs w:val="24"/>
          <w:lang w:val="ro-RO"/>
        </w:rPr>
        <w:t>t</w:t>
      </w:r>
      <w:r w:rsidR="00CF4EEE" w:rsidRPr="00CF4EEE">
        <w:rPr>
          <w:rFonts w:ascii="Times New Roman" w:hAnsi="Times New Roman" w:cs="Times New Roman"/>
          <w:bCs/>
          <w:sz w:val="24"/>
          <w:szCs w:val="24"/>
          <w:lang w:val="ro-RO"/>
        </w:rPr>
        <w:t xml:space="preserve">itlul V </w:t>
      </w:r>
      <w:r w:rsidR="00CF4EEE">
        <w:rPr>
          <w:rFonts w:ascii="Times New Roman" w:hAnsi="Times New Roman" w:cs="Times New Roman"/>
          <w:bCs/>
          <w:sz w:val="24"/>
          <w:szCs w:val="24"/>
          <w:lang w:val="ro-RO"/>
        </w:rPr>
        <w:t>c</w:t>
      </w:r>
      <w:r w:rsidR="00CF4EEE" w:rsidRPr="00CF4EEE">
        <w:rPr>
          <w:rFonts w:ascii="Times New Roman" w:hAnsi="Times New Roman" w:cs="Times New Roman"/>
          <w:bCs/>
          <w:sz w:val="24"/>
          <w:szCs w:val="24"/>
          <w:lang w:val="ro-RO"/>
        </w:rPr>
        <w:t xml:space="preserve">apitolul II </w:t>
      </w:r>
      <w:r w:rsidR="00CF4EEE">
        <w:rPr>
          <w:rFonts w:ascii="Times New Roman" w:hAnsi="Times New Roman" w:cs="Times New Roman"/>
          <w:bCs/>
          <w:sz w:val="24"/>
          <w:szCs w:val="24"/>
          <w:lang w:val="ro-RO"/>
        </w:rPr>
        <w:t>s</w:t>
      </w:r>
      <w:r w:rsidR="00CF4EEE" w:rsidRPr="00CF4EEE">
        <w:rPr>
          <w:rFonts w:ascii="Times New Roman" w:hAnsi="Times New Roman" w:cs="Times New Roman"/>
          <w:bCs/>
          <w:sz w:val="24"/>
          <w:szCs w:val="24"/>
          <w:lang w:val="ro-RO"/>
        </w:rPr>
        <w:t>ecțiunea 5</w:t>
      </w:r>
      <w:r w:rsidR="00CF4EEE">
        <w:rPr>
          <w:rFonts w:ascii="Times New Roman" w:hAnsi="Times New Roman" w:cs="Times New Roman"/>
          <w:bCs/>
          <w:sz w:val="24"/>
          <w:szCs w:val="24"/>
          <w:lang w:val="ro-RO"/>
        </w:rPr>
        <w:t xml:space="preserve"> din Regulamentul </w:t>
      </w:r>
      <w:r w:rsidR="00CF4EEE" w:rsidRPr="00CF4EEE">
        <w:rPr>
          <w:rFonts w:ascii="Times New Roman" w:hAnsi="Times New Roman" w:cs="Times New Roman"/>
          <w:bCs/>
          <w:sz w:val="24"/>
          <w:szCs w:val="24"/>
          <w:lang w:val="ro-RO"/>
        </w:rPr>
        <w:t>privind</w:t>
      </w:r>
      <w:r w:rsidR="00CF4EEE">
        <w:rPr>
          <w:rFonts w:ascii="Times New Roman" w:hAnsi="Times New Roman" w:cs="Times New Roman"/>
          <w:bCs/>
          <w:sz w:val="24"/>
          <w:szCs w:val="24"/>
          <w:lang w:val="ro-RO"/>
        </w:rPr>
        <w:t xml:space="preserve"> </w:t>
      </w:r>
      <w:r w:rsidR="00CF4EEE" w:rsidRPr="00CF4EEE">
        <w:rPr>
          <w:rFonts w:ascii="Times New Roman" w:hAnsi="Times New Roman" w:cs="Times New Roman"/>
          <w:bCs/>
          <w:sz w:val="24"/>
          <w:szCs w:val="24"/>
          <w:lang w:val="ro-RO"/>
        </w:rPr>
        <w:t xml:space="preserve">cadrul de administrare a </w:t>
      </w:r>
      <w:proofErr w:type="spellStart"/>
      <w:r w:rsidR="00CF4EEE" w:rsidRPr="00CF4EEE">
        <w:rPr>
          <w:rFonts w:ascii="Times New Roman" w:hAnsi="Times New Roman" w:cs="Times New Roman"/>
          <w:bCs/>
          <w:sz w:val="24"/>
          <w:szCs w:val="24"/>
          <w:lang w:val="ro-RO"/>
        </w:rPr>
        <w:t>activităţii</w:t>
      </w:r>
      <w:proofErr w:type="spellEnd"/>
      <w:r w:rsidR="00CF4EEE" w:rsidRPr="00CF4EEE">
        <w:rPr>
          <w:rFonts w:ascii="Times New Roman" w:hAnsi="Times New Roman" w:cs="Times New Roman"/>
          <w:bCs/>
          <w:sz w:val="24"/>
          <w:szCs w:val="24"/>
          <w:lang w:val="ro-RO"/>
        </w:rPr>
        <w:t xml:space="preserve"> băncilor</w:t>
      </w:r>
      <w:r w:rsidR="00CF4EEE">
        <w:rPr>
          <w:rFonts w:ascii="Times New Roman" w:hAnsi="Times New Roman" w:cs="Times New Roman"/>
          <w:bCs/>
          <w:sz w:val="24"/>
          <w:szCs w:val="24"/>
          <w:lang w:val="ro-RO"/>
        </w:rPr>
        <w:t xml:space="preserve">, aprobat prin HCE al BNM nr.322/2018 și </w:t>
      </w:r>
      <w:r w:rsidRPr="00C26A9B">
        <w:rPr>
          <w:rFonts w:ascii="Times New Roman" w:hAnsi="Times New Roman" w:cs="Times New Roman"/>
          <w:bCs/>
          <w:sz w:val="24"/>
          <w:szCs w:val="24"/>
          <w:lang w:val="ro-RO"/>
        </w:rPr>
        <w:t xml:space="preserve">art.101 din Legea nr.202/2017 dacă sunt îndeplinite următoarele </w:t>
      </w:r>
      <w:proofErr w:type="spellStart"/>
      <w:r w:rsidRPr="00C26A9B">
        <w:rPr>
          <w:rFonts w:ascii="Times New Roman" w:hAnsi="Times New Roman" w:cs="Times New Roman"/>
          <w:bCs/>
          <w:sz w:val="24"/>
          <w:szCs w:val="24"/>
          <w:lang w:val="ro-RO"/>
        </w:rPr>
        <w:t>condiţii</w:t>
      </w:r>
      <w:proofErr w:type="spellEnd"/>
      <w:r w:rsidRPr="00C26A9B">
        <w:rPr>
          <w:rFonts w:ascii="Times New Roman" w:hAnsi="Times New Roman" w:cs="Times New Roman"/>
          <w:bCs/>
          <w:sz w:val="24"/>
          <w:szCs w:val="24"/>
          <w:lang w:val="ro-RO"/>
        </w:rPr>
        <w:t>:</w:t>
      </w:r>
    </w:p>
    <w:p w14:paraId="617DA0AA" w14:textId="1694FC71" w:rsidR="00026783" w:rsidRPr="00C26A9B" w:rsidRDefault="00026783" w:rsidP="00026783">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63.1. pentru a calcula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fonduri proprii pentru riscul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utilizând abordările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la</w:t>
      </w:r>
      <w:r w:rsidR="001160F1">
        <w:rPr>
          <w:rFonts w:ascii="Times New Roman" w:hAnsi="Times New Roman" w:cs="Times New Roman"/>
          <w:bCs/>
          <w:sz w:val="24"/>
          <w:szCs w:val="24"/>
          <w:lang w:val="ro-RO"/>
        </w:rPr>
        <w:t xml:space="preserve"> </w:t>
      </w:r>
      <w:r w:rsidR="009446DE">
        <w:rPr>
          <w:rFonts w:ascii="Times New Roman" w:hAnsi="Times New Roman" w:cs="Times New Roman"/>
          <w:bCs/>
          <w:sz w:val="24"/>
          <w:szCs w:val="24"/>
          <w:lang w:val="ro-RO"/>
        </w:rPr>
        <w:t>subpct.69.1, 69.2 și 69.3</w:t>
      </w:r>
      <w:r w:rsidRPr="00CC1E9B">
        <w:rPr>
          <w:rFonts w:ascii="Times New Roman" w:hAnsi="Times New Roman" w:cs="Times New Roman"/>
          <w:bCs/>
          <w:sz w:val="24"/>
          <w:szCs w:val="24"/>
          <w:lang w:val="ro-RO"/>
        </w:rPr>
        <w:t>,</w:t>
      </w:r>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poziţia</w:t>
      </w:r>
      <w:proofErr w:type="spellEnd"/>
      <w:r w:rsidRPr="00C26A9B">
        <w:rPr>
          <w:rFonts w:ascii="Times New Roman" w:hAnsi="Times New Roman" w:cs="Times New Roman"/>
          <w:bCs/>
          <w:sz w:val="24"/>
          <w:szCs w:val="24"/>
          <w:lang w:val="ro-RO"/>
        </w:rPr>
        <w:t xml:space="preserve"> a fost atribuită unui portofoliu distinct de celelalte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din portofoliul de tranzacţionare, a cărui strategie de afaceri este dedicată exclusiv gestionării și</w:t>
      </w:r>
    </w:p>
    <w:p w14:paraId="2B8975B2" w14:textId="77777777" w:rsidR="00026783" w:rsidRPr="00C26A9B" w:rsidRDefault="00026783" w:rsidP="00026783">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diminuării riscului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aferent acoperirilor interne ale expunerii la riscul de rată a dobânzii;</w:t>
      </w:r>
    </w:p>
    <w:p w14:paraId="537502A2" w14:textId="221590E5" w:rsidR="00026783" w:rsidRPr="00C26A9B" w:rsidRDefault="00026783" w:rsidP="00026783">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63.2. pentru a calcula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fonduri proprii pentru riscul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utilizând abordarea </w:t>
      </w:r>
      <w:proofErr w:type="spellStart"/>
      <w:r w:rsidRPr="00C26A9B">
        <w:rPr>
          <w:rFonts w:ascii="Times New Roman" w:hAnsi="Times New Roman" w:cs="Times New Roman"/>
          <w:bCs/>
          <w:sz w:val="24"/>
          <w:szCs w:val="24"/>
          <w:lang w:val="ro-RO"/>
        </w:rPr>
        <w:t>menţionată</w:t>
      </w:r>
      <w:proofErr w:type="spellEnd"/>
      <w:r w:rsidRPr="00C26A9B">
        <w:rPr>
          <w:rFonts w:ascii="Times New Roman" w:hAnsi="Times New Roman" w:cs="Times New Roman"/>
          <w:bCs/>
          <w:sz w:val="24"/>
          <w:szCs w:val="24"/>
          <w:lang w:val="ro-RO"/>
        </w:rPr>
        <w:t xml:space="preserve"> </w:t>
      </w:r>
      <w:r w:rsidRPr="009446DE">
        <w:rPr>
          <w:rFonts w:ascii="Times New Roman" w:hAnsi="Times New Roman" w:cs="Times New Roman"/>
          <w:bCs/>
          <w:sz w:val="24"/>
          <w:szCs w:val="24"/>
          <w:lang w:val="ro-RO"/>
        </w:rPr>
        <w:t>la</w:t>
      </w:r>
      <w:r w:rsidR="0083411F">
        <w:rPr>
          <w:rFonts w:ascii="Times New Roman" w:hAnsi="Times New Roman" w:cs="Times New Roman"/>
          <w:bCs/>
          <w:sz w:val="24"/>
          <w:szCs w:val="24"/>
          <w:lang w:val="ro-RO"/>
        </w:rPr>
        <w:t xml:space="preserve"> </w:t>
      </w:r>
      <w:r w:rsidR="009446DE">
        <w:rPr>
          <w:rFonts w:ascii="Times New Roman" w:hAnsi="Times New Roman" w:cs="Times New Roman"/>
          <w:bCs/>
          <w:sz w:val="24"/>
          <w:szCs w:val="24"/>
          <w:lang w:val="ro-RO"/>
        </w:rPr>
        <w:t>subpct.69.2</w:t>
      </w:r>
      <w:r w:rsidRPr="009446DE">
        <w:rPr>
          <w:rFonts w:ascii="Times New Roman" w:hAnsi="Times New Roman" w:cs="Times New Roman"/>
          <w:bCs/>
          <w:sz w:val="24"/>
          <w:szCs w:val="24"/>
          <w:lang w:val="ro-RO"/>
        </w:rPr>
        <w:t xml:space="preserve">, </w:t>
      </w:r>
      <w:proofErr w:type="spellStart"/>
      <w:r w:rsidRPr="009446DE">
        <w:rPr>
          <w:rFonts w:ascii="Times New Roman" w:hAnsi="Times New Roman" w:cs="Times New Roman"/>
          <w:bCs/>
          <w:sz w:val="24"/>
          <w:szCs w:val="24"/>
          <w:lang w:val="ro-RO"/>
        </w:rPr>
        <w:t>poziţia</w:t>
      </w:r>
      <w:proofErr w:type="spellEnd"/>
      <w:r w:rsidRPr="00C26A9B">
        <w:rPr>
          <w:rFonts w:ascii="Times New Roman" w:hAnsi="Times New Roman" w:cs="Times New Roman"/>
          <w:bCs/>
          <w:sz w:val="24"/>
          <w:szCs w:val="24"/>
          <w:lang w:val="ro-RO"/>
        </w:rPr>
        <w:t xml:space="preserve"> a fost atribuită unui birou de tranzacţionare a cărui strategie de afaceri este dedicată exclusiv gestionării și diminuării riscului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aferent acoperirilor interne ale expunerii la riscul de rată a dobânzii;</w:t>
      </w:r>
    </w:p>
    <w:p w14:paraId="05435519" w14:textId="5D0C767E" w:rsidR="00F652B7" w:rsidRPr="00C26A9B" w:rsidRDefault="00026783" w:rsidP="00026783">
      <w:pPr>
        <w:rPr>
          <w:rFonts w:ascii="Times New Roman" w:hAnsi="Times New Roman" w:cs="Times New Roman"/>
          <w:bCs/>
          <w:sz w:val="24"/>
          <w:szCs w:val="24"/>
          <w:lang w:val="ro-RO"/>
        </w:rPr>
      </w:pPr>
      <w:r w:rsidRPr="00101345">
        <w:rPr>
          <w:rFonts w:ascii="Times New Roman" w:hAnsi="Times New Roman" w:cs="Times New Roman"/>
          <w:bCs/>
          <w:sz w:val="24"/>
          <w:szCs w:val="24"/>
          <w:lang w:val="ro-RO"/>
        </w:rPr>
        <w:t>63.3.</w:t>
      </w:r>
      <w:r w:rsidRPr="00C26A9B">
        <w:rPr>
          <w:rFonts w:ascii="Times New Roman" w:hAnsi="Times New Roman" w:cs="Times New Roman"/>
          <w:bCs/>
          <w:sz w:val="24"/>
          <w:szCs w:val="24"/>
          <w:lang w:val="ro-RO"/>
        </w:rPr>
        <w:t xml:space="preserve"> banca a documentat pe deplin modul în care </w:t>
      </w:r>
      <w:proofErr w:type="spellStart"/>
      <w:r w:rsidRPr="00C26A9B">
        <w:rPr>
          <w:rFonts w:ascii="Times New Roman" w:hAnsi="Times New Roman" w:cs="Times New Roman"/>
          <w:bCs/>
          <w:sz w:val="24"/>
          <w:szCs w:val="24"/>
          <w:lang w:val="ro-RO"/>
        </w:rPr>
        <w:t>poziţia</w:t>
      </w:r>
      <w:proofErr w:type="spellEnd"/>
      <w:r w:rsidRPr="00C26A9B">
        <w:rPr>
          <w:rFonts w:ascii="Times New Roman" w:hAnsi="Times New Roman" w:cs="Times New Roman"/>
          <w:bCs/>
          <w:sz w:val="24"/>
          <w:szCs w:val="24"/>
          <w:lang w:val="ro-RO"/>
        </w:rPr>
        <w:t xml:space="preserve"> diminuează riscul de rată a dobânzii rezultat din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din afara portofoliului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în scopul </w:t>
      </w:r>
      <w:proofErr w:type="spellStart"/>
      <w:r w:rsidRPr="00C26A9B">
        <w:rPr>
          <w:rFonts w:ascii="Times New Roman" w:hAnsi="Times New Roman" w:cs="Times New Roman"/>
          <w:bCs/>
          <w:sz w:val="24"/>
          <w:szCs w:val="24"/>
          <w:lang w:val="ro-RO"/>
        </w:rPr>
        <w:t>cerinţelor</w:t>
      </w:r>
      <w:proofErr w:type="spellEnd"/>
      <w:r w:rsidRPr="00C26A9B">
        <w:rPr>
          <w:rFonts w:ascii="Times New Roman" w:hAnsi="Times New Roman" w:cs="Times New Roman"/>
          <w:bCs/>
          <w:sz w:val="24"/>
          <w:szCs w:val="24"/>
          <w:lang w:val="ro-RO"/>
        </w:rPr>
        <w:t xml:space="preserve"> prevăzute la </w:t>
      </w:r>
      <w:r w:rsidR="00CF4EEE" w:rsidRPr="00CF4EEE">
        <w:rPr>
          <w:rFonts w:ascii="Times New Roman" w:hAnsi="Times New Roman" w:cs="Times New Roman"/>
          <w:bCs/>
          <w:sz w:val="24"/>
          <w:szCs w:val="24"/>
          <w:lang w:val="ro-RO"/>
        </w:rPr>
        <w:t xml:space="preserve">titlul V capitolul II secțiunea 5 din Regulamentul privind cadrul de administrare a </w:t>
      </w:r>
      <w:proofErr w:type="spellStart"/>
      <w:r w:rsidR="00CF4EEE" w:rsidRPr="00CF4EEE">
        <w:rPr>
          <w:rFonts w:ascii="Times New Roman" w:hAnsi="Times New Roman" w:cs="Times New Roman"/>
          <w:bCs/>
          <w:sz w:val="24"/>
          <w:szCs w:val="24"/>
          <w:lang w:val="ro-RO"/>
        </w:rPr>
        <w:t>activităţii</w:t>
      </w:r>
      <w:proofErr w:type="spellEnd"/>
      <w:r w:rsidR="00CF4EEE" w:rsidRPr="00CF4EEE">
        <w:rPr>
          <w:rFonts w:ascii="Times New Roman" w:hAnsi="Times New Roman" w:cs="Times New Roman"/>
          <w:bCs/>
          <w:sz w:val="24"/>
          <w:szCs w:val="24"/>
          <w:lang w:val="ro-RO"/>
        </w:rPr>
        <w:t xml:space="preserve"> băncilor, aprobat prin HCE al BNM nr.322/2018 și </w:t>
      </w:r>
      <w:r w:rsidRPr="00C26A9B">
        <w:rPr>
          <w:rFonts w:ascii="Times New Roman" w:hAnsi="Times New Roman" w:cs="Times New Roman"/>
          <w:bCs/>
          <w:sz w:val="24"/>
          <w:szCs w:val="24"/>
          <w:lang w:val="ro-RO"/>
        </w:rPr>
        <w:t>art.101 din Legea nr.202/2017.</w:t>
      </w:r>
    </w:p>
    <w:p w14:paraId="4FF283CF" w14:textId="1D56916C" w:rsidR="00026783" w:rsidRPr="00C26A9B" w:rsidRDefault="00026783" w:rsidP="00026783">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64. În sensul subpct.63.1, banca poate atribui acelui portofoliu alte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de risc de rată a dobânzii deschise cu </w:t>
      </w:r>
      <w:proofErr w:type="spellStart"/>
      <w:r w:rsidRPr="00C26A9B">
        <w:rPr>
          <w:rFonts w:ascii="Times New Roman" w:hAnsi="Times New Roman" w:cs="Times New Roman"/>
          <w:bCs/>
          <w:sz w:val="24"/>
          <w:szCs w:val="24"/>
          <w:lang w:val="ro-RO"/>
        </w:rPr>
        <w:t>părţi</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terţe</w:t>
      </w:r>
      <w:proofErr w:type="spellEnd"/>
      <w:r w:rsidRPr="00C26A9B">
        <w:rPr>
          <w:rFonts w:ascii="Times New Roman" w:hAnsi="Times New Roman" w:cs="Times New Roman"/>
          <w:bCs/>
          <w:sz w:val="24"/>
          <w:szCs w:val="24"/>
          <w:lang w:val="ro-RO"/>
        </w:rPr>
        <w:t xml:space="preserve"> sau cu propriul său portofoliu de tranzacţionare, atât timp cât banca compensează perfect riscul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al respectivelor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de risc de rată a dobânzii deschise cu propriul său portofoliu de tranzacţionare prin deschiderea de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de risc de rată a dobânzii de semn opus cu </w:t>
      </w:r>
      <w:proofErr w:type="spellStart"/>
      <w:r w:rsidRPr="00C26A9B">
        <w:rPr>
          <w:rFonts w:ascii="Times New Roman" w:hAnsi="Times New Roman" w:cs="Times New Roman"/>
          <w:bCs/>
          <w:sz w:val="24"/>
          <w:szCs w:val="24"/>
          <w:lang w:val="ro-RO"/>
        </w:rPr>
        <w:t>părţi</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terţe</w:t>
      </w:r>
      <w:proofErr w:type="spellEnd"/>
      <w:r w:rsidRPr="00C26A9B">
        <w:rPr>
          <w:rFonts w:ascii="Times New Roman" w:hAnsi="Times New Roman" w:cs="Times New Roman"/>
          <w:bCs/>
          <w:sz w:val="24"/>
          <w:szCs w:val="24"/>
          <w:lang w:val="ro-RO"/>
        </w:rPr>
        <w:t>.</w:t>
      </w:r>
    </w:p>
    <w:p w14:paraId="47BD62FB" w14:textId="77777777" w:rsidR="007A2707" w:rsidRPr="00C26A9B" w:rsidRDefault="007A2707" w:rsidP="007A2707">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lastRenderedPageBreak/>
        <w:t xml:space="preserve">65. Biroului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menţionat</w:t>
      </w:r>
      <w:proofErr w:type="spellEnd"/>
      <w:r w:rsidRPr="00C26A9B">
        <w:rPr>
          <w:rFonts w:ascii="Times New Roman" w:hAnsi="Times New Roman" w:cs="Times New Roman"/>
          <w:bCs/>
          <w:sz w:val="24"/>
          <w:szCs w:val="24"/>
          <w:lang w:val="ro-RO"/>
        </w:rPr>
        <w:t xml:space="preserve"> la subpct.63.2 i se aplică următoarele </w:t>
      </w:r>
      <w:proofErr w:type="spellStart"/>
      <w:r w:rsidRPr="00C26A9B">
        <w:rPr>
          <w:rFonts w:ascii="Times New Roman" w:hAnsi="Times New Roman" w:cs="Times New Roman"/>
          <w:bCs/>
          <w:sz w:val="24"/>
          <w:szCs w:val="24"/>
          <w:lang w:val="ro-RO"/>
        </w:rPr>
        <w:t>cerinţe</w:t>
      </w:r>
      <w:proofErr w:type="spellEnd"/>
      <w:r w:rsidRPr="00C26A9B">
        <w:rPr>
          <w:rFonts w:ascii="Times New Roman" w:hAnsi="Times New Roman" w:cs="Times New Roman"/>
          <w:bCs/>
          <w:sz w:val="24"/>
          <w:szCs w:val="24"/>
          <w:lang w:val="ro-RO"/>
        </w:rPr>
        <w:t>:</w:t>
      </w:r>
    </w:p>
    <w:p w14:paraId="478B185E" w14:textId="77777777" w:rsidR="007A2707" w:rsidRPr="00C26A9B" w:rsidRDefault="007A2707" w:rsidP="007A2707">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65.1. respectivul birou de tranzacţionare poate deschide și alte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de risc de rată a dobânzii cu </w:t>
      </w:r>
      <w:proofErr w:type="spellStart"/>
      <w:r w:rsidRPr="00C26A9B">
        <w:rPr>
          <w:rFonts w:ascii="Times New Roman" w:hAnsi="Times New Roman" w:cs="Times New Roman"/>
          <w:bCs/>
          <w:sz w:val="24"/>
          <w:szCs w:val="24"/>
          <w:lang w:val="ro-RO"/>
        </w:rPr>
        <w:t>părţi</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terţe</w:t>
      </w:r>
      <w:proofErr w:type="spellEnd"/>
      <w:r w:rsidRPr="00C26A9B">
        <w:rPr>
          <w:rFonts w:ascii="Times New Roman" w:hAnsi="Times New Roman" w:cs="Times New Roman"/>
          <w:bCs/>
          <w:sz w:val="24"/>
          <w:szCs w:val="24"/>
          <w:lang w:val="ro-RO"/>
        </w:rPr>
        <w:t xml:space="preserve"> sau cu alte birouri de tranzacţionare ale băncii, cu </w:t>
      </w:r>
      <w:proofErr w:type="spellStart"/>
      <w:r w:rsidRPr="00C26A9B">
        <w:rPr>
          <w:rFonts w:ascii="Times New Roman" w:hAnsi="Times New Roman" w:cs="Times New Roman"/>
          <w:bCs/>
          <w:sz w:val="24"/>
          <w:szCs w:val="24"/>
          <w:lang w:val="ro-RO"/>
        </w:rPr>
        <w:t>condiţia</w:t>
      </w:r>
      <w:proofErr w:type="spellEnd"/>
      <w:r w:rsidRPr="00C26A9B">
        <w:rPr>
          <w:rFonts w:ascii="Times New Roman" w:hAnsi="Times New Roman" w:cs="Times New Roman"/>
          <w:bCs/>
          <w:sz w:val="24"/>
          <w:szCs w:val="24"/>
          <w:lang w:val="ro-RO"/>
        </w:rPr>
        <w:t xml:space="preserve"> ca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respective să îndeplinească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includere în portofoliul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la secțiunea 3 și ca acele alte birouri de tranzacţionare să compenseze perfect riscul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al acelor alte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de risc de rată a dobânzii prin deschiderea de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de risc de rată a dobânzii de semn opus cu </w:t>
      </w:r>
      <w:proofErr w:type="spellStart"/>
      <w:r w:rsidRPr="00C26A9B">
        <w:rPr>
          <w:rFonts w:ascii="Times New Roman" w:hAnsi="Times New Roman" w:cs="Times New Roman"/>
          <w:bCs/>
          <w:sz w:val="24"/>
          <w:szCs w:val="24"/>
          <w:lang w:val="ro-RO"/>
        </w:rPr>
        <w:t>părţi</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terţe</w:t>
      </w:r>
      <w:proofErr w:type="spellEnd"/>
      <w:r w:rsidRPr="00C26A9B">
        <w:rPr>
          <w:rFonts w:ascii="Times New Roman" w:hAnsi="Times New Roman" w:cs="Times New Roman"/>
          <w:bCs/>
          <w:sz w:val="24"/>
          <w:szCs w:val="24"/>
          <w:lang w:val="ro-RO"/>
        </w:rPr>
        <w:t>;</w:t>
      </w:r>
    </w:p>
    <w:p w14:paraId="3E32982E" w14:textId="77777777" w:rsidR="007A2707" w:rsidRPr="00C26A9B" w:rsidRDefault="007A2707" w:rsidP="007A2707">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65.2. biroului de tranzacţionare respectiv nu i se atribuie alte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din portofoliul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decât cele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la subpct.65.1;</w:t>
      </w:r>
    </w:p>
    <w:p w14:paraId="769D8FD0" w14:textId="3604E1DF" w:rsidR="00026783" w:rsidRPr="00C26A9B" w:rsidRDefault="007A2707" w:rsidP="007A2707">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65.3. prin derogare de la secțiunea 5, biroul de tranzacţionare respectiv nu este supus </w:t>
      </w:r>
      <w:proofErr w:type="spellStart"/>
      <w:r w:rsidRPr="00C26A9B">
        <w:rPr>
          <w:rFonts w:ascii="Times New Roman" w:hAnsi="Times New Roman" w:cs="Times New Roman"/>
          <w:bCs/>
          <w:sz w:val="24"/>
          <w:szCs w:val="24"/>
          <w:lang w:val="ro-RO"/>
        </w:rPr>
        <w:t>cerinţelor</w:t>
      </w:r>
      <w:proofErr w:type="spellEnd"/>
      <w:r w:rsidRPr="00C26A9B">
        <w:rPr>
          <w:rFonts w:ascii="Times New Roman" w:hAnsi="Times New Roman" w:cs="Times New Roman"/>
          <w:bCs/>
          <w:sz w:val="24"/>
          <w:szCs w:val="24"/>
          <w:lang w:val="ro-RO"/>
        </w:rPr>
        <w:t xml:space="preserve"> prevăzute la subpct.32, 33 și 34.</w:t>
      </w:r>
    </w:p>
    <w:p w14:paraId="4BB90695" w14:textId="77BAF9D4" w:rsidR="00654AAB" w:rsidRPr="00C26A9B" w:rsidRDefault="00654AAB" w:rsidP="007A2707">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66.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fonduri proprii pentru riscul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al tuturor </w:t>
      </w:r>
      <w:proofErr w:type="spellStart"/>
      <w:r w:rsidRPr="00C26A9B">
        <w:rPr>
          <w:rFonts w:ascii="Times New Roman" w:hAnsi="Times New Roman" w:cs="Times New Roman"/>
          <w:bCs/>
          <w:sz w:val="24"/>
          <w:szCs w:val="24"/>
          <w:lang w:val="ro-RO"/>
        </w:rPr>
        <w:t>poziţiilor</w:t>
      </w:r>
      <w:proofErr w:type="spellEnd"/>
      <w:r w:rsidRPr="00C26A9B">
        <w:rPr>
          <w:rFonts w:ascii="Times New Roman" w:hAnsi="Times New Roman" w:cs="Times New Roman"/>
          <w:bCs/>
          <w:sz w:val="24"/>
          <w:szCs w:val="24"/>
          <w:lang w:val="ro-RO"/>
        </w:rPr>
        <w:t xml:space="preserve"> atribuite portofoliului distinct </w:t>
      </w:r>
      <w:proofErr w:type="spellStart"/>
      <w:r w:rsidRPr="00C26A9B">
        <w:rPr>
          <w:rFonts w:ascii="Times New Roman" w:hAnsi="Times New Roman" w:cs="Times New Roman"/>
          <w:bCs/>
          <w:sz w:val="24"/>
          <w:szCs w:val="24"/>
          <w:lang w:val="ro-RO"/>
        </w:rPr>
        <w:t>menţionat</w:t>
      </w:r>
      <w:proofErr w:type="spellEnd"/>
      <w:r w:rsidRPr="00C26A9B">
        <w:rPr>
          <w:rFonts w:ascii="Times New Roman" w:hAnsi="Times New Roman" w:cs="Times New Roman"/>
          <w:bCs/>
          <w:sz w:val="24"/>
          <w:szCs w:val="24"/>
          <w:lang w:val="ro-RO"/>
        </w:rPr>
        <w:t xml:space="preserve"> la subpct.63.1 sau biroului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menţionat</w:t>
      </w:r>
      <w:proofErr w:type="spellEnd"/>
      <w:r w:rsidRPr="00C26A9B">
        <w:rPr>
          <w:rFonts w:ascii="Times New Roman" w:hAnsi="Times New Roman" w:cs="Times New Roman"/>
          <w:bCs/>
          <w:sz w:val="24"/>
          <w:szCs w:val="24"/>
          <w:lang w:val="ro-RO"/>
        </w:rPr>
        <w:t xml:space="preserve"> la subpct.63.2 se calculează în mod de sine stătător, în plus </w:t>
      </w:r>
      <w:proofErr w:type="spellStart"/>
      <w:r w:rsidRPr="00C26A9B">
        <w:rPr>
          <w:rFonts w:ascii="Times New Roman" w:hAnsi="Times New Roman" w:cs="Times New Roman"/>
          <w:bCs/>
          <w:sz w:val="24"/>
          <w:szCs w:val="24"/>
          <w:lang w:val="ro-RO"/>
        </w:rPr>
        <w:t>faţă</w:t>
      </w:r>
      <w:proofErr w:type="spellEnd"/>
      <w:r w:rsidRPr="00C26A9B">
        <w:rPr>
          <w:rFonts w:ascii="Times New Roman" w:hAnsi="Times New Roman" w:cs="Times New Roman"/>
          <w:bCs/>
          <w:sz w:val="24"/>
          <w:szCs w:val="24"/>
          <w:lang w:val="ro-RO"/>
        </w:rPr>
        <w:t xml:space="preserve"> de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fonduri proprii pentru celelalte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din portofoliul de tranzacţionare.</w:t>
      </w:r>
    </w:p>
    <w:p w14:paraId="653C2A78" w14:textId="1C4B9107" w:rsidR="00654AAB" w:rsidRPr="00101345" w:rsidRDefault="00654AAB" w:rsidP="00654AAB">
      <w:pPr>
        <w:rPr>
          <w:rFonts w:ascii="Times New Roman" w:hAnsi="Times New Roman" w:cs="Times New Roman"/>
          <w:bCs/>
          <w:sz w:val="24"/>
          <w:szCs w:val="24"/>
          <w:lang w:val="ro-RO"/>
        </w:rPr>
      </w:pPr>
      <w:r w:rsidRPr="00101345">
        <w:rPr>
          <w:rFonts w:ascii="Times New Roman" w:hAnsi="Times New Roman" w:cs="Times New Roman"/>
          <w:bCs/>
          <w:sz w:val="24"/>
          <w:szCs w:val="24"/>
          <w:lang w:val="ro-RO"/>
        </w:rPr>
        <w:t xml:space="preserve">67. În cazul în care o bancă acoperă o expunere la riscul de ajustare a evaluării creditului (CVA) utilizând un instrument financiar derivat încheiat cu portofoliul său de </w:t>
      </w:r>
      <w:proofErr w:type="spellStart"/>
      <w:r w:rsidRPr="00101345">
        <w:rPr>
          <w:rFonts w:ascii="Times New Roman" w:hAnsi="Times New Roman" w:cs="Times New Roman"/>
          <w:bCs/>
          <w:sz w:val="24"/>
          <w:szCs w:val="24"/>
          <w:lang w:val="ro-RO"/>
        </w:rPr>
        <w:t>tranzacţionare</w:t>
      </w:r>
      <w:proofErr w:type="spellEnd"/>
      <w:r w:rsidRPr="00101345">
        <w:rPr>
          <w:rFonts w:ascii="Times New Roman" w:hAnsi="Times New Roman" w:cs="Times New Roman"/>
          <w:bCs/>
          <w:sz w:val="24"/>
          <w:szCs w:val="24"/>
          <w:lang w:val="ro-RO"/>
        </w:rPr>
        <w:t xml:space="preserve">, </w:t>
      </w:r>
      <w:proofErr w:type="spellStart"/>
      <w:r w:rsidRPr="00101345">
        <w:rPr>
          <w:rFonts w:ascii="Times New Roman" w:hAnsi="Times New Roman" w:cs="Times New Roman"/>
          <w:bCs/>
          <w:sz w:val="24"/>
          <w:szCs w:val="24"/>
          <w:lang w:val="ro-RO"/>
        </w:rPr>
        <w:t>poziţia</w:t>
      </w:r>
      <w:proofErr w:type="spellEnd"/>
      <w:r w:rsidRPr="00101345">
        <w:rPr>
          <w:rFonts w:ascii="Times New Roman" w:hAnsi="Times New Roman" w:cs="Times New Roman"/>
          <w:bCs/>
          <w:sz w:val="24"/>
          <w:szCs w:val="24"/>
          <w:lang w:val="ro-RO"/>
        </w:rPr>
        <w:t xml:space="preserve"> pe acel instrument financiar derivat este recunoscută ca acoperire internă pentru expunerea la riscul CVA în scopul calculării </w:t>
      </w:r>
      <w:proofErr w:type="spellStart"/>
      <w:r w:rsidRPr="00101345">
        <w:rPr>
          <w:rFonts w:ascii="Times New Roman" w:hAnsi="Times New Roman" w:cs="Times New Roman"/>
          <w:bCs/>
          <w:sz w:val="24"/>
          <w:szCs w:val="24"/>
          <w:lang w:val="ro-RO"/>
        </w:rPr>
        <w:t>cerinţelor</w:t>
      </w:r>
      <w:proofErr w:type="spellEnd"/>
      <w:r w:rsidRPr="00101345">
        <w:rPr>
          <w:rFonts w:ascii="Times New Roman" w:hAnsi="Times New Roman" w:cs="Times New Roman"/>
          <w:bCs/>
          <w:sz w:val="24"/>
          <w:szCs w:val="24"/>
          <w:lang w:val="ro-RO"/>
        </w:rPr>
        <w:t xml:space="preserve"> de fonduri proprii pentru riscurile CVA în conformitate cu abordările prevăzute la </w:t>
      </w:r>
      <w:r w:rsidR="00434363" w:rsidRPr="00101345">
        <w:rPr>
          <w:rFonts w:ascii="Times New Roman" w:hAnsi="Times New Roman" w:cs="Times New Roman"/>
          <w:bCs/>
          <w:sz w:val="24"/>
          <w:szCs w:val="24"/>
          <w:lang w:val="ro-RO"/>
        </w:rPr>
        <w:t>pct.17-20 sau capitolul V din</w:t>
      </w:r>
      <w:r w:rsidR="00434363" w:rsidRPr="00101345">
        <w:t xml:space="preserve"> </w:t>
      </w:r>
      <w:r w:rsidR="00434363" w:rsidRPr="00101345">
        <w:rPr>
          <w:rFonts w:ascii="Times New Roman" w:hAnsi="Times New Roman" w:cs="Times New Roman"/>
          <w:bCs/>
          <w:sz w:val="24"/>
          <w:szCs w:val="24"/>
          <w:lang w:val="ro-RO"/>
        </w:rPr>
        <w:t xml:space="preserve">Regulamentul cu privire la tratamentul riscului de ajustare a evaluării creditului pentru bănci, aprobat prin hotărârea Comitetului executiv al BNM </w:t>
      </w:r>
      <w:proofErr w:type="spellStart"/>
      <w:r w:rsidR="00434363" w:rsidRPr="00101345">
        <w:rPr>
          <w:rFonts w:ascii="Times New Roman" w:hAnsi="Times New Roman" w:cs="Times New Roman"/>
          <w:bCs/>
          <w:sz w:val="24"/>
          <w:szCs w:val="24"/>
          <w:lang w:val="ro-RO"/>
        </w:rPr>
        <w:t>nr.YY</w:t>
      </w:r>
      <w:proofErr w:type="spellEnd"/>
      <w:r w:rsidR="00434363" w:rsidRPr="00101345">
        <w:rPr>
          <w:rFonts w:ascii="Times New Roman" w:hAnsi="Times New Roman" w:cs="Times New Roman"/>
          <w:bCs/>
          <w:sz w:val="24"/>
          <w:szCs w:val="24"/>
          <w:lang w:val="ro-RO"/>
        </w:rPr>
        <w:t xml:space="preserve">/2026 (în continuare – Regulamentul </w:t>
      </w:r>
      <w:proofErr w:type="spellStart"/>
      <w:r w:rsidR="00434363" w:rsidRPr="00101345">
        <w:rPr>
          <w:rFonts w:ascii="Times New Roman" w:hAnsi="Times New Roman" w:cs="Times New Roman"/>
          <w:bCs/>
          <w:sz w:val="24"/>
          <w:szCs w:val="24"/>
          <w:lang w:val="ro-RO"/>
        </w:rPr>
        <w:t>nr.YY</w:t>
      </w:r>
      <w:proofErr w:type="spellEnd"/>
      <w:r w:rsidR="00434363" w:rsidRPr="00101345">
        <w:rPr>
          <w:rFonts w:ascii="Times New Roman" w:hAnsi="Times New Roman" w:cs="Times New Roman"/>
          <w:bCs/>
          <w:sz w:val="24"/>
          <w:szCs w:val="24"/>
          <w:lang w:val="ro-RO"/>
        </w:rPr>
        <w:t>/2026)</w:t>
      </w:r>
      <w:r w:rsidRPr="00101345">
        <w:rPr>
          <w:rFonts w:ascii="Times New Roman" w:hAnsi="Times New Roman" w:cs="Times New Roman"/>
          <w:bCs/>
          <w:sz w:val="24"/>
          <w:szCs w:val="24"/>
          <w:lang w:val="ro-RO"/>
        </w:rPr>
        <w:t xml:space="preserve">, dacă sunt îndeplinite următoarele </w:t>
      </w:r>
      <w:proofErr w:type="spellStart"/>
      <w:r w:rsidRPr="00101345">
        <w:rPr>
          <w:rFonts w:ascii="Times New Roman" w:hAnsi="Times New Roman" w:cs="Times New Roman"/>
          <w:bCs/>
          <w:sz w:val="24"/>
          <w:szCs w:val="24"/>
          <w:lang w:val="ro-RO"/>
        </w:rPr>
        <w:t>condiţii</w:t>
      </w:r>
      <w:proofErr w:type="spellEnd"/>
      <w:r w:rsidRPr="00101345">
        <w:rPr>
          <w:rFonts w:ascii="Times New Roman" w:hAnsi="Times New Roman" w:cs="Times New Roman"/>
          <w:bCs/>
          <w:sz w:val="24"/>
          <w:szCs w:val="24"/>
          <w:lang w:val="ro-RO"/>
        </w:rPr>
        <w:t>:</w:t>
      </w:r>
    </w:p>
    <w:p w14:paraId="50361DCD" w14:textId="1A078B5E" w:rsidR="00654AAB" w:rsidRPr="00C26A9B" w:rsidRDefault="00654AAB" w:rsidP="00654AAB">
      <w:pPr>
        <w:rPr>
          <w:rFonts w:ascii="Times New Roman" w:hAnsi="Times New Roman" w:cs="Times New Roman"/>
          <w:bCs/>
          <w:sz w:val="24"/>
          <w:szCs w:val="24"/>
          <w:lang w:val="ro-RO"/>
        </w:rPr>
      </w:pPr>
      <w:r w:rsidRPr="00101345">
        <w:rPr>
          <w:rFonts w:ascii="Times New Roman" w:hAnsi="Times New Roman" w:cs="Times New Roman"/>
          <w:bCs/>
          <w:sz w:val="24"/>
          <w:szCs w:val="24"/>
          <w:lang w:val="ro-RO"/>
        </w:rPr>
        <w:t xml:space="preserve">67.1. </w:t>
      </w:r>
      <w:proofErr w:type="spellStart"/>
      <w:r w:rsidRPr="00101345">
        <w:rPr>
          <w:rFonts w:ascii="Times New Roman" w:hAnsi="Times New Roman" w:cs="Times New Roman"/>
          <w:bCs/>
          <w:sz w:val="24"/>
          <w:szCs w:val="24"/>
          <w:lang w:val="ro-RO"/>
        </w:rPr>
        <w:t>poziţia</w:t>
      </w:r>
      <w:proofErr w:type="spellEnd"/>
      <w:r w:rsidRPr="00C26A9B">
        <w:rPr>
          <w:rFonts w:ascii="Times New Roman" w:hAnsi="Times New Roman" w:cs="Times New Roman"/>
          <w:bCs/>
          <w:sz w:val="24"/>
          <w:szCs w:val="24"/>
          <w:lang w:val="ro-RO"/>
        </w:rPr>
        <w:t xml:space="preserve"> pe instrumentul financiar derivat este recunoscută ca acoperire eligibilă în conformitate cu </w:t>
      </w:r>
      <w:r w:rsidR="00434363" w:rsidRPr="00434363">
        <w:rPr>
          <w:rFonts w:ascii="Times New Roman" w:hAnsi="Times New Roman" w:cs="Times New Roman"/>
          <w:bCs/>
          <w:sz w:val="24"/>
          <w:szCs w:val="24"/>
          <w:lang w:val="ro-RO"/>
        </w:rPr>
        <w:t>capitolul V</w:t>
      </w:r>
      <w:r w:rsidR="00434363">
        <w:rPr>
          <w:rFonts w:ascii="Times New Roman" w:hAnsi="Times New Roman" w:cs="Times New Roman"/>
          <w:bCs/>
          <w:sz w:val="24"/>
          <w:szCs w:val="24"/>
          <w:lang w:val="ro-RO"/>
        </w:rPr>
        <w:t>I</w:t>
      </w:r>
      <w:r w:rsidR="00434363" w:rsidRPr="00434363">
        <w:rPr>
          <w:rFonts w:ascii="Times New Roman" w:hAnsi="Times New Roman" w:cs="Times New Roman"/>
          <w:bCs/>
          <w:sz w:val="24"/>
          <w:szCs w:val="24"/>
          <w:lang w:val="ro-RO"/>
        </w:rPr>
        <w:t xml:space="preserve"> din Regulamentul</w:t>
      </w:r>
      <w:r w:rsidR="00434363">
        <w:rPr>
          <w:rFonts w:ascii="Times New Roman" w:hAnsi="Times New Roman" w:cs="Times New Roman"/>
          <w:bCs/>
          <w:sz w:val="24"/>
          <w:szCs w:val="24"/>
          <w:lang w:val="ro-RO"/>
        </w:rPr>
        <w:t xml:space="preserve"> </w:t>
      </w:r>
      <w:proofErr w:type="spellStart"/>
      <w:r w:rsidR="00434363">
        <w:rPr>
          <w:rFonts w:ascii="Times New Roman" w:hAnsi="Times New Roman" w:cs="Times New Roman"/>
          <w:bCs/>
          <w:sz w:val="24"/>
          <w:szCs w:val="24"/>
          <w:lang w:val="ro-RO"/>
        </w:rPr>
        <w:t>nr.YY</w:t>
      </w:r>
      <w:proofErr w:type="spellEnd"/>
      <w:r w:rsidR="00434363">
        <w:rPr>
          <w:rFonts w:ascii="Times New Roman" w:hAnsi="Times New Roman" w:cs="Times New Roman"/>
          <w:bCs/>
          <w:sz w:val="24"/>
          <w:szCs w:val="24"/>
          <w:lang w:val="ro-RO"/>
        </w:rPr>
        <w:t>/2026</w:t>
      </w:r>
      <w:r w:rsidRPr="00C26A9B">
        <w:rPr>
          <w:rFonts w:ascii="Times New Roman" w:hAnsi="Times New Roman" w:cs="Times New Roman"/>
          <w:bCs/>
          <w:sz w:val="24"/>
          <w:szCs w:val="24"/>
          <w:lang w:val="ro-RO"/>
        </w:rPr>
        <w:t>;</w:t>
      </w:r>
    </w:p>
    <w:p w14:paraId="47222401" w14:textId="745826D1" w:rsidR="00654AAB" w:rsidRPr="00C26A9B" w:rsidRDefault="00654AAB" w:rsidP="00654AAB">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67.2. în cazul în care </w:t>
      </w:r>
      <w:proofErr w:type="spellStart"/>
      <w:r w:rsidRPr="00C26A9B">
        <w:rPr>
          <w:rFonts w:ascii="Times New Roman" w:hAnsi="Times New Roman" w:cs="Times New Roman"/>
          <w:bCs/>
          <w:sz w:val="24"/>
          <w:szCs w:val="24"/>
          <w:lang w:val="ro-RO"/>
        </w:rPr>
        <w:t>poziţia</w:t>
      </w:r>
      <w:proofErr w:type="spellEnd"/>
      <w:r w:rsidRPr="00C26A9B">
        <w:rPr>
          <w:rFonts w:ascii="Times New Roman" w:hAnsi="Times New Roman" w:cs="Times New Roman"/>
          <w:bCs/>
          <w:sz w:val="24"/>
          <w:szCs w:val="24"/>
          <w:lang w:val="ro-RO"/>
        </w:rPr>
        <w:t xml:space="preserve"> pe instrumentul financiar derivat face obiectul oricăreia dintre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prevăzute la </w:t>
      </w:r>
      <w:r w:rsidR="00B40B0E">
        <w:rPr>
          <w:rFonts w:ascii="Times New Roman" w:hAnsi="Times New Roman" w:cs="Times New Roman"/>
          <w:bCs/>
          <w:sz w:val="24"/>
          <w:szCs w:val="24"/>
          <w:lang w:val="ro-RO"/>
        </w:rPr>
        <w:t>subpct.95.2</w:t>
      </w:r>
      <w:r w:rsidRPr="00CC1E9B">
        <w:rPr>
          <w:rFonts w:ascii="Times New Roman" w:hAnsi="Times New Roman" w:cs="Times New Roman"/>
          <w:bCs/>
          <w:sz w:val="24"/>
          <w:szCs w:val="24"/>
          <w:lang w:val="ro-RO"/>
        </w:rPr>
        <w:t xml:space="preserve"> sau </w:t>
      </w:r>
      <w:r w:rsidR="00B40B0E">
        <w:rPr>
          <w:rFonts w:ascii="Times New Roman" w:hAnsi="Times New Roman" w:cs="Times New Roman"/>
          <w:bCs/>
          <w:sz w:val="24"/>
          <w:szCs w:val="24"/>
          <w:lang w:val="ro-RO"/>
        </w:rPr>
        <w:t>95.3</w:t>
      </w:r>
      <w:r w:rsidRPr="00CC1E9B">
        <w:rPr>
          <w:rFonts w:ascii="Times New Roman" w:hAnsi="Times New Roman" w:cs="Times New Roman"/>
          <w:bCs/>
          <w:sz w:val="24"/>
          <w:szCs w:val="24"/>
          <w:lang w:val="ro-RO"/>
        </w:rPr>
        <w:t xml:space="preserve"> sau la</w:t>
      </w:r>
      <w:r w:rsidR="00B40B0E">
        <w:rPr>
          <w:rFonts w:ascii="Times New Roman" w:hAnsi="Times New Roman" w:cs="Times New Roman"/>
          <w:bCs/>
          <w:sz w:val="24"/>
          <w:szCs w:val="24"/>
          <w:lang w:val="ro-RO"/>
        </w:rPr>
        <w:t xml:space="preserve"> subpct.104.3</w:t>
      </w:r>
      <w:r w:rsidRPr="00B40B0E">
        <w:rPr>
          <w:rFonts w:ascii="Times New Roman" w:hAnsi="Times New Roman" w:cs="Times New Roman"/>
          <w:bCs/>
          <w:sz w:val="24"/>
          <w:szCs w:val="24"/>
          <w:lang w:val="ro-RO"/>
        </w:rPr>
        <w:t xml:space="preserve">, banca compensează perfect riscul de </w:t>
      </w:r>
      <w:proofErr w:type="spellStart"/>
      <w:r w:rsidRPr="00B40B0E">
        <w:rPr>
          <w:rFonts w:ascii="Times New Roman" w:hAnsi="Times New Roman" w:cs="Times New Roman"/>
          <w:bCs/>
          <w:sz w:val="24"/>
          <w:szCs w:val="24"/>
          <w:lang w:val="ro-RO"/>
        </w:rPr>
        <w:t>piaţă</w:t>
      </w:r>
      <w:proofErr w:type="spellEnd"/>
      <w:r w:rsidRPr="00B40B0E">
        <w:rPr>
          <w:rFonts w:ascii="Times New Roman" w:hAnsi="Times New Roman" w:cs="Times New Roman"/>
          <w:bCs/>
          <w:sz w:val="24"/>
          <w:szCs w:val="24"/>
          <w:lang w:val="ro-RO"/>
        </w:rPr>
        <w:t xml:space="preserve"> al respecti</w:t>
      </w:r>
      <w:r w:rsidRPr="00C26A9B">
        <w:rPr>
          <w:rFonts w:ascii="Times New Roman" w:hAnsi="Times New Roman" w:cs="Times New Roman"/>
          <w:bCs/>
          <w:sz w:val="24"/>
          <w:szCs w:val="24"/>
          <w:lang w:val="ro-RO"/>
        </w:rPr>
        <w:t xml:space="preserve">vei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pe instrumentul financiar derivat prin deschiderea de </w:t>
      </w:r>
      <w:proofErr w:type="spellStart"/>
      <w:r w:rsidRPr="00C26A9B">
        <w:rPr>
          <w:rFonts w:ascii="Times New Roman" w:hAnsi="Times New Roman" w:cs="Times New Roman"/>
          <w:bCs/>
          <w:sz w:val="24"/>
          <w:szCs w:val="24"/>
          <w:lang w:val="ro-RO"/>
        </w:rPr>
        <w:t>poziţii</w:t>
      </w:r>
      <w:proofErr w:type="spellEnd"/>
      <w:r w:rsidRPr="00C26A9B">
        <w:rPr>
          <w:rFonts w:ascii="Times New Roman" w:hAnsi="Times New Roman" w:cs="Times New Roman"/>
          <w:bCs/>
          <w:sz w:val="24"/>
          <w:szCs w:val="24"/>
          <w:lang w:val="ro-RO"/>
        </w:rPr>
        <w:t xml:space="preserve"> de semn opus cu </w:t>
      </w:r>
      <w:proofErr w:type="spellStart"/>
      <w:r w:rsidRPr="00C26A9B">
        <w:rPr>
          <w:rFonts w:ascii="Times New Roman" w:hAnsi="Times New Roman" w:cs="Times New Roman"/>
          <w:bCs/>
          <w:sz w:val="24"/>
          <w:szCs w:val="24"/>
          <w:lang w:val="ro-RO"/>
        </w:rPr>
        <w:t>părţi</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terţe</w:t>
      </w:r>
      <w:proofErr w:type="spellEnd"/>
      <w:r w:rsidRPr="00C26A9B">
        <w:rPr>
          <w:rFonts w:ascii="Times New Roman" w:hAnsi="Times New Roman" w:cs="Times New Roman"/>
          <w:bCs/>
          <w:sz w:val="24"/>
          <w:szCs w:val="24"/>
          <w:lang w:val="ro-RO"/>
        </w:rPr>
        <w:t>.</w:t>
      </w:r>
    </w:p>
    <w:p w14:paraId="451A2589" w14:textId="03CC0EBD" w:rsidR="00654AAB" w:rsidRPr="00C26A9B" w:rsidRDefault="00654AAB" w:rsidP="00654AAB">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68. </w:t>
      </w:r>
      <w:proofErr w:type="spellStart"/>
      <w:r w:rsidRPr="00C26A9B">
        <w:rPr>
          <w:rFonts w:ascii="Times New Roman" w:hAnsi="Times New Roman" w:cs="Times New Roman"/>
          <w:bCs/>
          <w:sz w:val="24"/>
          <w:szCs w:val="24"/>
          <w:lang w:val="ro-RO"/>
        </w:rPr>
        <w:t>Poziţia</w:t>
      </w:r>
      <w:proofErr w:type="spellEnd"/>
      <w:r w:rsidRPr="00C26A9B">
        <w:rPr>
          <w:rFonts w:ascii="Times New Roman" w:hAnsi="Times New Roman" w:cs="Times New Roman"/>
          <w:bCs/>
          <w:sz w:val="24"/>
          <w:szCs w:val="24"/>
          <w:lang w:val="ro-RO"/>
        </w:rPr>
        <w:t xml:space="preserve"> de semn opus din portofoliul de tranzacţionare aferentă acoperirii interne recunoscute în conformitate cu pct.67 se include în portofoliul de tranzacţionare al băncii în scopul calculării </w:t>
      </w:r>
      <w:proofErr w:type="spellStart"/>
      <w:r w:rsidRPr="00C26A9B">
        <w:rPr>
          <w:rFonts w:ascii="Times New Roman" w:hAnsi="Times New Roman" w:cs="Times New Roman"/>
          <w:bCs/>
          <w:sz w:val="24"/>
          <w:szCs w:val="24"/>
          <w:lang w:val="ro-RO"/>
        </w:rPr>
        <w:t>cerinţelor</w:t>
      </w:r>
      <w:proofErr w:type="spellEnd"/>
      <w:r w:rsidRPr="00C26A9B">
        <w:rPr>
          <w:rFonts w:ascii="Times New Roman" w:hAnsi="Times New Roman" w:cs="Times New Roman"/>
          <w:bCs/>
          <w:sz w:val="24"/>
          <w:szCs w:val="24"/>
          <w:lang w:val="ro-RO"/>
        </w:rPr>
        <w:t xml:space="preserve"> de fonduri proprii pentru riscul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w:t>
      </w:r>
    </w:p>
    <w:p w14:paraId="63AF351A" w14:textId="77777777" w:rsidR="00F2719E" w:rsidRPr="00C26A9B" w:rsidRDefault="00F2719E" w:rsidP="00654AAB">
      <w:pPr>
        <w:rPr>
          <w:rFonts w:ascii="Times New Roman" w:hAnsi="Times New Roman" w:cs="Times New Roman"/>
          <w:bCs/>
          <w:sz w:val="24"/>
          <w:szCs w:val="24"/>
          <w:lang w:val="ro-RO"/>
        </w:rPr>
      </w:pPr>
    </w:p>
    <w:p w14:paraId="3A6CE14F" w14:textId="5953977D" w:rsidR="00F2719E" w:rsidRPr="00C26A9B" w:rsidRDefault="00F2719E" w:rsidP="00F2719E">
      <w:pPr>
        <w:rPr>
          <w:rFonts w:ascii="Times New Roman" w:hAnsi="Times New Roman" w:cs="Times New Roman"/>
          <w:b/>
          <w:bCs/>
          <w:sz w:val="24"/>
          <w:szCs w:val="24"/>
          <w:lang w:val="ro-RO"/>
        </w:rPr>
      </w:pPr>
      <w:r w:rsidRPr="00C26A9B">
        <w:rPr>
          <w:rFonts w:ascii="Times New Roman" w:hAnsi="Times New Roman" w:cs="Times New Roman"/>
          <w:b/>
          <w:sz w:val="24"/>
          <w:szCs w:val="24"/>
          <w:lang w:val="ro-RO"/>
        </w:rPr>
        <w:t>TITLUL II</w:t>
      </w:r>
      <w:r w:rsidR="00490C95" w:rsidRPr="00C26A9B">
        <w:rPr>
          <w:rFonts w:ascii="Times New Roman" w:hAnsi="Times New Roman" w:cs="Times New Roman"/>
          <w:b/>
          <w:sz w:val="24"/>
          <w:szCs w:val="24"/>
          <w:lang w:val="ro-RO"/>
        </w:rPr>
        <w:t>.</w:t>
      </w:r>
      <w:r w:rsidR="00490C95" w:rsidRPr="00C26A9B">
        <w:rPr>
          <w:rFonts w:ascii="Times New Roman" w:hAnsi="Times New Roman" w:cs="Times New Roman"/>
          <w:bCs/>
          <w:sz w:val="24"/>
          <w:szCs w:val="24"/>
          <w:lang w:val="ro-RO"/>
        </w:rPr>
        <w:t xml:space="preserve"> </w:t>
      </w:r>
      <w:r w:rsidRPr="00C26A9B">
        <w:rPr>
          <w:rFonts w:ascii="Times New Roman" w:hAnsi="Times New Roman" w:cs="Times New Roman"/>
          <w:b/>
          <w:bCs/>
          <w:sz w:val="24"/>
          <w:szCs w:val="24"/>
          <w:lang w:val="ro-RO"/>
        </w:rPr>
        <w:t>CERINŢE DE FONDURI PROPRII PENTRU RISCUL DE PIAŢĂ</w:t>
      </w:r>
    </w:p>
    <w:p w14:paraId="19DE8E1F" w14:textId="3CDBDA54" w:rsidR="00F2719E" w:rsidRPr="00C26A9B" w:rsidRDefault="00F2719E" w:rsidP="00F2719E">
      <w:pPr>
        <w:rPr>
          <w:rFonts w:ascii="Times New Roman" w:hAnsi="Times New Roman" w:cs="Times New Roman"/>
          <w:b/>
          <w:bCs/>
          <w:i/>
          <w:iCs/>
          <w:sz w:val="24"/>
          <w:szCs w:val="24"/>
          <w:lang w:val="ro-RO"/>
        </w:rPr>
      </w:pPr>
      <w:r w:rsidRPr="00C26A9B">
        <w:rPr>
          <w:rFonts w:ascii="Times New Roman" w:hAnsi="Times New Roman" w:cs="Times New Roman"/>
          <w:b/>
          <w:i/>
          <w:iCs/>
          <w:sz w:val="24"/>
          <w:szCs w:val="24"/>
          <w:lang w:val="ro-RO"/>
        </w:rPr>
        <w:t>CAPITOLUL I</w:t>
      </w:r>
      <w:r w:rsidR="00490C95" w:rsidRPr="00C26A9B">
        <w:rPr>
          <w:rFonts w:ascii="Times New Roman" w:hAnsi="Times New Roman" w:cs="Times New Roman"/>
          <w:b/>
          <w:i/>
          <w:iCs/>
          <w:sz w:val="24"/>
          <w:szCs w:val="24"/>
          <w:lang w:val="ro-RO"/>
        </w:rPr>
        <w:t xml:space="preserve">. </w:t>
      </w:r>
      <w:r w:rsidRPr="00C26A9B">
        <w:rPr>
          <w:rFonts w:ascii="Times New Roman" w:hAnsi="Times New Roman" w:cs="Times New Roman"/>
          <w:b/>
          <w:bCs/>
          <w:i/>
          <w:iCs/>
          <w:sz w:val="24"/>
          <w:szCs w:val="24"/>
          <w:lang w:val="ro-RO"/>
        </w:rPr>
        <w:t xml:space="preserve">ABORDĂRILE PENTRU CALCULAREA CERINŢELOR DE FONDURI PROPRII PENTRU RISCUL DE PIAŢĂ </w:t>
      </w:r>
    </w:p>
    <w:p w14:paraId="1777D3D7" w14:textId="76E7817B" w:rsidR="00F2719E" w:rsidRPr="00C26A9B" w:rsidRDefault="00F2719E" w:rsidP="00F2719E">
      <w:pPr>
        <w:rPr>
          <w:rFonts w:ascii="Times New Roman" w:hAnsi="Times New Roman" w:cs="Times New Roman"/>
          <w:b/>
          <w:bCs/>
          <w:sz w:val="24"/>
          <w:szCs w:val="24"/>
          <w:lang w:val="ro-RO"/>
        </w:rPr>
      </w:pPr>
      <w:r w:rsidRPr="00CC1E9B">
        <w:rPr>
          <w:rFonts w:ascii="Times New Roman" w:hAnsi="Times New Roman" w:cs="Times New Roman"/>
          <w:b/>
          <w:sz w:val="24"/>
          <w:szCs w:val="24"/>
          <w:lang w:val="ro-RO"/>
        </w:rPr>
        <w:t>Secțiunea 1</w:t>
      </w:r>
      <w:r w:rsidR="00490C95" w:rsidRPr="00CC1E9B">
        <w:rPr>
          <w:rFonts w:ascii="Times New Roman" w:hAnsi="Times New Roman" w:cs="Times New Roman"/>
          <w:b/>
          <w:sz w:val="24"/>
          <w:szCs w:val="24"/>
          <w:lang w:val="ro-RO"/>
        </w:rPr>
        <w:t>.</w:t>
      </w:r>
      <w:r w:rsidRPr="00C26A9B">
        <w:rPr>
          <w:rFonts w:ascii="Times New Roman" w:hAnsi="Times New Roman" w:cs="Times New Roman"/>
          <w:bCs/>
          <w:i/>
          <w:iCs/>
          <w:sz w:val="24"/>
          <w:szCs w:val="24"/>
          <w:lang w:val="ro-RO"/>
        </w:rPr>
        <w:t xml:space="preserve"> </w:t>
      </w:r>
      <w:r w:rsidRPr="00C26A9B">
        <w:rPr>
          <w:rFonts w:ascii="Times New Roman" w:hAnsi="Times New Roman" w:cs="Times New Roman"/>
          <w:b/>
          <w:bCs/>
          <w:sz w:val="24"/>
          <w:szCs w:val="24"/>
          <w:lang w:val="ro-RO"/>
        </w:rPr>
        <w:t xml:space="preserve">Abordări pentru calcularea </w:t>
      </w:r>
      <w:proofErr w:type="spellStart"/>
      <w:r w:rsidRPr="00C26A9B">
        <w:rPr>
          <w:rFonts w:ascii="Times New Roman" w:hAnsi="Times New Roman" w:cs="Times New Roman"/>
          <w:b/>
          <w:bCs/>
          <w:sz w:val="24"/>
          <w:szCs w:val="24"/>
          <w:lang w:val="ro-RO"/>
        </w:rPr>
        <w:t>cerinţelor</w:t>
      </w:r>
      <w:proofErr w:type="spellEnd"/>
      <w:r w:rsidRPr="00C26A9B">
        <w:rPr>
          <w:rFonts w:ascii="Times New Roman" w:hAnsi="Times New Roman" w:cs="Times New Roman"/>
          <w:b/>
          <w:bCs/>
          <w:sz w:val="24"/>
          <w:szCs w:val="24"/>
          <w:lang w:val="ro-RO"/>
        </w:rPr>
        <w:t xml:space="preserve"> de fonduri proprii pentru riscul de </w:t>
      </w:r>
      <w:proofErr w:type="spellStart"/>
      <w:r w:rsidRPr="00C26A9B">
        <w:rPr>
          <w:rFonts w:ascii="Times New Roman" w:hAnsi="Times New Roman" w:cs="Times New Roman"/>
          <w:b/>
          <w:bCs/>
          <w:sz w:val="24"/>
          <w:szCs w:val="24"/>
          <w:lang w:val="ro-RO"/>
        </w:rPr>
        <w:t>piaţă</w:t>
      </w:r>
      <w:proofErr w:type="spellEnd"/>
    </w:p>
    <w:p w14:paraId="4A13268F" w14:textId="77777777" w:rsidR="00D41270" w:rsidRPr="00C26A9B" w:rsidRDefault="00D41270" w:rsidP="00D41270">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69. O bancă calculează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fonduri proprii pentru riscul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pentru toate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din portofoliul de tranzacţionare și pentru toate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din afara portofoliului de tranzacţionare care prezintă un risc valutar sau un risc de marfă în conformitate cu următoarele abordări:</w:t>
      </w:r>
    </w:p>
    <w:p w14:paraId="5BBB1E07" w14:textId="77777777" w:rsidR="00D41270" w:rsidRPr="00C26A9B" w:rsidRDefault="00D41270" w:rsidP="00D41270">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69.1. abordarea standardizată alternativă prevăzută în capitolul II din prezentul titlu;</w:t>
      </w:r>
    </w:p>
    <w:p w14:paraId="347BE9D4" w14:textId="39E79069" w:rsidR="00D41270" w:rsidRPr="00C26A9B" w:rsidRDefault="00D41270" w:rsidP="00D41270">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69.2. abordarea bazată pe modele interne alternativă prevăzută în capitolul III din prezentul titlu în cazul </w:t>
      </w:r>
      <w:proofErr w:type="spellStart"/>
      <w:r w:rsidRPr="00C26A9B">
        <w:rPr>
          <w:rFonts w:ascii="Times New Roman" w:hAnsi="Times New Roman" w:cs="Times New Roman"/>
          <w:bCs/>
          <w:sz w:val="24"/>
          <w:szCs w:val="24"/>
          <w:lang w:val="ro-RO"/>
        </w:rPr>
        <w:t>poziţiilor</w:t>
      </w:r>
      <w:proofErr w:type="spellEnd"/>
      <w:r w:rsidRPr="00C26A9B">
        <w:rPr>
          <w:rFonts w:ascii="Times New Roman" w:hAnsi="Times New Roman" w:cs="Times New Roman"/>
          <w:bCs/>
          <w:sz w:val="24"/>
          <w:szCs w:val="24"/>
          <w:lang w:val="ro-RO"/>
        </w:rPr>
        <w:t xml:space="preserve"> atribuite birourilor de tranzacţionare pentru care banca a primit aprobarea </w:t>
      </w:r>
      <w:r w:rsidR="000639D9">
        <w:rPr>
          <w:rFonts w:ascii="Times New Roman" w:hAnsi="Times New Roman" w:cs="Times New Roman"/>
          <w:bCs/>
          <w:sz w:val="24"/>
          <w:szCs w:val="24"/>
          <w:lang w:val="ro-RO"/>
        </w:rPr>
        <w:t xml:space="preserve">prealabilă a </w:t>
      </w:r>
      <w:r w:rsidRPr="00C26A9B">
        <w:rPr>
          <w:rFonts w:ascii="Times New Roman" w:hAnsi="Times New Roman" w:cs="Times New Roman"/>
          <w:bCs/>
          <w:sz w:val="24"/>
          <w:szCs w:val="24"/>
          <w:lang w:val="ro-RO"/>
        </w:rPr>
        <w:t xml:space="preserve">BNM de a utiliza respectiva abordare alternativă, astfel cum se prevede la </w:t>
      </w:r>
      <w:r w:rsidR="00B40B0E">
        <w:rPr>
          <w:rFonts w:ascii="Times New Roman" w:hAnsi="Times New Roman" w:cs="Times New Roman"/>
          <w:bCs/>
          <w:sz w:val="24"/>
          <w:szCs w:val="24"/>
          <w:lang w:val="ro-RO"/>
        </w:rPr>
        <w:t>pct.330</w:t>
      </w:r>
      <w:r w:rsidRPr="00C26A9B">
        <w:rPr>
          <w:rFonts w:ascii="Times New Roman" w:hAnsi="Times New Roman" w:cs="Times New Roman"/>
          <w:bCs/>
          <w:sz w:val="24"/>
          <w:szCs w:val="24"/>
          <w:lang w:val="ro-RO"/>
        </w:rPr>
        <w:t>;</w:t>
      </w:r>
    </w:p>
    <w:p w14:paraId="10C64A74" w14:textId="1C9BCA50" w:rsidR="00D41270" w:rsidRPr="00C26A9B" w:rsidRDefault="00D41270" w:rsidP="00D41270">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lastRenderedPageBreak/>
        <w:t xml:space="preserve">69.3. abordarea standardizată simplificată </w:t>
      </w:r>
      <w:proofErr w:type="spellStart"/>
      <w:r w:rsidRPr="00C26A9B">
        <w:rPr>
          <w:rFonts w:ascii="Times New Roman" w:hAnsi="Times New Roman" w:cs="Times New Roman"/>
          <w:bCs/>
          <w:sz w:val="24"/>
          <w:szCs w:val="24"/>
          <w:lang w:val="ro-RO"/>
        </w:rPr>
        <w:t>menţionată</w:t>
      </w:r>
      <w:proofErr w:type="spellEnd"/>
      <w:r w:rsidRPr="00C26A9B">
        <w:rPr>
          <w:rFonts w:ascii="Times New Roman" w:hAnsi="Times New Roman" w:cs="Times New Roman"/>
          <w:bCs/>
          <w:sz w:val="24"/>
          <w:szCs w:val="24"/>
          <w:lang w:val="ro-RO"/>
        </w:rPr>
        <w:t xml:space="preserve"> la pct.71, cu </w:t>
      </w:r>
      <w:proofErr w:type="spellStart"/>
      <w:r w:rsidRPr="00C26A9B">
        <w:rPr>
          <w:rFonts w:ascii="Times New Roman" w:hAnsi="Times New Roman" w:cs="Times New Roman"/>
          <w:bCs/>
          <w:sz w:val="24"/>
          <w:szCs w:val="24"/>
          <w:lang w:val="ro-RO"/>
        </w:rPr>
        <w:t>condiţia</w:t>
      </w:r>
      <w:proofErr w:type="spellEnd"/>
      <w:r w:rsidRPr="00C26A9B">
        <w:rPr>
          <w:rFonts w:ascii="Times New Roman" w:hAnsi="Times New Roman" w:cs="Times New Roman"/>
          <w:bCs/>
          <w:sz w:val="24"/>
          <w:szCs w:val="24"/>
          <w:lang w:val="ro-RO"/>
        </w:rPr>
        <w:t xml:space="preserve"> ca banca să îndeplinească </w:t>
      </w:r>
      <w:proofErr w:type="spellStart"/>
      <w:r w:rsidRPr="00C26A9B">
        <w:rPr>
          <w:rFonts w:ascii="Times New Roman" w:hAnsi="Times New Roman" w:cs="Times New Roman"/>
          <w:bCs/>
          <w:sz w:val="24"/>
          <w:szCs w:val="24"/>
          <w:lang w:val="ro-RO"/>
        </w:rPr>
        <w:t>condiţiile</w:t>
      </w:r>
      <w:proofErr w:type="spellEnd"/>
      <w:r w:rsidRPr="00C26A9B">
        <w:rPr>
          <w:rFonts w:ascii="Times New Roman" w:hAnsi="Times New Roman" w:cs="Times New Roman"/>
          <w:bCs/>
          <w:sz w:val="24"/>
          <w:szCs w:val="24"/>
          <w:lang w:val="ro-RO"/>
        </w:rPr>
        <w:t xml:space="preserve"> prevăzute la</w:t>
      </w:r>
      <w:r w:rsidR="00C71909">
        <w:rPr>
          <w:rFonts w:ascii="Times New Roman" w:hAnsi="Times New Roman" w:cs="Times New Roman"/>
          <w:bCs/>
          <w:sz w:val="24"/>
          <w:szCs w:val="24"/>
          <w:lang w:val="ro-RO"/>
        </w:rPr>
        <w:t xml:space="preserve"> </w:t>
      </w:r>
      <w:r w:rsidR="00B40B0E">
        <w:rPr>
          <w:rFonts w:ascii="Times New Roman" w:hAnsi="Times New Roman" w:cs="Times New Roman"/>
          <w:bCs/>
          <w:sz w:val="24"/>
          <w:szCs w:val="24"/>
          <w:lang w:val="ro-RO"/>
        </w:rPr>
        <w:t>pct.79</w:t>
      </w:r>
      <w:r w:rsidRPr="00B40B0E">
        <w:rPr>
          <w:rFonts w:ascii="Times New Roman" w:hAnsi="Times New Roman" w:cs="Times New Roman"/>
          <w:bCs/>
          <w:sz w:val="24"/>
          <w:szCs w:val="24"/>
          <w:lang w:val="ro-RO"/>
        </w:rPr>
        <w:t>.</w:t>
      </w:r>
    </w:p>
    <w:p w14:paraId="226E11FA" w14:textId="2222EEDA" w:rsidR="00490C95" w:rsidRPr="00C26A9B" w:rsidRDefault="00D41270" w:rsidP="00D41270">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70. Prin derogare de la pct.69, o bancă nu calculează </w:t>
      </w:r>
      <w:proofErr w:type="spellStart"/>
      <w:r w:rsidRPr="00C26A9B">
        <w:rPr>
          <w:rFonts w:ascii="Times New Roman" w:hAnsi="Times New Roman" w:cs="Times New Roman"/>
          <w:bCs/>
          <w:sz w:val="24"/>
          <w:szCs w:val="24"/>
          <w:lang w:val="ro-RO"/>
        </w:rPr>
        <w:t>cerinţe</w:t>
      </w:r>
      <w:proofErr w:type="spellEnd"/>
      <w:r w:rsidRPr="00C26A9B">
        <w:rPr>
          <w:rFonts w:ascii="Times New Roman" w:hAnsi="Times New Roman" w:cs="Times New Roman"/>
          <w:bCs/>
          <w:sz w:val="24"/>
          <w:szCs w:val="24"/>
          <w:lang w:val="ro-RO"/>
        </w:rPr>
        <w:t xml:space="preserve"> de fonduri proprii pentru riscul valutar aferente </w:t>
      </w:r>
      <w:proofErr w:type="spellStart"/>
      <w:r w:rsidRPr="00C26A9B">
        <w:rPr>
          <w:rFonts w:ascii="Times New Roman" w:hAnsi="Times New Roman" w:cs="Times New Roman"/>
          <w:bCs/>
          <w:sz w:val="24"/>
          <w:szCs w:val="24"/>
          <w:lang w:val="ro-RO"/>
        </w:rPr>
        <w:t>poziţiilor</w:t>
      </w:r>
      <w:proofErr w:type="spellEnd"/>
      <w:r w:rsidRPr="00C26A9B">
        <w:rPr>
          <w:rFonts w:ascii="Times New Roman" w:hAnsi="Times New Roman" w:cs="Times New Roman"/>
          <w:bCs/>
          <w:sz w:val="24"/>
          <w:szCs w:val="24"/>
          <w:lang w:val="ro-RO"/>
        </w:rPr>
        <w:t xml:space="preserve"> din portofoliul de </w:t>
      </w:r>
      <w:proofErr w:type="spellStart"/>
      <w:r w:rsidRPr="00C26A9B">
        <w:rPr>
          <w:rFonts w:ascii="Times New Roman" w:hAnsi="Times New Roman" w:cs="Times New Roman"/>
          <w:bCs/>
          <w:sz w:val="24"/>
          <w:szCs w:val="24"/>
          <w:lang w:val="ro-RO"/>
        </w:rPr>
        <w:t>tranzacţionare</w:t>
      </w:r>
      <w:proofErr w:type="spellEnd"/>
      <w:r w:rsidRPr="00C26A9B">
        <w:rPr>
          <w:rFonts w:ascii="Times New Roman" w:hAnsi="Times New Roman" w:cs="Times New Roman"/>
          <w:bCs/>
          <w:sz w:val="24"/>
          <w:szCs w:val="24"/>
          <w:lang w:val="ro-RO"/>
        </w:rPr>
        <w:t xml:space="preserve"> și </w:t>
      </w:r>
      <w:proofErr w:type="spellStart"/>
      <w:r w:rsidRPr="00C26A9B">
        <w:rPr>
          <w:rFonts w:ascii="Times New Roman" w:hAnsi="Times New Roman" w:cs="Times New Roman"/>
          <w:bCs/>
          <w:sz w:val="24"/>
          <w:szCs w:val="24"/>
          <w:lang w:val="ro-RO"/>
        </w:rPr>
        <w:t>poziţiilor</w:t>
      </w:r>
      <w:proofErr w:type="spellEnd"/>
      <w:r w:rsidRPr="00C26A9B">
        <w:rPr>
          <w:rFonts w:ascii="Times New Roman" w:hAnsi="Times New Roman" w:cs="Times New Roman"/>
          <w:bCs/>
          <w:sz w:val="24"/>
          <w:szCs w:val="24"/>
          <w:lang w:val="ro-RO"/>
        </w:rPr>
        <w:t xml:space="preserve"> din afara portofoliului de tranzacţionare care prezintă un risc valutar în cazul în care </w:t>
      </w:r>
      <w:proofErr w:type="spellStart"/>
      <w:r w:rsidRPr="00C26A9B">
        <w:rPr>
          <w:rFonts w:ascii="Times New Roman" w:hAnsi="Times New Roman" w:cs="Times New Roman"/>
          <w:bCs/>
          <w:sz w:val="24"/>
          <w:szCs w:val="24"/>
          <w:lang w:val="ro-RO"/>
        </w:rPr>
        <w:t>poziţiile</w:t>
      </w:r>
      <w:proofErr w:type="spellEnd"/>
      <w:r w:rsidRPr="00C26A9B">
        <w:rPr>
          <w:rFonts w:ascii="Times New Roman" w:hAnsi="Times New Roman" w:cs="Times New Roman"/>
          <w:bCs/>
          <w:sz w:val="24"/>
          <w:szCs w:val="24"/>
          <w:lang w:val="ro-RO"/>
        </w:rPr>
        <w:t xml:space="preserve"> respective sunt deduse din fondurile proprii ale băncii. Banca documentează utilizarea derogării prevăzute la prezentul punct, inclusiv impactul acesteia și caracterul ei semnificativ, și pune </w:t>
      </w:r>
      <w:proofErr w:type="spellStart"/>
      <w:r w:rsidRPr="00C26A9B">
        <w:rPr>
          <w:rFonts w:ascii="Times New Roman" w:hAnsi="Times New Roman" w:cs="Times New Roman"/>
          <w:bCs/>
          <w:sz w:val="24"/>
          <w:szCs w:val="24"/>
          <w:lang w:val="ro-RO"/>
        </w:rPr>
        <w:t>informaţiile</w:t>
      </w:r>
      <w:proofErr w:type="spellEnd"/>
      <w:r w:rsidRPr="00C26A9B">
        <w:rPr>
          <w:rFonts w:ascii="Times New Roman" w:hAnsi="Times New Roman" w:cs="Times New Roman"/>
          <w:bCs/>
          <w:sz w:val="24"/>
          <w:szCs w:val="24"/>
          <w:lang w:val="ro-RO"/>
        </w:rPr>
        <w:t xml:space="preserve"> la </w:t>
      </w:r>
      <w:proofErr w:type="spellStart"/>
      <w:r w:rsidRPr="00C26A9B">
        <w:rPr>
          <w:rFonts w:ascii="Times New Roman" w:hAnsi="Times New Roman" w:cs="Times New Roman"/>
          <w:bCs/>
          <w:sz w:val="24"/>
          <w:szCs w:val="24"/>
          <w:lang w:val="ro-RO"/>
        </w:rPr>
        <w:t>dispoziţia</w:t>
      </w:r>
      <w:proofErr w:type="spellEnd"/>
      <w:r w:rsidRPr="00C26A9B">
        <w:rPr>
          <w:rFonts w:ascii="Times New Roman" w:hAnsi="Times New Roman" w:cs="Times New Roman"/>
          <w:bCs/>
          <w:sz w:val="24"/>
          <w:szCs w:val="24"/>
          <w:lang w:val="ro-RO"/>
        </w:rPr>
        <w:t xml:space="preserve"> BNM, la cererea acesteia.</w:t>
      </w:r>
    </w:p>
    <w:p w14:paraId="5CB9E8F2" w14:textId="77777777" w:rsidR="00B115CE" w:rsidRPr="00C26A9B" w:rsidRDefault="00B115CE" w:rsidP="00B115C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71.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fonduri proprii pentru riscul de </w:t>
      </w:r>
      <w:proofErr w:type="spellStart"/>
      <w:r w:rsidRPr="00C26A9B">
        <w:rPr>
          <w:rFonts w:ascii="Times New Roman" w:hAnsi="Times New Roman" w:cs="Times New Roman"/>
          <w:bCs/>
          <w:sz w:val="24"/>
          <w:szCs w:val="24"/>
          <w:lang w:val="ro-RO"/>
        </w:rPr>
        <w:t>piaţă</w:t>
      </w:r>
      <w:proofErr w:type="spellEnd"/>
      <w:r w:rsidRPr="00C26A9B">
        <w:rPr>
          <w:rFonts w:ascii="Times New Roman" w:hAnsi="Times New Roman" w:cs="Times New Roman"/>
          <w:bCs/>
          <w:sz w:val="24"/>
          <w:szCs w:val="24"/>
          <w:lang w:val="ro-RO"/>
        </w:rPr>
        <w:t xml:space="preserve"> calculate în conformitate cu abordarea standardizată simplificată sunt egale cu suma următoarelor </w:t>
      </w:r>
      <w:proofErr w:type="spellStart"/>
      <w:r w:rsidRPr="00C26A9B">
        <w:rPr>
          <w:rFonts w:ascii="Times New Roman" w:hAnsi="Times New Roman" w:cs="Times New Roman"/>
          <w:bCs/>
          <w:sz w:val="24"/>
          <w:szCs w:val="24"/>
          <w:lang w:val="ro-RO"/>
        </w:rPr>
        <w:t>cerinţe</w:t>
      </w:r>
      <w:proofErr w:type="spellEnd"/>
      <w:r w:rsidRPr="00C26A9B">
        <w:rPr>
          <w:rFonts w:ascii="Times New Roman" w:hAnsi="Times New Roman" w:cs="Times New Roman"/>
          <w:bCs/>
          <w:sz w:val="24"/>
          <w:szCs w:val="24"/>
          <w:lang w:val="ro-RO"/>
        </w:rPr>
        <w:t xml:space="preserve"> de fonduri proprii, după caz:</w:t>
      </w:r>
    </w:p>
    <w:p w14:paraId="632A7ACE" w14:textId="77777777" w:rsidR="00B115CE" w:rsidRPr="00C26A9B" w:rsidRDefault="00B115CE" w:rsidP="00B115C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71.1.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fonduri proprii pentru riscul de </w:t>
      </w:r>
      <w:proofErr w:type="spellStart"/>
      <w:r w:rsidRPr="00C26A9B">
        <w:rPr>
          <w:rFonts w:ascii="Times New Roman" w:hAnsi="Times New Roman" w:cs="Times New Roman"/>
          <w:bCs/>
          <w:sz w:val="24"/>
          <w:szCs w:val="24"/>
          <w:lang w:val="ro-RO"/>
        </w:rPr>
        <w:t>poziţie</w:t>
      </w:r>
      <w:proofErr w:type="spellEnd"/>
      <w:r w:rsidRPr="00C26A9B">
        <w:rPr>
          <w:rFonts w:ascii="Times New Roman" w:hAnsi="Times New Roman" w:cs="Times New Roman"/>
          <w:bCs/>
          <w:sz w:val="24"/>
          <w:szCs w:val="24"/>
          <w:lang w:val="ro-RO"/>
        </w:rPr>
        <w:t xml:space="preserve">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în capitolul IV, </w:t>
      </w:r>
      <w:proofErr w:type="spellStart"/>
      <w:r w:rsidRPr="00C26A9B">
        <w:rPr>
          <w:rFonts w:ascii="Times New Roman" w:hAnsi="Times New Roman" w:cs="Times New Roman"/>
          <w:bCs/>
          <w:sz w:val="24"/>
          <w:szCs w:val="24"/>
          <w:lang w:val="ro-RO"/>
        </w:rPr>
        <w:t>înmulţite</w:t>
      </w:r>
      <w:proofErr w:type="spellEnd"/>
      <w:r w:rsidRPr="00C26A9B">
        <w:rPr>
          <w:rFonts w:ascii="Times New Roman" w:hAnsi="Times New Roman" w:cs="Times New Roman"/>
          <w:bCs/>
          <w:sz w:val="24"/>
          <w:szCs w:val="24"/>
          <w:lang w:val="ro-RO"/>
        </w:rPr>
        <w:t xml:space="preserve"> cu:</w:t>
      </w:r>
    </w:p>
    <w:p w14:paraId="6FB62A71" w14:textId="77777777" w:rsidR="00B115CE" w:rsidRPr="00C26A9B" w:rsidRDefault="00B115CE" w:rsidP="00B115C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71.1.1 1,3 pentru riscurile generale și specifice ale </w:t>
      </w:r>
      <w:proofErr w:type="spellStart"/>
      <w:r w:rsidRPr="00C26A9B">
        <w:rPr>
          <w:rFonts w:ascii="Times New Roman" w:hAnsi="Times New Roman" w:cs="Times New Roman"/>
          <w:bCs/>
          <w:sz w:val="24"/>
          <w:szCs w:val="24"/>
          <w:lang w:val="ro-RO"/>
        </w:rPr>
        <w:t>poziţiilor</w:t>
      </w:r>
      <w:proofErr w:type="spellEnd"/>
      <w:r w:rsidRPr="00C26A9B">
        <w:rPr>
          <w:rFonts w:ascii="Times New Roman" w:hAnsi="Times New Roman" w:cs="Times New Roman"/>
          <w:bCs/>
          <w:sz w:val="24"/>
          <w:szCs w:val="24"/>
          <w:lang w:val="ro-RO"/>
        </w:rPr>
        <w:t xml:space="preserve"> pe instrumente de datorie, cu excepţia instrumentelor de securitizare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la paragraful 3, subsecțiunea 1, secțiunea 2, capitolul IV;</w:t>
      </w:r>
    </w:p>
    <w:p w14:paraId="3A8729B0" w14:textId="77777777" w:rsidR="00B115CE" w:rsidRPr="00C26A9B" w:rsidRDefault="00B115CE" w:rsidP="00B115C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71.1.2. 3,5 pentru riscurile generale și specifice ale </w:t>
      </w:r>
      <w:proofErr w:type="spellStart"/>
      <w:r w:rsidRPr="00C26A9B">
        <w:rPr>
          <w:rFonts w:ascii="Times New Roman" w:hAnsi="Times New Roman" w:cs="Times New Roman"/>
          <w:bCs/>
          <w:sz w:val="24"/>
          <w:szCs w:val="24"/>
          <w:lang w:val="ro-RO"/>
        </w:rPr>
        <w:t>poziţiilor</w:t>
      </w:r>
      <w:proofErr w:type="spellEnd"/>
      <w:r w:rsidRPr="00C26A9B">
        <w:rPr>
          <w:rFonts w:ascii="Times New Roman" w:hAnsi="Times New Roman" w:cs="Times New Roman"/>
          <w:bCs/>
          <w:sz w:val="24"/>
          <w:szCs w:val="24"/>
          <w:lang w:val="ro-RO"/>
        </w:rPr>
        <w:t xml:space="preserve"> pe instrumente de capital;</w:t>
      </w:r>
    </w:p>
    <w:p w14:paraId="1C142EB2" w14:textId="4A404D5F" w:rsidR="00B115CE" w:rsidRPr="00C26A9B" w:rsidRDefault="00B115CE" w:rsidP="00B115C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71.2.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fonduri proprii pentru riscul valutar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în capitolul V, </w:t>
      </w:r>
      <w:proofErr w:type="spellStart"/>
      <w:r w:rsidRPr="00C26A9B">
        <w:rPr>
          <w:rFonts w:ascii="Times New Roman" w:hAnsi="Times New Roman" w:cs="Times New Roman"/>
          <w:bCs/>
          <w:sz w:val="24"/>
          <w:szCs w:val="24"/>
          <w:lang w:val="ro-RO"/>
        </w:rPr>
        <w:t>înmulţite</w:t>
      </w:r>
      <w:proofErr w:type="spellEnd"/>
      <w:r w:rsidRPr="00C26A9B">
        <w:rPr>
          <w:rFonts w:ascii="Times New Roman" w:hAnsi="Times New Roman" w:cs="Times New Roman"/>
          <w:bCs/>
          <w:sz w:val="24"/>
          <w:szCs w:val="24"/>
          <w:lang w:val="ro-RO"/>
        </w:rPr>
        <w:t xml:space="preserve"> cu 1,2;</w:t>
      </w:r>
    </w:p>
    <w:p w14:paraId="4D502952" w14:textId="3427FDE5" w:rsidR="00B115CE" w:rsidRPr="00C26A9B" w:rsidRDefault="00B115CE" w:rsidP="00B115C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71.3.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fonduri proprii pentru riscul de marfă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în capitolul VI, </w:t>
      </w:r>
      <w:proofErr w:type="spellStart"/>
      <w:r w:rsidRPr="00C26A9B">
        <w:rPr>
          <w:rFonts w:ascii="Times New Roman" w:hAnsi="Times New Roman" w:cs="Times New Roman"/>
          <w:bCs/>
          <w:sz w:val="24"/>
          <w:szCs w:val="24"/>
          <w:lang w:val="ro-RO"/>
        </w:rPr>
        <w:t>înmulţite</w:t>
      </w:r>
      <w:proofErr w:type="spellEnd"/>
      <w:r w:rsidRPr="00C26A9B">
        <w:rPr>
          <w:rFonts w:ascii="Times New Roman" w:hAnsi="Times New Roman" w:cs="Times New Roman"/>
          <w:bCs/>
          <w:sz w:val="24"/>
          <w:szCs w:val="24"/>
          <w:lang w:val="ro-RO"/>
        </w:rPr>
        <w:t xml:space="preserve"> cu 1,9;</w:t>
      </w:r>
    </w:p>
    <w:p w14:paraId="0766D75D" w14:textId="174E13A5" w:rsidR="00B115CE" w:rsidRPr="00C26A9B" w:rsidRDefault="00B115CE" w:rsidP="00B115CE">
      <w:pPr>
        <w:rPr>
          <w:rFonts w:ascii="Times New Roman" w:hAnsi="Times New Roman" w:cs="Times New Roman"/>
          <w:bCs/>
          <w:sz w:val="24"/>
          <w:szCs w:val="24"/>
          <w:lang w:val="ro-RO"/>
        </w:rPr>
      </w:pPr>
      <w:r w:rsidRPr="00C26A9B">
        <w:rPr>
          <w:rFonts w:ascii="Times New Roman" w:hAnsi="Times New Roman" w:cs="Times New Roman"/>
          <w:bCs/>
          <w:sz w:val="24"/>
          <w:szCs w:val="24"/>
          <w:lang w:val="ro-RO"/>
        </w:rPr>
        <w:t xml:space="preserve">71.4. </w:t>
      </w:r>
      <w:proofErr w:type="spellStart"/>
      <w:r w:rsidRPr="00C26A9B">
        <w:rPr>
          <w:rFonts w:ascii="Times New Roman" w:hAnsi="Times New Roman" w:cs="Times New Roman"/>
          <w:bCs/>
          <w:sz w:val="24"/>
          <w:szCs w:val="24"/>
          <w:lang w:val="ro-RO"/>
        </w:rPr>
        <w:t>cerinţele</w:t>
      </w:r>
      <w:proofErr w:type="spellEnd"/>
      <w:r w:rsidRPr="00C26A9B">
        <w:rPr>
          <w:rFonts w:ascii="Times New Roman" w:hAnsi="Times New Roman" w:cs="Times New Roman"/>
          <w:bCs/>
          <w:sz w:val="24"/>
          <w:szCs w:val="24"/>
          <w:lang w:val="ro-RO"/>
        </w:rPr>
        <w:t xml:space="preserve"> de fonduri proprii pentru instrumentele de securitizare </w:t>
      </w:r>
      <w:proofErr w:type="spellStart"/>
      <w:r w:rsidRPr="00C26A9B">
        <w:rPr>
          <w:rFonts w:ascii="Times New Roman" w:hAnsi="Times New Roman" w:cs="Times New Roman"/>
          <w:bCs/>
          <w:sz w:val="24"/>
          <w:szCs w:val="24"/>
          <w:lang w:val="ro-RO"/>
        </w:rPr>
        <w:t>menţionate</w:t>
      </w:r>
      <w:proofErr w:type="spellEnd"/>
      <w:r w:rsidRPr="00C26A9B">
        <w:rPr>
          <w:rFonts w:ascii="Times New Roman" w:hAnsi="Times New Roman" w:cs="Times New Roman"/>
          <w:bCs/>
          <w:sz w:val="24"/>
          <w:szCs w:val="24"/>
          <w:lang w:val="ro-RO"/>
        </w:rPr>
        <w:t xml:space="preserve"> în paragraful 3, subsecțiunea 1, secțiunea 2, capitolul IV.</w:t>
      </w:r>
    </w:p>
    <w:p w14:paraId="12C63651" w14:textId="7CE4160A" w:rsidR="00160857" w:rsidRPr="00C26A9B" w:rsidRDefault="00160857" w:rsidP="00B115CE">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72. O bancă care utilizează abordarea bazată pe modele interne alternativă </w:t>
      </w:r>
      <w:proofErr w:type="spellStart"/>
      <w:r w:rsidRPr="00C26A9B">
        <w:rPr>
          <w:rFonts w:ascii="Times New Roman" w:hAnsi="Times New Roman" w:cs="Times New Roman"/>
          <w:sz w:val="24"/>
          <w:szCs w:val="24"/>
          <w:lang w:val="ro-RO"/>
        </w:rPr>
        <w:t>menţionată</w:t>
      </w:r>
      <w:proofErr w:type="spellEnd"/>
      <w:r w:rsidRPr="00C26A9B">
        <w:rPr>
          <w:rFonts w:ascii="Times New Roman" w:hAnsi="Times New Roman" w:cs="Times New Roman"/>
          <w:sz w:val="24"/>
          <w:szCs w:val="24"/>
          <w:lang w:val="ro-RO"/>
        </w:rPr>
        <w:t xml:space="preserve"> la subpct.69.2 pentru a calcula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pentru riscul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aferente </w:t>
      </w:r>
      <w:proofErr w:type="spellStart"/>
      <w:r w:rsidRPr="00C26A9B">
        <w:rPr>
          <w:rFonts w:ascii="Times New Roman" w:hAnsi="Times New Roman" w:cs="Times New Roman"/>
          <w:sz w:val="24"/>
          <w:szCs w:val="24"/>
          <w:lang w:val="ro-RO"/>
        </w:rPr>
        <w:t>poziţiilor</w:t>
      </w:r>
      <w:proofErr w:type="spellEnd"/>
      <w:r w:rsidRPr="00C26A9B">
        <w:rPr>
          <w:rFonts w:ascii="Times New Roman" w:hAnsi="Times New Roman" w:cs="Times New Roman"/>
          <w:sz w:val="24"/>
          <w:szCs w:val="24"/>
          <w:lang w:val="ro-RO"/>
        </w:rPr>
        <w:t xml:space="preserve"> din portofoliul de </w:t>
      </w:r>
      <w:proofErr w:type="spellStart"/>
      <w:r w:rsidRPr="00C26A9B">
        <w:rPr>
          <w:rFonts w:ascii="Times New Roman" w:hAnsi="Times New Roman" w:cs="Times New Roman"/>
          <w:sz w:val="24"/>
          <w:szCs w:val="24"/>
          <w:lang w:val="ro-RO"/>
        </w:rPr>
        <w:t>tranzacţionare</w:t>
      </w:r>
      <w:proofErr w:type="spellEnd"/>
      <w:r w:rsidRPr="00C26A9B">
        <w:rPr>
          <w:rFonts w:ascii="Times New Roman" w:hAnsi="Times New Roman" w:cs="Times New Roman"/>
          <w:sz w:val="24"/>
          <w:szCs w:val="24"/>
          <w:lang w:val="ro-RO"/>
        </w:rPr>
        <w:t xml:space="preserve"> și </w:t>
      </w:r>
      <w:proofErr w:type="spellStart"/>
      <w:r w:rsidRPr="00C26A9B">
        <w:rPr>
          <w:rFonts w:ascii="Times New Roman" w:hAnsi="Times New Roman" w:cs="Times New Roman"/>
          <w:sz w:val="24"/>
          <w:szCs w:val="24"/>
          <w:lang w:val="ro-RO"/>
        </w:rPr>
        <w:t>poziţiilor</w:t>
      </w:r>
      <w:proofErr w:type="spellEnd"/>
      <w:r w:rsidRPr="00C26A9B">
        <w:rPr>
          <w:rFonts w:ascii="Times New Roman" w:hAnsi="Times New Roman" w:cs="Times New Roman"/>
          <w:sz w:val="24"/>
          <w:szCs w:val="24"/>
          <w:lang w:val="ro-RO"/>
        </w:rPr>
        <w:t xml:space="preserve"> din afara portofoliului de tranzacţionare care prezintă un risc valutar sau un risc de marfă raportează BNM calculul lunar al </w:t>
      </w:r>
      <w:proofErr w:type="spellStart"/>
      <w:r w:rsidRPr="00C26A9B">
        <w:rPr>
          <w:rFonts w:ascii="Times New Roman" w:hAnsi="Times New Roman" w:cs="Times New Roman"/>
          <w:sz w:val="24"/>
          <w:szCs w:val="24"/>
          <w:lang w:val="ro-RO"/>
        </w:rPr>
        <w:t>cerinţelor</w:t>
      </w:r>
      <w:proofErr w:type="spellEnd"/>
      <w:r w:rsidRPr="00C26A9B">
        <w:rPr>
          <w:rFonts w:ascii="Times New Roman" w:hAnsi="Times New Roman" w:cs="Times New Roman"/>
          <w:sz w:val="24"/>
          <w:szCs w:val="24"/>
          <w:lang w:val="ro-RO"/>
        </w:rPr>
        <w:t xml:space="preserve"> de fonduri proprii pentru riscul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utilizând abordarea standardizată alternativă </w:t>
      </w:r>
      <w:proofErr w:type="spellStart"/>
      <w:r w:rsidRPr="00C26A9B">
        <w:rPr>
          <w:rFonts w:ascii="Times New Roman" w:hAnsi="Times New Roman" w:cs="Times New Roman"/>
          <w:sz w:val="24"/>
          <w:szCs w:val="24"/>
          <w:lang w:val="ro-RO"/>
        </w:rPr>
        <w:t>menţionată</w:t>
      </w:r>
      <w:proofErr w:type="spellEnd"/>
      <w:r w:rsidRPr="00C26A9B">
        <w:rPr>
          <w:rFonts w:ascii="Times New Roman" w:hAnsi="Times New Roman" w:cs="Times New Roman"/>
          <w:sz w:val="24"/>
          <w:szCs w:val="24"/>
          <w:lang w:val="ro-RO"/>
        </w:rPr>
        <w:t xml:space="preserve"> la subpct.69.1 pentru fiecare birou de tranzacţionare căruia i-au fost atribuite </w:t>
      </w:r>
      <w:proofErr w:type="spellStart"/>
      <w:r w:rsidRPr="00C26A9B">
        <w:rPr>
          <w:rFonts w:ascii="Times New Roman" w:hAnsi="Times New Roman" w:cs="Times New Roman"/>
          <w:sz w:val="24"/>
          <w:szCs w:val="24"/>
          <w:lang w:val="ro-RO"/>
        </w:rPr>
        <w:t>poziţiile</w:t>
      </w:r>
      <w:proofErr w:type="spellEnd"/>
      <w:r w:rsidRPr="00C26A9B">
        <w:rPr>
          <w:rFonts w:ascii="Times New Roman" w:hAnsi="Times New Roman" w:cs="Times New Roman"/>
          <w:sz w:val="24"/>
          <w:szCs w:val="24"/>
          <w:lang w:val="ro-RO"/>
        </w:rPr>
        <w:t xml:space="preserve"> respective în conformitate cu secțiunea 5, capitolul III, titlul I.</w:t>
      </w:r>
    </w:p>
    <w:p w14:paraId="395F06B6" w14:textId="56801B8B" w:rsidR="00FC2171" w:rsidRPr="00C26A9B" w:rsidRDefault="00FC2171" w:rsidP="00B115CE">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73. O bancă poate utiliza o </w:t>
      </w:r>
      <w:proofErr w:type="spellStart"/>
      <w:r w:rsidRPr="00C26A9B">
        <w:rPr>
          <w:rFonts w:ascii="Times New Roman" w:hAnsi="Times New Roman" w:cs="Times New Roman"/>
          <w:sz w:val="24"/>
          <w:szCs w:val="24"/>
          <w:lang w:val="ro-RO"/>
        </w:rPr>
        <w:t>combinaţie</w:t>
      </w:r>
      <w:proofErr w:type="spellEnd"/>
      <w:r w:rsidRPr="00C26A9B">
        <w:rPr>
          <w:rFonts w:ascii="Times New Roman" w:hAnsi="Times New Roman" w:cs="Times New Roman"/>
          <w:sz w:val="24"/>
          <w:szCs w:val="24"/>
          <w:lang w:val="ro-RO"/>
        </w:rPr>
        <w:t xml:space="preserve"> între abordarea standardizată alternativă </w:t>
      </w:r>
      <w:proofErr w:type="spellStart"/>
      <w:r w:rsidRPr="00C26A9B">
        <w:rPr>
          <w:rFonts w:ascii="Times New Roman" w:hAnsi="Times New Roman" w:cs="Times New Roman"/>
          <w:sz w:val="24"/>
          <w:szCs w:val="24"/>
          <w:lang w:val="ro-RO"/>
        </w:rPr>
        <w:t>menţionată</w:t>
      </w:r>
      <w:proofErr w:type="spellEnd"/>
      <w:r w:rsidRPr="00C26A9B">
        <w:rPr>
          <w:rFonts w:ascii="Times New Roman" w:hAnsi="Times New Roman" w:cs="Times New Roman"/>
          <w:sz w:val="24"/>
          <w:szCs w:val="24"/>
          <w:lang w:val="ro-RO"/>
        </w:rPr>
        <w:t xml:space="preserve"> la subpct.69.1  și abordarea bazată pe modele interne alternativă </w:t>
      </w:r>
      <w:proofErr w:type="spellStart"/>
      <w:r w:rsidRPr="00C26A9B">
        <w:rPr>
          <w:rFonts w:ascii="Times New Roman" w:hAnsi="Times New Roman" w:cs="Times New Roman"/>
          <w:sz w:val="24"/>
          <w:szCs w:val="24"/>
          <w:lang w:val="ro-RO"/>
        </w:rPr>
        <w:t>menţionată</w:t>
      </w:r>
      <w:proofErr w:type="spellEnd"/>
      <w:r w:rsidRPr="00C26A9B">
        <w:rPr>
          <w:rFonts w:ascii="Times New Roman" w:hAnsi="Times New Roman" w:cs="Times New Roman"/>
          <w:sz w:val="24"/>
          <w:szCs w:val="24"/>
          <w:lang w:val="ro-RO"/>
        </w:rPr>
        <w:t xml:space="preserve"> la subpct.69.2 în mod permanent, cu </w:t>
      </w:r>
      <w:proofErr w:type="spellStart"/>
      <w:r w:rsidRPr="00C26A9B">
        <w:rPr>
          <w:rFonts w:ascii="Times New Roman" w:hAnsi="Times New Roman" w:cs="Times New Roman"/>
          <w:sz w:val="24"/>
          <w:szCs w:val="24"/>
          <w:lang w:val="ro-RO"/>
        </w:rPr>
        <w:t>condiţia</w:t>
      </w:r>
      <w:proofErr w:type="spellEnd"/>
      <w:r w:rsidRPr="00C26A9B">
        <w:rPr>
          <w:rFonts w:ascii="Times New Roman" w:hAnsi="Times New Roman" w:cs="Times New Roman"/>
          <w:sz w:val="24"/>
          <w:szCs w:val="24"/>
          <w:lang w:val="ro-RO"/>
        </w:rPr>
        <w:t xml:space="preserve"> ca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totale pentru riscul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calculate utilizând abordarea bazată pe modele interne alternativă să reprezinte cel </w:t>
      </w:r>
      <w:proofErr w:type="spellStart"/>
      <w:r w:rsidRPr="00C26A9B">
        <w:rPr>
          <w:rFonts w:ascii="Times New Roman" w:hAnsi="Times New Roman" w:cs="Times New Roman"/>
          <w:sz w:val="24"/>
          <w:szCs w:val="24"/>
          <w:lang w:val="ro-RO"/>
        </w:rPr>
        <w:t>puţin</w:t>
      </w:r>
      <w:proofErr w:type="spellEnd"/>
      <w:r w:rsidRPr="00C26A9B">
        <w:rPr>
          <w:rFonts w:ascii="Times New Roman" w:hAnsi="Times New Roman" w:cs="Times New Roman"/>
          <w:sz w:val="24"/>
          <w:szCs w:val="24"/>
          <w:lang w:val="ro-RO"/>
        </w:rPr>
        <w:t xml:space="preserve"> 10 % din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totale pentru riscul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Pe bază individuală, o bancă nu utilizează niciuna dintre aceste abordări în </w:t>
      </w:r>
      <w:proofErr w:type="spellStart"/>
      <w:r w:rsidRPr="00C26A9B">
        <w:rPr>
          <w:rFonts w:ascii="Times New Roman" w:hAnsi="Times New Roman" w:cs="Times New Roman"/>
          <w:sz w:val="24"/>
          <w:szCs w:val="24"/>
          <w:lang w:val="ro-RO"/>
        </w:rPr>
        <w:t>combinaţie</w:t>
      </w:r>
      <w:proofErr w:type="spellEnd"/>
      <w:r w:rsidRPr="00C26A9B">
        <w:rPr>
          <w:rFonts w:ascii="Times New Roman" w:hAnsi="Times New Roman" w:cs="Times New Roman"/>
          <w:sz w:val="24"/>
          <w:szCs w:val="24"/>
          <w:lang w:val="ro-RO"/>
        </w:rPr>
        <w:t xml:space="preserve"> cu abordarea standardizată simplificată </w:t>
      </w:r>
      <w:proofErr w:type="spellStart"/>
      <w:r w:rsidRPr="00C26A9B">
        <w:rPr>
          <w:rFonts w:ascii="Times New Roman" w:hAnsi="Times New Roman" w:cs="Times New Roman"/>
          <w:sz w:val="24"/>
          <w:szCs w:val="24"/>
          <w:lang w:val="ro-RO"/>
        </w:rPr>
        <w:t>menţionată</w:t>
      </w:r>
      <w:proofErr w:type="spellEnd"/>
      <w:r w:rsidRPr="00C26A9B">
        <w:rPr>
          <w:rFonts w:ascii="Times New Roman" w:hAnsi="Times New Roman" w:cs="Times New Roman"/>
          <w:sz w:val="24"/>
          <w:szCs w:val="24"/>
          <w:lang w:val="ro-RO"/>
        </w:rPr>
        <w:t xml:space="preserve"> la subpct.69.3. La nivel consolidat, o bancă poate utiliza o </w:t>
      </w:r>
      <w:proofErr w:type="spellStart"/>
      <w:r w:rsidRPr="00C26A9B">
        <w:rPr>
          <w:rFonts w:ascii="Times New Roman" w:hAnsi="Times New Roman" w:cs="Times New Roman"/>
          <w:sz w:val="24"/>
          <w:szCs w:val="24"/>
          <w:lang w:val="ro-RO"/>
        </w:rPr>
        <w:t>combinaţie</w:t>
      </w:r>
      <w:proofErr w:type="spellEnd"/>
      <w:r w:rsidRPr="00C26A9B">
        <w:rPr>
          <w:rFonts w:ascii="Times New Roman" w:hAnsi="Times New Roman" w:cs="Times New Roman"/>
          <w:sz w:val="24"/>
          <w:szCs w:val="24"/>
          <w:lang w:val="ro-RO"/>
        </w:rPr>
        <w:t xml:space="preserve"> a acestor trei abordări pentru a calcula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pentru riscul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în conformitate cu </w:t>
      </w:r>
      <w:r w:rsidR="00D20247">
        <w:rPr>
          <w:rFonts w:ascii="Times New Roman" w:hAnsi="Times New Roman" w:cs="Times New Roman"/>
          <w:sz w:val="24"/>
          <w:szCs w:val="24"/>
          <w:lang w:val="ro-RO"/>
        </w:rPr>
        <w:t>subpct.91.2</w:t>
      </w:r>
      <w:r w:rsidRPr="00C26A9B">
        <w:rPr>
          <w:rFonts w:ascii="Times New Roman" w:hAnsi="Times New Roman" w:cs="Times New Roman"/>
          <w:sz w:val="24"/>
          <w:szCs w:val="24"/>
          <w:lang w:val="ro-RO"/>
        </w:rPr>
        <w:t xml:space="preserve">, atât timp cât abordarea standardizată simplificată nu este utilizată în </w:t>
      </w:r>
      <w:proofErr w:type="spellStart"/>
      <w:r w:rsidRPr="00C26A9B">
        <w:rPr>
          <w:rFonts w:ascii="Times New Roman" w:hAnsi="Times New Roman" w:cs="Times New Roman"/>
          <w:sz w:val="24"/>
          <w:szCs w:val="24"/>
          <w:lang w:val="ro-RO"/>
        </w:rPr>
        <w:t>combinaţie</w:t>
      </w:r>
      <w:proofErr w:type="spellEnd"/>
      <w:r w:rsidRPr="00C26A9B">
        <w:rPr>
          <w:rFonts w:ascii="Times New Roman" w:hAnsi="Times New Roman" w:cs="Times New Roman"/>
          <w:sz w:val="24"/>
          <w:szCs w:val="24"/>
          <w:lang w:val="ro-RO"/>
        </w:rPr>
        <w:t xml:space="preserve"> cu celelalte două abordări în cadrul unei singure </w:t>
      </w:r>
      <w:proofErr w:type="spellStart"/>
      <w:r w:rsidRPr="00C26A9B">
        <w:rPr>
          <w:rFonts w:ascii="Times New Roman" w:hAnsi="Times New Roman" w:cs="Times New Roman"/>
          <w:sz w:val="24"/>
          <w:szCs w:val="24"/>
          <w:lang w:val="ro-RO"/>
        </w:rPr>
        <w:t>entităţi</w:t>
      </w:r>
      <w:proofErr w:type="spellEnd"/>
      <w:r w:rsidRPr="00C26A9B">
        <w:rPr>
          <w:rFonts w:ascii="Times New Roman" w:hAnsi="Times New Roman" w:cs="Times New Roman"/>
          <w:sz w:val="24"/>
          <w:szCs w:val="24"/>
          <w:lang w:val="ro-RO"/>
        </w:rPr>
        <w:t xml:space="preserve"> juridice.</w:t>
      </w:r>
    </w:p>
    <w:p w14:paraId="091949B7" w14:textId="30EF6F52" w:rsidR="00FC2171" w:rsidRPr="00C26A9B" w:rsidRDefault="00FC2171" w:rsidP="00B115CE">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74. O bancă nu utilizează abordarea bazată pe modele interne alternativă </w:t>
      </w:r>
      <w:proofErr w:type="spellStart"/>
      <w:r w:rsidRPr="00C26A9B">
        <w:rPr>
          <w:rFonts w:ascii="Times New Roman" w:hAnsi="Times New Roman" w:cs="Times New Roman"/>
          <w:sz w:val="24"/>
          <w:szCs w:val="24"/>
          <w:lang w:val="ro-RO"/>
        </w:rPr>
        <w:t>menţionată</w:t>
      </w:r>
      <w:proofErr w:type="spellEnd"/>
      <w:r w:rsidRPr="00C26A9B">
        <w:rPr>
          <w:rFonts w:ascii="Times New Roman" w:hAnsi="Times New Roman" w:cs="Times New Roman"/>
          <w:sz w:val="24"/>
          <w:szCs w:val="24"/>
          <w:lang w:val="ro-RO"/>
        </w:rPr>
        <w:t xml:space="preserve"> la subpct.69.2 pentru instrumentele din portofoliul său de </w:t>
      </w:r>
      <w:proofErr w:type="spellStart"/>
      <w:r w:rsidRPr="00C26A9B">
        <w:rPr>
          <w:rFonts w:ascii="Times New Roman" w:hAnsi="Times New Roman" w:cs="Times New Roman"/>
          <w:sz w:val="24"/>
          <w:szCs w:val="24"/>
          <w:lang w:val="ro-RO"/>
        </w:rPr>
        <w:t>tranzacţionare</w:t>
      </w:r>
      <w:proofErr w:type="spellEnd"/>
      <w:r w:rsidRPr="00C26A9B">
        <w:rPr>
          <w:rFonts w:ascii="Times New Roman" w:hAnsi="Times New Roman" w:cs="Times New Roman"/>
          <w:sz w:val="24"/>
          <w:szCs w:val="24"/>
          <w:lang w:val="ro-RO"/>
        </w:rPr>
        <w:t xml:space="preserve"> care sunt </w:t>
      </w:r>
      <w:proofErr w:type="spellStart"/>
      <w:r w:rsidRPr="00C26A9B">
        <w:rPr>
          <w:rFonts w:ascii="Times New Roman" w:hAnsi="Times New Roman" w:cs="Times New Roman"/>
          <w:sz w:val="24"/>
          <w:szCs w:val="24"/>
          <w:lang w:val="ro-RO"/>
        </w:rPr>
        <w:t>poziţii</w:t>
      </w:r>
      <w:proofErr w:type="spellEnd"/>
      <w:r w:rsidRPr="00C26A9B">
        <w:rPr>
          <w:rFonts w:ascii="Times New Roman" w:hAnsi="Times New Roman" w:cs="Times New Roman"/>
          <w:sz w:val="24"/>
          <w:szCs w:val="24"/>
          <w:lang w:val="ro-RO"/>
        </w:rPr>
        <w:t xml:space="preserve"> din securitizare sau </w:t>
      </w:r>
      <w:proofErr w:type="spellStart"/>
      <w:r w:rsidRPr="00C26A9B">
        <w:rPr>
          <w:rFonts w:ascii="Times New Roman" w:hAnsi="Times New Roman" w:cs="Times New Roman"/>
          <w:sz w:val="24"/>
          <w:szCs w:val="24"/>
          <w:lang w:val="ro-RO"/>
        </w:rPr>
        <w:t>poziţii</w:t>
      </w:r>
      <w:proofErr w:type="spellEnd"/>
      <w:r w:rsidRPr="00C26A9B">
        <w:rPr>
          <w:rFonts w:ascii="Times New Roman" w:hAnsi="Times New Roman" w:cs="Times New Roman"/>
          <w:sz w:val="24"/>
          <w:szCs w:val="24"/>
          <w:lang w:val="ro-RO"/>
        </w:rPr>
        <w:t xml:space="preserve"> incluse în portofoliul de tranzacţionare pe bază de </w:t>
      </w:r>
      <w:proofErr w:type="spellStart"/>
      <w:r w:rsidRPr="00C26A9B">
        <w:rPr>
          <w:rFonts w:ascii="Times New Roman" w:hAnsi="Times New Roman" w:cs="Times New Roman"/>
          <w:sz w:val="24"/>
          <w:szCs w:val="24"/>
          <w:lang w:val="ro-RO"/>
        </w:rPr>
        <w:t>corelaţie</w:t>
      </w:r>
      <w:proofErr w:type="spellEnd"/>
      <w:r w:rsidRPr="00C26A9B">
        <w:rPr>
          <w:rFonts w:ascii="Times New Roman" w:hAnsi="Times New Roman" w:cs="Times New Roman"/>
          <w:sz w:val="24"/>
          <w:szCs w:val="24"/>
          <w:lang w:val="ro-RO"/>
        </w:rPr>
        <w:t xml:space="preserve"> alternativă (ACTP) prevăzute la </w:t>
      </w:r>
      <w:r w:rsidR="003D134E" w:rsidRPr="00C26A9B">
        <w:rPr>
          <w:rFonts w:ascii="Times New Roman" w:hAnsi="Times New Roman" w:cs="Times New Roman"/>
          <w:sz w:val="24"/>
          <w:szCs w:val="24"/>
          <w:lang w:val="ro-RO"/>
        </w:rPr>
        <w:t>pct.75-78.</w:t>
      </w:r>
    </w:p>
    <w:p w14:paraId="6DF15213" w14:textId="77777777" w:rsidR="003D134E" w:rsidRPr="00C26A9B" w:rsidRDefault="003D134E" w:rsidP="003D134E">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75. </w:t>
      </w:r>
      <w:proofErr w:type="spellStart"/>
      <w:r w:rsidRPr="00C26A9B">
        <w:rPr>
          <w:rFonts w:ascii="Times New Roman" w:hAnsi="Times New Roman" w:cs="Times New Roman"/>
          <w:sz w:val="24"/>
          <w:szCs w:val="24"/>
          <w:lang w:val="ro-RO"/>
        </w:rPr>
        <w:t>Poziţiile</w:t>
      </w:r>
      <w:proofErr w:type="spellEnd"/>
      <w:r w:rsidRPr="00C26A9B">
        <w:rPr>
          <w:rFonts w:ascii="Times New Roman" w:hAnsi="Times New Roman" w:cs="Times New Roman"/>
          <w:sz w:val="24"/>
          <w:szCs w:val="24"/>
          <w:lang w:val="ro-RO"/>
        </w:rPr>
        <w:t xml:space="preserve"> din securitizare și instrumentele financiare derivate de credit de tipul „n </w:t>
      </w:r>
      <w:proofErr w:type="spellStart"/>
      <w:r w:rsidRPr="00C26A9B">
        <w:rPr>
          <w:rFonts w:ascii="Times New Roman" w:hAnsi="Times New Roman" w:cs="Times New Roman"/>
          <w:sz w:val="24"/>
          <w:szCs w:val="24"/>
          <w:lang w:val="ro-RO"/>
        </w:rPr>
        <w:t>th</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to-default</w:t>
      </w:r>
      <w:proofErr w:type="spellEnd"/>
      <w:r w:rsidRPr="00C26A9B">
        <w:rPr>
          <w:rFonts w:ascii="Times New Roman" w:hAnsi="Times New Roman" w:cs="Times New Roman"/>
          <w:sz w:val="24"/>
          <w:szCs w:val="24"/>
          <w:lang w:val="ro-RO"/>
        </w:rPr>
        <w:t>” care îndeplinesc toate criteriile următoare se includ în ACTP:</w:t>
      </w:r>
    </w:p>
    <w:p w14:paraId="5DE688DE" w14:textId="77777777" w:rsidR="003D134E" w:rsidRPr="00C26A9B" w:rsidRDefault="003D134E" w:rsidP="003D134E">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75.1. </w:t>
      </w:r>
      <w:proofErr w:type="spellStart"/>
      <w:r w:rsidRPr="00C26A9B">
        <w:rPr>
          <w:rFonts w:ascii="Times New Roman" w:hAnsi="Times New Roman" w:cs="Times New Roman"/>
          <w:sz w:val="24"/>
          <w:szCs w:val="24"/>
          <w:lang w:val="ro-RO"/>
        </w:rPr>
        <w:t>poziţiile</w:t>
      </w:r>
      <w:proofErr w:type="spellEnd"/>
      <w:r w:rsidRPr="00C26A9B">
        <w:rPr>
          <w:rFonts w:ascii="Times New Roman" w:hAnsi="Times New Roman" w:cs="Times New Roman"/>
          <w:sz w:val="24"/>
          <w:szCs w:val="24"/>
          <w:lang w:val="ro-RO"/>
        </w:rPr>
        <w:t xml:space="preserve"> nu sunt nici </w:t>
      </w:r>
      <w:proofErr w:type="spellStart"/>
      <w:r w:rsidRPr="00C26A9B">
        <w:rPr>
          <w:rFonts w:ascii="Times New Roman" w:hAnsi="Times New Roman" w:cs="Times New Roman"/>
          <w:sz w:val="24"/>
          <w:szCs w:val="24"/>
          <w:lang w:val="ro-RO"/>
        </w:rPr>
        <w:t>poziţii</w:t>
      </w:r>
      <w:proofErr w:type="spellEnd"/>
      <w:r w:rsidRPr="00C26A9B">
        <w:rPr>
          <w:rFonts w:ascii="Times New Roman" w:hAnsi="Times New Roman" w:cs="Times New Roman"/>
          <w:sz w:val="24"/>
          <w:szCs w:val="24"/>
          <w:lang w:val="ro-RO"/>
        </w:rPr>
        <w:t xml:space="preserve"> din </w:t>
      </w:r>
      <w:proofErr w:type="spellStart"/>
      <w:r w:rsidRPr="00C26A9B">
        <w:rPr>
          <w:rFonts w:ascii="Times New Roman" w:hAnsi="Times New Roman" w:cs="Times New Roman"/>
          <w:sz w:val="24"/>
          <w:szCs w:val="24"/>
          <w:lang w:val="ro-RO"/>
        </w:rPr>
        <w:t>resecuritizare</w:t>
      </w:r>
      <w:proofErr w:type="spellEnd"/>
      <w:r w:rsidRPr="00C26A9B">
        <w:rPr>
          <w:rFonts w:ascii="Times New Roman" w:hAnsi="Times New Roman" w:cs="Times New Roman"/>
          <w:sz w:val="24"/>
          <w:szCs w:val="24"/>
          <w:lang w:val="ro-RO"/>
        </w:rPr>
        <w:t xml:space="preserve">, nici </w:t>
      </w:r>
      <w:proofErr w:type="spellStart"/>
      <w:r w:rsidRPr="00C26A9B">
        <w:rPr>
          <w:rFonts w:ascii="Times New Roman" w:hAnsi="Times New Roman" w:cs="Times New Roman"/>
          <w:sz w:val="24"/>
          <w:szCs w:val="24"/>
          <w:lang w:val="ro-RO"/>
        </w:rPr>
        <w:t>opţiuni</w:t>
      </w:r>
      <w:proofErr w:type="spellEnd"/>
      <w:r w:rsidRPr="00C26A9B">
        <w:rPr>
          <w:rFonts w:ascii="Times New Roman" w:hAnsi="Times New Roman" w:cs="Times New Roman"/>
          <w:sz w:val="24"/>
          <w:szCs w:val="24"/>
          <w:lang w:val="ro-RO"/>
        </w:rPr>
        <w:t xml:space="preserve"> pe o tranșă din securitizare și nici alte instrumente financiare derivate ale expunerilor din securitizare care nu oferă o repartizare </w:t>
      </w:r>
      <w:proofErr w:type="spellStart"/>
      <w:r w:rsidRPr="00C26A9B">
        <w:rPr>
          <w:rFonts w:ascii="Times New Roman" w:hAnsi="Times New Roman" w:cs="Times New Roman"/>
          <w:sz w:val="24"/>
          <w:szCs w:val="24"/>
          <w:lang w:val="ro-RO"/>
        </w:rPr>
        <w:t>proporţională</w:t>
      </w:r>
      <w:proofErr w:type="spellEnd"/>
    </w:p>
    <w:p w14:paraId="701DA5CE" w14:textId="77777777" w:rsidR="003D134E" w:rsidRPr="00C26A9B" w:rsidRDefault="003D134E" w:rsidP="003D134E">
      <w:pPr>
        <w:rPr>
          <w:rFonts w:ascii="Times New Roman" w:hAnsi="Times New Roman" w:cs="Times New Roman"/>
          <w:sz w:val="24"/>
          <w:szCs w:val="24"/>
          <w:lang w:val="ro-RO"/>
        </w:rPr>
      </w:pPr>
      <w:r w:rsidRPr="00C26A9B">
        <w:rPr>
          <w:rFonts w:ascii="Times New Roman" w:hAnsi="Times New Roman" w:cs="Times New Roman"/>
          <w:sz w:val="24"/>
          <w:szCs w:val="24"/>
          <w:lang w:val="ro-RO"/>
        </w:rPr>
        <w:t>din încasările unei tranșe din securitizare;</w:t>
      </w:r>
    </w:p>
    <w:p w14:paraId="3C6EC506" w14:textId="77777777" w:rsidR="003D134E" w:rsidRPr="00C26A9B" w:rsidRDefault="003D134E" w:rsidP="003D134E">
      <w:pPr>
        <w:rPr>
          <w:rFonts w:ascii="Times New Roman" w:hAnsi="Times New Roman" w:cs="Times New Roman"/>
          <w:sz w:val="24"/>
          <w:szCs w:val="24"/>
          <w:lang w:val="ro-RO"/>
        </w:rPr>
      </w:pPr>
      <w:r w:rsidRPr="00C26A9B">
        <w:rPr>
          <w:rFonts w:ascii="Times New Roman" w:hAnsi="Times New Roman" w:cs="Times New Roman"/>
          <w:sz w:val="24"/>
          <w:szCs w:val="24"/>
          <w:lang w:val="ro-RO"/>
        </w:rPr>
        <w:t>75.2. toate instrumentele lor suport sunt:</w:t>
      </w:r>
    </w:p>
    <w:p w14:paraId="00895452" w14:textId="77777777" w:rsidR="003D134E" w:rsidRPr="00C26A9B" w:rsidRDefault="003D134E" w:rsidP="003D134E">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75.2.1. instrumente având la bază o singură semnătură („single-</w:t>
      </w:r>
      <w:proofErr w:type="spellStart"/>
      <w:r w:rsidRPr="00C26A9B">
        <w:rPr>
          <w:rFonts w:ascii="Times New Roman" w:hAnsi="Times New Roman" w:cs="Times New Roman"/>
          <w:sz w:val="24"/>
          <w:szCs w:val="24"/>
          <w:lang w:val="ro-RO"/>
        </w:rPr>
        <w:t>name</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instruments</w:t>
      </w:r>
      <w:proofErr w:type="spellEnd"/>
      <w:r w:rsidRPr="00C26A9B">
        <w:rPr>
          <w:rFonts w:ascii="Times New Roman" w:hAnsi="Times New Roman" w:cs="Times New Roman"/>
          <w:sz w:val="24"/>
          <w:szCs w:val="24"/>
          <w:lang w:val="ro-RO"/>
        </w:rPr>
        <w:t>”), inclusiv instrumente financiare derivate de credit având la bază o singură semnătură („single-</w:t>
      </w:r>
      <w:proofErr w:type="spellStart"/>
      <w:r w:rsidRPr="00C26A9B">
        <w:rPr>
          <w:rFonts w:ascii="Times New Roman" w:hAnsi="Times New Roman" w:cs="Times New Roman"/>
          <w:sz w:val="24"/>
          <w:szCs w:val="24"/>
          <w:lang w:val="ro-RO"/>
        </w:rPr>
        <w:t>name</w:t>
      </w:r>
      <w:proofErr w:type="spellEnd"/>
      <w:r w:rsidRPr="00C26A9B">
        <w:rPr>
          <w:rFonts w:ascii="Times New Roman" w:hAnsi="Times New Roman" w:cs="Times New Roman"/>
          <w:sz w:val="24"/>
          <w:szCs w:val="24"/>
          <w:lang w:val="ro-RO"/>
        </w:rPr>
        <w:t xml:space="preserve"> credit </w:t>
      </w:r>
      <w:proofErr w:type="spellStart"/>
      <w:r w:rsidRPr="00C26A9B">
        <w:rPr>
          <w:rFonts w:ascii="Times New Roman" w:hAnsi="Times New Roman" w:cs="Times New Roman"/>
          <w:sz w:val="24"/>
          <w:szCs w:val="24"/>
          <w:lang w:val="ro-RO"/>
        </w:rPr>
        <w:t>derivatives</w:t>
      </w:r>
      <w:proofErr w:type="spellEnd"/>
      <w:r w:rsidRPr="00C26A9B">
        <w:rPr>
          <w:rFonts w:ascii="Times New Roman" w:hAnsi="Times New Roman" w:cs="Times New Roman"/>
          <w:sz w:val="24"/>
          <w:szCs w:val="24"/>
          <w:lang w:val="ro-RO"/>
        </w:rPr>
        <w:t xml:space="preserve">”), pentru care există o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lichidă </w:t>
      </w:r>
      <w:proofErr w:type="spellStart"/>
      <w:r w:rsidRPr="00C26A9B">
        <w:rPr>
          <w:rFonts w:ascii="Times New Roman" w:hAnsi="Times New Roman" w:cs="Times New Roman"/>
          <w:sz w:val="24"/>
          <w:szCs w:val="24"/>
          <w:lang w:val="ro-RO"/>
        </w:rPr>
        <w:t>bidirecţională</w:t>
      </w:r>
      <w:proofErr w:type="spellEnd"/>
      <w:r w:rsidRPr="00C26A9B">
        <w:rPr>
          <w:rFonts w:ascii="Times New Roman" w:hAnsi="Times New Roman" w:cs="Times New Roman"/>
          <w:sz w:val="24"/>
          <w:szCs w:val="24"/>
          <w:lang w:val="ro-RO"/>
        </w:rPr>
        <w:t xml:space="preserve">; </w:t>
      </w:r>
    </w:p>
    <w:p w14:paraId="2F7478CD" w14:textId="77777777" w:rsidR="003D134E" w:rsidRPr="00C26A9B" w:rsidRDefault="003D134E" w:rsidP="003D134E">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75.2.2. indici </w:t>
      </w:r>
      <w:proofErr w:type="spellStart"/>
      <w:r w:rsidRPr="00C26A9B">
        <w:rPr>
          <w:rFonts w:ascii="Times New Roman" w:hAnsi="Times New Roman" w:cs="Times New Roman"/>
          <w:sz w:val="24"/>
          <w:szCs w:val="24"/>
          <w:lang w:val="ro-RO"/>
        </w:rPr>
        <w:t>tranzacţionaţi</w:t>
      </w:r>
      <w:proofErr w:type="spellEnd"/>
      <w:r w:rsidRPr="00C26A9B">
        <w:rPr>
          <w:rFonts w:ascii="Times New Roman" w:hAnsi="Times New Roman" w:cs="Times New Roman"/>
          <w:sz w:val="24"/>
          <w:szCs w:val="24"/>
          <w:lang w:val="ro-RO"/>
        </w:rPr>
        <w:t xml:space="preserve"> în mod normal, care se bazează pe instrumentele </w:t>
      </w:r>
      <w:proofErr w:type="spellStart"/>
      <w:r w:rsidRPr="00C26A9B">
        <w:rPr>
          <w:rFonts w:ascii="Times New Roman" w:hAnsi="Times New Roman" w:cs="Times New Roman"/>
          <w:sz w:val="24"/>
          <w:szCs w:val="24"/>
          <w:lang w:val="ro-RO"/>
        </w:rPr>
        <w:t>menţionate</w:t>
      </w:r>
      <w:proofErr w:type="spellEnd"/>
      <w:r w:rsidRPr="00C26A9B">
        <w:rPr>
          <w:rFonts w:ascii="Times New Roman" w:hAnsi="Times New Roman" w:cs="Times New Roman"/>
          <w:sz w:val="24"/>
          <w:szCs w:val="24"/>
          <w:lang w:val="ro-RO"/>
        </w:rPr>
        <w:t xml:space="preserve"> la subpct.75.2.1.</w:t>
      </w:r>
    </w:p>
    <w:p w14:paraId="0546D04A" w14:textId="224B0DFE" w:rsidR="00FC2171" w:rsidRPr="00C26A9B" w:rsidRDefault="003D134E" w:rsidP="003D134E">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76. Se consideră că există o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bidirecţională</w:t>
      </w:r>
      <w:proofErr w:type="spellEnd"/>
      <w:r w:rsidRPr="00C26A9B">
        <w:rPr>
          <w:rFonts w:ascii="Times New Roman" w:hAnsi="Times New Roman" w:cs="Times New Roman"/>
          <w:sz w:val="24"/>
          <w:szCs w:val="24"/>
          <w:lang w:val="ro-RO"/>
        </w:rPr>
        <w:t xml:space="preserve"> atunci când există oferte independente, de bună </w:t>
      </w:r>
      <w:proofErr w:type="spellStart"/>
      <w:r w:rsidRPr="00C26A9B">
        <w:rPr>
          <w:rFonts w:ascii="Times New Roman" w:hAnsi="Times New Roman" w:cs="Times New Roman"/>
          <w:sz w:val="24"/>
          <w:szCs w:val="24"/>
          <w:lang w:val="ro-RO"/>
        </w:rPr>
        <w:t>credinţă</w:t>
      </w:r>
      <w:proofErr w:type="spellEnd"/>
      <w:r w:rsidRPr="00C26A9B">
        <w:rPr>
          <w:rFonts w:ascii="Times New Roman" w:hAnsi="Times New Roman" w:cs="Times New Roman"/>
          <w:sz w:val="24"/>
          <w:szCs w:val="24"/>
          <w:lang w:val="ro-RO"/>
        </w:rPr>
        <w:t xml:space="preserve">, de cumpărare și vânzare, astfel încât în cadrul unei zile să se poată determina un </w:t>
      </w:r>
      <w:proofErr w:type="spellStart"/>
      <w:r w:rsidRPr="00C26A9B">
        <w:rPr>
          <w:rFonts w:ascii="Times New Roman" w:hAnsi="Times New Roman" w:cs="Times New Roman"/>
          <w:sz w:val="24"/>
          <w:szCs w:val="24"/>
          <w:lang w:val="ro-RO"/>
        </w:rPr>
        <w:t>preţ</w:t>
      </w:r>
      <w:proofErr w:type="spellEnd"/>
      <w:r w:rsidRPr="00C26A9B">
        <w:rPr>
          <w:rFonts w:ascii="Times New Roman" w:hAnsi="Times New Roman" w:cs="Times New Roman"/>
          <w:sz w:val="24"/>
          <w:szCs w:val="24"/>
          <w:lang w:val="ro-RO"/>
        </w:rPr>
        <w:t xml:space="preserve"> care este corelat în mod rezonabil cu ultimul </w:t>
      </w:r>
      <w:proofErr w:type="spellStart"/>
      <w:r w:rsidRPr="00C26A9B">
        <w:rPr>
          <w:rFonts w:ascii="Times New Roman" w:hAnsi="Times New Roman" w:cs="Times New Roman"/>
          <w:sz w:val="24"/>
          <w:szCs w:val="24"/>
          <w:lang w:val="ro-RO"/>
        </w:rPr>
        <w:t>preţ</w:t>
      </w:r>
      <w:proofErr w:type="spellEnd"/>
      <w:r w:rsidRPr="00C26A9B">
        <w:rPr>
          <w:rFonts w:ascii="Times New Roman" w:hAnsi="Times New Roman" w:cs="Times New Roman"/>
          <w:sz w:val="24"/>
          <w:szCs w:val="24"/>
          <w:lang w:val="ro-RO"/>
        </w:rPr>
        <w:t xml:space="preserve"> de vânzare sau cu </w:t>
      </w:r>
      <w:proofErr w:type="spellStart"/>
      <w:r w:rsidRPr="00C26A9B">
        <w:rPr>
          <w:rFonts w:ascii="Times New Roman" w:hAnsi="Times New Roman" w:cs="Times New Roman"/>
          <w:sz w:val="24"/>
          <w:szCs w:val="24"/>
          <w:lang w:val="ro-RO"/>
        </w:rPr>
        <w:t>cotaţii</w:t>
      </w:r>
      <w:proofErr w:type="spellEnd"/>
      <w:r w:rsidRPr="00C26A9B">
        <w:rPr>
          <w:rFonts w:ascii="Times New Roman" w:hAnsi="Times New Roman" w:cs="Times New Roman"/>
          <w:sz w:val="24"/>
          <w:szCs w:val="24"/>
          <w:lang w:val="ro-RO"/>
        </w:rPr>
        <w:t xml:space="preserve"> curente competitive, de bună </w:t>
      </w:r>
      <w:proofErr w:type="spellStart"/>
      <w:r w:rsidRPr="00C26A9B">
        <w:rPr>
          <w:rFonts w:ascii="Times New Roman" w:hAnsi="Times New Roman" w:cs="Times New Roman"/>
          <w:sz w:val="24"/>
          <w:szCs w:val="24"/>
          <w:lang w:val="ro-RO"/>
        </w:rPr>
        <w:t>credinţă</w:t>
      </w:r>
      <w:proofErr w:type="spellEnd"/>
      <w:r w:rsidRPr="00C26A9B">
        <w:rPr>
          <w:rFonts w:ascii="Times New Roman" w:hAnsi="Times New Roman" w:cs="Times New Roman"/>
          <w:sz w:val="24"/>
          <w:szCs w:val="24"/>
          <w:lang w:val="ro-RO"/>
        </w:rPr>
        <w:t xml:space="preserve">, de cumpărare sau de vânzare și să se poată efectua decontarea la acest </w:t>
      </w:r>
      <w:proofErr w:type="spellStart"/>
      <w:r w:rsidRPr="00C26A9B">
        <w:rPr>
          <w:rFonts w:ascii="Times New Roman" w:hAnsi="Times New Roman" w:cs="Times New Roman"/>
          <w:sz w:val="24"/>
          <w:szCs w:val="24"/>
          <w:lang w:val="ro-RO"/>
        </w:rPr>
        <w:t>preţ</w:t>
      </w:r>
      <w:proofErr w:type="spellEnd"/>
      <w:r w:rsidRPr="00C26A9B">
        <w:rPr>
          <w:rFonts w:ascii="Times New Roman" w:hAnsi="Times New Roman" w:cs="Times New Roman"/>
          <w:sz w:val="24"/>
          <w:szCs w:val="24"/>
          <w:lang w:val="ro-RO"/>
        </w:rPr>
        <w:t xml:space="preserve"> într-un interval relativ scurt potrivit </w:t>
      </w:r>
      <w:proofErr w:type="spellStart"/>
      <w:r w:rsidRPr="00C26A9B">
        <w:rPr>
          <w:rFonts w:ascii="Times New Roman" w:hAnsi="Times New Roman" w:cs="Times New Roman"/>
          <w:sz w:val="24"/>
          <w:szCs w:val="24"/>
          <w:lang w:val="ro-RO"/>
        </w:rPr>
        <w:t>uzanţei</w:t>
      </w:r>
      <w:proofErr w:type="spellEnd"/>
      <w:r w:rsidRPr="00C26A9B">
        <w:rPr>
          <w:rFonts w:ascii="Times New Roman" w:hAnsi="Times New Roman" w:cs="Times New Roman"/>
          <w:sz w:val="24"/>
          <w:szCs w:val="24"/>
          <w:lang w:val="ro-RO"/>
        </w:rPr>
        <w:t xml:space="preserve"> comerciale.</w:t>
      </w:r>
    </w:p>
    <w:p w14:paraId="74DA3588" w14:textId="77777777" w:rsidR="003D134E" w:rsidRPr="00C26A9B" w:rsidRDefault="003D134E" w:rsidP="003D134E">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77. </w:t>
      </w:r>
      <w:proofErr w:type="spellStart"/>
      <w:r w:rsidRPr="00C26A9B">
        <w:rPr>
          <w:rFonts w:ascii="Times New Roman" w:hAnsi="Times New Roman" w:cs="Times New Roman"/>
          <w:sz w:val="24"/>
          <w:szCs w:val="24"/>
          <w:lang w:val="ro-RO"/>
        </w:rPr>
        <w:t>Poziţiile</w:t>
      </w:r>
      <w:proofErr w:type="spellEnd"/>
      <w:r w:rsidRPr="00C26A9B">
        <w:rPr>
          <w:rFonts w:ascii="Times New Roman" w:hAnsi="Times New Roman" w:cs="Times New Roman"/>
          <w:sz w:val="24"/>
          <w:szCs w:val="24"/>
          <w:lang w:val="ro-RO"/>
        </w:rPr>
        <w:t xml:space="preserve"> cu oricare dintre următoarele instrumente-suport nu se includ în ACTP:</w:t>
      </w:r>
    </w:p>
    <w:p w14:paraId="7244A53A" w14:textId="3AFD22B4" w:rsidR="003D134E" w:rsidRPr="00C26A9B" w:rsidRDefault="003D134E" w:rsidP="007C7CAD">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77.1. instrumente-suport care sunt încadrate în clasele de expuneri </w:t>
      </w:r>
      <w:proofErr w:type="spellStart"/>
      <w:r w:rsidRPr="00C26A9B">
        <w:rPr>
          <w:rFonts w:ascii="Times New Roman" w:hAnsi="Times New Roman" w:cs="Times New Roman"/>
          <w:sz w:val="24"/>
          <w:szCs w:val="24"/>
          <w:lang w:val="ro-RO"/>
        </w:rPr>
        <w:t>menţionate</w:t>
      </w:r>
      <w:proofErr w:type="spellEnd"/>
      <w:r w:rsidRPr="00C26A9B">
        <w:rPr>
          <w:rFonts w:ascii="Times New Roman" w:hAnsi="Times New Roman" w:cs="Times New Roman"/>
          <w:sz w:val="24"/>
          <w:szCs w:val="24"/>
          <w:lang w:val="ro-RO"/>
        </w:rPr>
        <w:t xml:space="preserve"> la subpct.8) sau 9) pct.11 din Regulamentul </w:t>
      </w:r>
      <w:r w:rsidR="007C7CAD" w:rsidRPr="007C7CAD">
        <w:rPr>
          <w:rFonts w:ascii="Times New Roman" w:hAnsi="Times New Roman" w:cs="Times New Roman"/>
          <w:sz w:val="24"/>
          <w:szCs w:val="24"/>
          <w:lang w:val="ro-RO"/>
        </w:rPr>
        <w:t>cu privire la</w:t>
      </w:r>
      <w:r w:rsidR="007C7CAD">
        <w:rPr>
          <w:rFonts w:ascii="Times New Roman" w:hAnsi="Times New Roman" w:cs="Times New Roman"/>
          <w:sz w:val="24"/>
          <w:szCs w:val="24"/>
          <w:lang w:val="ro-RO"/>
        </w:rPr>
        <w:t xml:space="preserve"> </w:t>
      </w:r>
      <w:r w:rsidR="007C7CAD" w:rsidRPr="007C7CAD">
        <w:rPr>
          <w:rFonts w:ascii="Times New Roman" w:hAnsi="Times New Roman" w:cs="Times New Roman"/>
          <w:sz w:val="24"/>
          <w:szCs w:val="24"/>
          <w:lang w:val="ro-RO"/>
        </w:rPr>
        <w:t>tratamentul riscului de credit pentru bănci potrivit abordării standardizate</w:t>
      </w:r>
      <w:r w:rsidR="007C7CAD">
        <w:rPr>
          <w:rFonts w:ascii="Times New Roman" w:hAnsi="Times New Roman" w:cs="Times New Roman"/>
          <w:sz w:val="24"/>
          <w:szCs w:val="24"/>
          <w:lang w:val="ro-RO"/>
        </w:rPr>
        <w:t xml:space="preserve">, aprobat prin hotărârea Comitetului executiv al BNM </w:t>
      </w:r>
      <w:r w:rsidRPr="00C26A9B">
        <w:rPr>
          <w:rFonts w:ascii="Times New Roman" w:hAnsi="Times New Roman" w:cs="Times New Roman"/>
          <w:sz w:val="24"/>
          <w:szCs w:val="24"/>
          <w:lang w:val="ro-RO"/>
        </w:rPr>
        <w:t>nr.111/2018</w:t>
      </w:r>
      <w:r w:rsidR="007C7CAD">
        <w:rPr>
          <w:rFonts w:ascii="Times New Roman" w:hAnsi="Times New Roman" w:cs="Times New Roman"/>
          <w:sz w:val="24"/>
          <w:szCs w:val="24"/>
          <w:lang w:val="ro-RO"/>
        </w:rPr>
        <w:t xml:space="preserve"> (în continuare – Regulamentul nr.111/2018)</w:t>
      </w:r>
      <w:r w:rsidRPr="00C26A9B">
        <w:rPr>
          <w:rFonts w:ascii="Times New Roman" w:hAnsi="Times New Roman" w:cs="Times New Roman"/>
          <w:sz w:val="24"/>
          <w:szCs w:val="24"/>
          <w:lang w:val="ro-RO"/>
        </w:rPr>
        <w:t>;</w:t>
      </w:r>
    </w:p>
    <w:p w14:paraId="08E25ED4" w14:textId="4E83A7F7" w:rsidR="003D134E" w:rsidRPr="00C26A9B" w:rsidRDefault="003D134E" w:rsidP="003D134E">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77.2. o </w:t>
      </w:r>
      <w:proofErr w:type="spellStart"/>
      <w:r w:rsidRPr="00C26A9B">
        <w:rPr>
          <w:rFonts w:ascii="Times New Roman" w:hAnsi="Times New Roman" w:cs="Times New Roman"/>
          <w:sz w:val="24"/>
          <w:szCs w:val="24"/>
          <w:lang w:val="ro-RO"/>
        </w:rPr>
        <w:t>creanţă</w:t>
      </w:r>
      <w:proofErr w:type="spellEnd"/>
      <w:r w:rsidRPr="00C26A9B">
        <w:rPr>
          <w:rFonts w:ascii="Times New Roman" w:hAnsi="Times New Roman" w:cs="Times New Roman"/>
          <w:sz w:val="24"/>
          <w:szCs w:val="24"/>
          <w:lang w:val="ro-RO"/>
        </w:rPr>
        <w:t xml:space="preserve"> asupra unei </w:t>
      </w:r>
      <w:proofErr w:type="spellStart"/>
      <w:r w:rsidRPr="00C26A9B">
        <w:rPr>
          <w:rFonts w:ascii="Times New Roman" w:hAnsi="Times New Roman" w:cs="Times New Roman"/>
          <w:sz w:val="24"/>
          <w:szCs w:val="24"/>
          <w:lang w:val="ro-RO"/>
        </w:rPr>
        <w:t>entităţi</w:t>
      </w:r>
      <w:proofErr w:type="spellEnd"/>
      <w:r w:rsidRPr="00C26A9B">
        <w:rPr>
          <w:rFonts w:ascii="Times New Roman" w:hAnsi="Times New Roman" w:cs="Times New Roman"/>
          <w:sz w:val="24"/>
          <w:szCs w:val="24"/>
          <w:lang w:val="ro-RO"/>
        </w:rPr>
        <w:t xml:space="preserve"> cu scop special, garantată, direct sau indirect, cu o </w:t>
      </w:r>
      <w:proofErr w:type="spellStart"/>
      <w:r w:rsidRPr="00C26A9B">
        <w:rPr>
          <w:rFonts w:ascii="Times New Roman" w:hAnsi="Times New Roman" w:cs="Times New Roman"/>
          <w:sz w:val="24"/>
          <w:szCs w:val="24"/>
          <w:lang w:val="ro-RO"/>
        </w:rPr>
        <w:t>poziţie</w:t>
      </w:r>
      <w:proofErr w:type="spellEnd"/>
      <w:r w:rsidRPr="00C26A9B">
        <w:rPr>
          <w:rFonts w:ascii="Times New Roman" w:hAnsi="Times New Roman" w:cs="Times New Roman"/>
          <w:sz w:val="24"/>
          <w:szCs w:val="24"/>
          <w:lang w:val="ro-RO"/>
        </w:rPr>
        <w:t xml:space="preserve"> care, în conformitate cu pct.75, nu ar fi eligibilă în sine pentru includere în ACTP.</w:t>
      </w:r>
    </w:p>
    <w:p w14:paraId="6AE787B3" w14:textId="29AC38DB" w:rsidR="003D134E" w:rsidRPr="00C26A9B" w:rsidRDefault="003D134E" w:rsidP="003D134E">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78. Băncile pot include în ACTP </w:t>
      </w:r>
      <w:proofErr w:type="spellStart"/>
      <w:r w:rsidRPr="00C26A9B">
        <w:rPr>
          <w:rFonts w:ascii="Times New Roman" w:hAnsi="Times New Roman" w:cs="Times New Roman"/>
          <w:sz w:val="24"/>
          <w:szCs w:val="24"/>
          <w:lang w:val="ro-RO"/>
        </w:rPr>
        <w:t>poziţii</w:t>
      </w:r>
      <w:proofErr w:type="spellEnd"/>
      <w:r w:rsidRPr="00C26A9B">
        <w:rPr>
          <w:rFonts w:ascii="Times New Roman" w:hAnsi="Times New Roman" w:cs="Times New Roman"/>
          <w:sz w:val="24"/>
          <w:szCs w:val="24"/>
          <w:lang w:val="ro-RO"/>
        </w:rPr>
        <w:t xml:space="preserve"> care nu sunt nici </w:t>
      </w:r>
      <w:proofErr w:type="spellStart"/>
      <w:r w:rsidRPr="00C26A9B">
        <w:rPr>
          <w:rFonts w:ascii="Times New Roman" w:hAnsi="Times New Roman" w:cs="Times New Roman"/>
          <w:sz w:val="24"/>
          <w:szCs w:val="24"/>
          <w:lang w:val="ro-RO"/>
        </w:rPr>
        <w:t>poziţii</w:t>
      </w:r>
      <w:proofErr w:type="spellEnd"/>
      <w:r w:rsidRPr="00C26A9B">
        <w:rPr>
          <w:rFonts w:ascii="Times New Roman" w:hAnsi="Times New Roman" w:cs="Times New Roman"/>
          <w:sz w:val="24"/>
          <w:szCs w:val="24"/>
          <w:lang w:val="ro-RO"/>
        </w:rPr>
        <w:t xml:space="preserve"> din securitizare, nici instrumente financiare derivate de credit de tipul „n </w:t>
      </w:r>
      <w:proofErr w:type="spellStart"/>
      <w:r w:rsidRPr="00C26A9B">
        <w:rPr>
          <w:rFonts w:ascii="Times New Roman" w:hAnsi="Times New Roman" w:cs="Times New Roman"/>
          <w:sz w:val="24"/>
          <w:szCs w:val="24"/>
          <w:lang w:val="ro-RO"/>
        </w:rPr>
        <w:t>th</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to-default</w:t>
      </w:r>
      <w:proofErr w:type="spellEnd"/>
      <w:r w:rsidRPr="00C26A9B">
        <w:rPr>
          <w:rFonts w:ascii="Times New Roman" w:hAnsi="Times New Roman" w:cs="Times New Roman"/>
          <w:sz w:val="24"/>
          <w:szCs w:val="24"/>
          <w:lang w:val="ro-RO"/>
        </w:rPr>
        <w:t xml:space="preserve">”, dar care acoperă alte </w:t>
      </w:r>
      <w:proofErr w:type="spellStart"/>
      <w:r w:rsidRPr="00C26A9B">
        <w:rPr>
          <w:rFonts w:ascii="Times New Roman" w:hAnsi="Times New Roman" w:cs="Times New Roman"/>
          <w:sz w:val="24"/>
          <w:szCs w:val="24"/>
          <w:lang w:val="ro-RO"/>
        </w:rPr>
        <w:t>poziţii</w:t>
      </w:r>
      <w:proofErr w:type="spellEnd"/>
      <w:r w:rsidRPr="00C26A9B">
        <w:rPr>
          <w:rFonts w:ascii="Times New Roman" w:hAnsi="Times New Roman" w:cs="Times New Roman"/>
          <w:sz w:val="24"/>
          <w:szCs w:val="24"/>
          <w:lang w:val="ro-RO"/>
        </w:rPr>
        <w:t xml:space="preserve"> din acest portofoliu, cu </w:t>
      </w:r>
      <w:proofErr w:type="spellStart"/>
      <w:r w:rsidRPr="00C26A9B">
        <w:rPr>
          <w:rFonts w:ascii="Times New Roman" w:hAnsi="Times New Roman" w:cs="Times New Roman"/>
          <w:sz w:val="24"/>
          <w:szCs w:val="24"/>
          <w:lang w:val="ro-RO"/>
        </w:rPr>
        <w:t>condiţia</w:t>
      </w:r>
      <w:proofErr w:type="spellEnd"/>
      <w:r w:rsidRPr="00C26A9B">
        <w:rPr>
          <w:rFonts w:ascii="Times New Roman" w:hAnsi="Times New Roman" w:cs="Times New Roman"/>
          <w:sz w:val="24"/>
          <w:szCs w:val="24"/>
          <w:lang w:val="ro-RO"/>
        </w:rPr>
        <w:t xml:space="preserve"> să existe o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lichidă </w:t>
      </w:r>
      <w:proofErr w:type="spellStart"/>
      <w:r w:rsidRPr="00C26A9B">
        <w:rPr>
          <w:rFonts w:ascii="Times New Roman" w:hAnsi="Times New Roman" w:cs="Times New Roman"/>
          <w:sz w:val="24"/>
          <w:szCs w:val="24"/>
          <w:lang w:val="ro-RO"/>
        </w:rPr>
        <w:t>bidirecţională</w:t>
      </w:r>
      <w:proofErr w:type="spellEnd"/>
      <w:r w:rsidRPr="00C26A9B">
        <w:rPr>
          <w:rFonts w:ascii="Times New Roman" w:hAnsi="Times New Roman" w:cs="Times New Roman"/>
          <w:sz w:val="24"/>
          <w:szCs w:val="24"/>
          <w:lang w:val="ro-RO"/>
        </w:rPr>
        <w:t>, astfel cum este descrisă la pct.76, pentru instrumentul respectiv sau pentru instrumentele-suport ale acestuia.</w:t>
      </w:r>
    </w:p>
    <w:p w14:paraId="612B7FA5" w14:textId="1AE38152" w:rsidR="0093372F" w:rsidRPr="00C26A9B" w:rsidRDefault="00B13485" w:rsidP="003D134E">
      <w:pPr>
        <w:rPr>
          <w:rFonts w:ascii="Times New Roman" w:hAnsi="Times New Roman" w:cs="Times New Roman"/>
          <w:b/>
          <w:bCs/>
          <w:sz w:val="24"/>
          <w:szCs w:val="24"/>
          <w:lang w:val="ro-RO"/>
        </w:rPr>
      </w:pPr>
      <w:r w:rsidRPr="00CC1E9B">
        <w:rPr>
          <w:rFonts w:ascii="Times New Roman" w:hAnsi="Times New Roman" w:cs="Times New Roman"/>
          <w:b/>
          <w:bCs/>
          <w:sz w:val="24"/>
          <w:szCs w:val="24"/>
          <w:lang w:val="ro-RO"/>
        </w:rPr>
        <w:t>Secțiunea 2.</w:t>
      </w:r>
      <w:r w:rsidRPr="00C26A9B">
        <w:rPr>
          <w:rFonts w:ascii="Times New Roman" w:hAnsi="Times New Roman" w:cs="Times New Roman"/>
          <w:i/>
          <w:iCs/>
          <w:sz w:val="24"/>
          <w:szCs w:val="24"/>
          <w:lang w:val="ro-RO"/>
        </w:rPr>
        <w:t xml:space="preserve"> </w:t>
      </w:r>
      <w:proofErr w:type="spellStart"/>
      <w:r w:rsidRPr="00C26A9B">
        <w:rPr>
          <w:rFonts w:ascii="Times New Roman" w:hAnsi="Times New Roman" w:cs="Times New Roman"/>
          <w:b/>
          <w:bCs/>
          <w:sz w:val="24"/>
          <w:szCs w:val="24"/>
          <w:lang w:val="ro-RO"/>
        </w:rPr>
        <w:t>Condiţii</w:t>
      </w:r>
      <w:proofErr w:type="spellEnd"/>
      <w:r w:rsidRPr="00C26A9B">
        <w:rPr>
          <w:rFonts w:ascii="Times New Roman" w:hAnsi="Times New Roman" w:cs="Times New Roman"/>
          <w:b/>
          <w:bCs/>
          <w:sz w:val="24"/>
          <w:szCs w:val="24"/>
          <w:lang w:val="ro-RO"/>
        </w:rPr>
        <w:t xml:space="preserve"> pentru utilizarea abordării standardizate simplificate</w:t>
      </w:r>
    </w:p>
    <w:p w14:paraId="5AA3AB4D" w14:textId="77777777" w:rsidR="005D6462" w:rsidRPr="00C26A9B" w:rsidRDefault="005D6462" w:rsidP="005D6462">
      <w:pPr>
        <w:rPr>
          <w:rFonts w:ascii="Times New Roman" w:hAnsi="Times New Roman" w:cs="Times New Roman"/>
          <w:sz w:val="24"/>
          <w:szCs w:val="24"/>
          <w:lang w:val="ro-RO"/>
        </w:rPr>
      </w:pPr>
      <w:r w:rsidRPr="00C26A9B">
        <w:rPr>
          <w:rFonts w:ascii="Times New Roman" w:hAnsi="Times New Roman" w:cs="Times New Roman"/>
          <w:sz w:val="24"/>
          <w:szCs w:val="24"/>
          <w:lang w:val="ro-RO"/>
        </w:rPr>
        <w:t>79.</w:t>
      </w:r>
      <w:r w:rsidRPr="00C26A9B">
        <w:rPr>
          <w:rFonts w:ascii="Times New Roman" w:hAnsi="Times New Roman" w:cs="Times New Roman"/>
          <w:b/>
          <w:bCs/>
          <w:sz w:val="24"/>
          <w:szCs w:val="24"/>
          <w:lang w:val="ro-RO"/>
        </w:rPr>
        <w:t xml:space="preserve"> </w:t>
      </w:r>
      <w:r w:rsidRPr="00C26A9B">
        <w:rPr>
          <w:rFonts w:ascii="Times New Roman" w:hAnsi="Times New Roman" w:cs="Times New Roman"/>
          <w:sz w:val="24"/>
          <w:szCs w:val="24"/>
          <w:lang w:val="ro-RO"/>
        </w:rPr>
        <w:t xml:space="preserve">O bancă poate calcula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pentru riscul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utilizând abordarea standardizată simplificată </w:t>
      </w:r>
      <w:proofErr w:type="spellStart"/>
      <w:r w:rsidRPr="00C26A9B">
        <w:rPr>
          <w:rFonts w:ascii="Times New Roman" w:hAnsi="Times New Roman" w:cs="Times New Roman"/>
          <w:sz w:val="24"/>
          <w:szCs w:val="24"/>
          <w:lang w:val="ro-RO"/>
        </w:rPr>
        <w:t>menţionată</w:t>
      </w:r>
      <w:proofErr w:type="spellEnd"/>
      <w:r w:rsidRPr="00C26A9B">
        <w:rPr>
          <w:rFonts w:ascii="Times New Roman" w:hAnsi="Times New Roman" w:cs="Times New Roman"/>
          <w:sz w:val="24"/>
          <w:szCs w:val="24"/>
          <w:lang w:val="ro-RO"/>
        </w:rPr>
        <w:t xml:space="preserve"> la subpct.69.3, cu </w:t>
      </w:r>
      <w:proofErr w:type="spellStart"/>
      <w:r w:rsidRPr="00C26A9B">
        <w:rPr>
          <w:rFonts w:ascii="Times New Roman" w:hAnsi="Times New Roman" w:cs="Times New Roman"/>
          <w:sz w:val="24"/>
          <w:szCs w:val="24"/>
          <w:lang w:val="ro-RO"/>
        </w:rPr>
        <w:t>condiţia</w:t>
      </w:r>
      <w:proofErr w:type="spellEnd"/>
      <w:r w:rsidRPr="00C26A9B">
        <w:rPr>
          <w:rFonts w:ascii="Times New Roman" w:hAnsi="Times New Roman" w:cs="Times New Roman"/>
          <w:sz w:val="24"/>
          <w:szCs w:val="24"/>
          <w:lang w:val="ro-RO"/>
        </w:rPr>
        <w:t xml:space="preserve"> ca dimensiunea </w:t>
      </w:r>
      <w:proofErr w:type="spellStart"/>
      <w:r w:rsidRPr="00C26A9B">
        <w:rPr>
          <w:rFonts w:ascii="Times New Roman" w:hAnsi="Times New Roman" w:cs="Times New Roman"/>
          <w:sz w:val="24"/>
          <w:szCs w:val="24"/>
          <w:lang w:val="ro-RO"/>
        </w:rPr>
        <w:t>operaţiunilor</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bilanţiere</w:t>
      </w:r>
      <w:proofErr w:type="spellEnd"/>
      <w:r w:rsidRPr="00C26A9B">
        <w:rPr>
          <w:rFonts w:ascii="Times New Roman" w:hAnsi="Times New Roman" w:cs="Times New Roman"/>
          <w:sz w:val="24"/>
          <w:szCs w:val="24"/>
          <w:lang w:val="ro-RO"/>
        </w:rPr>
        <w:t xml:space="preserve"> și </w:t>
      </w:r>
      <w:proofErr w:type="spellStart"/>
      <w:r w:rsidRPr="00C26A9B">
        <w:rPr>
          <w:rFonts w:ascii="Times New Roman" w:hAnsi="Times New Roman" w:cs="Times New Roman"/>
          <w:sz w:val="24"/>
          <w:szCs w:val="24"/>
          <w:lang w:val="ro-RO"/>
        </w:rPr>
        <w:t>extrabilanţiere</w:t>
      </w:r>
      <w:proofErr w:type="spellEnd"/>
      <w:r w:rsidRPr="00C26A9B">
        <w:rPr>
          <w:rFonts w:ascii="Times New Roman" w:hAnsi="Times New Roman" w:cs="Times New Roman"/>
          <w:sz w:val="24"/>
          <w:szCs w:val="24"/>
          <w:lang w:val="ro-RO"/>
        </w:rPr>
        <w:t xml:space="preserve"> ale băncii care prezintă un risc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să fie mai mică sau egală cu fiecare dintre următoarele praguri, pe baza unei evaluări realizate lunar, utilizând datele din ultima zi a lunii: </w:t>
      </w:r>
    </w:p>
    <w:p w14:paraId="53EF8821" w14:textId="77777777" w:rsidR="005D6462" w:rsidRPr="00C26A9B" w:rsidRDefault="005D6462" w:rsidP="005D6462">
      <w:pPr>
        <w:rPr>
          <w:rFonts w:ascii="Times New Roman" w:hAnsi="Times New Roman" w:cs="Times New Roman"/>
          <w:sz w:val="24"/>
          <w:szCs w:val="24"/>
          <w:lang w:val="ro-RO"/>
        </w:rPr>
      </w:pPr>
      <w:r w:rsidRPr="00C26A9B">
        <w:rPr>
          <w:rFonts w:ascii="Times New Roman" w:hAnsi="Times New Roman" w:cs="Times New Roman"/>
          <w:sz w:val="24"/>
          <w:szCs w:val="24"/>
          <w:lang w:val="ro-RO"/>
        </w:rPr>
        <w:t>79.1. 10 % din activele totale ale băncii;</w:t>
      </w:r>
    </w:p>
    <w:p w14:paraId="27464E0E" w14:textId="2C9F2E55" w:rsidR="005D6462" w:rsidRPr="00C26A9B" w:rsidRDefault="005D6462" w:rsidP="005D6462">
      <w:pPr>
        <w:rPr>
          <w:rFonts w:ascii="Times New Roman" w:hAnsi="Times New Roman" w:cs="Times New Roman"/>
          <w:sz w:val="24"/>
          <w:szCs w:val="24"/>
          <w:lang w:val="ro-RO"/>
        </w:rPr>
      </w:pPr>
      <w:r w:rsidRPr="00C26A9B">
        <w:rPr>
          <w:rFonts w:ascii="Times New Roman" w:hAnsi="Times New Roman" w:cs="Times New Roman"/>
          <w:sz w:val="24"/>
          <w:szCs w:val="24"/>
          <w:lang w:val="ro-RO"/>
        </w:rPr>
        <w:t>79.2. 500 de milioane EUR.</w:t>
      </w:r>
    </w:p>
    <w:p w14:paraId="1D1B85B6" w14:textId="6F152EBE" w:rsidR="005D6462" w:rsidRPr="00C26A9B" w:rsidRDefault="005D6462" w:rsidP="005D646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80. Băncile calculează volumul </w:t>
      </w:r>
      <w:proofErr w:type="spellStart"/>
      <w:r w:rsidRPr="00C26A9B">
        <w:rPr>
          <w:rFonts w:ascii="Times New Roman" w:hAnsi="Times New Roman" w:cs="Times New Roman"/>
          <w:sz w:val="24"/>
          <w:szCs w:val="24"/>
          <w:lang w:val="ro-RO"/>
        </w:rPr>
        <w:t>operaţiunilor</w:t>
      </w:r>
      <w:proofErr w:type="spellEnd"/>
      <w:r w:rsidRPr="00C26A9B">
        <w:rPr>
          <w:rFonts w:ascii="Times New Roman" w:hAnsi="Times New Roman" w:cs="Times New Roman"/>
          <w:sz w:val="24"/>
          <w:szCs w:val="24"/>
          <w:lang w:val="ro-RO"/>
        </w:rPr>
        <w:t xml:space="preserve"> lor </w:t>
      </w:r>
      <w:proofErr w:type="spellStart"/>
      <w:r w:rsidRPr="00C26A9B">
        <w:rPr>
          <w:rFonts w:ascii="Times New Roman" w:hAnsi="Times New Roman" w:cs="Times New Roman"/>
          <w:sz w:val="24"/>
          <w:szCs w:val="24"/>
          <w:lang w:val="ro-RO"/>
        </w:rPr>
        <w:t>bilanţiere</w:t>
      </w:r>
      <w:proofErr w:type="spellEnd"/>
      <w:r w:rsidRPr="00C26A9B">
        <w:rPr>
          <w:rFonts w:ascii="Times New Roman" w:hAnsi="Times New Roman" w:cs="Times New Roman"/>
          <w:sz w:val="24"/>
          <w:szCs w:val="24"/>
          <w:lang w:val="ro-RO"/>
        </w:rPr>
        <w:t xml:space="preserve"> și extrabilanţiere care prezintă un risc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utilizând date din ultima zi a lunii, în conformitate cu următoarele </w:t>
      </w:r>
      <w:proofErr w:type="spellStart"/>
      <w:r w:rsidRPr="00C26A9B">
        <w:rPr>
          <w:rFonts w:ascii="Times New Roman" w:hAnsi="Times New Roman" w:cs="Times New Roman"/>
          <w:sz w:val="24"/>
          <w:szCs w:val="24"/>
          <w:lang w:val="ro-RO"/>
        </w:rPr>
        <w:t>cerinţe</w:t>
      </w:r>
      <w:proofErr w:type="spellEnd"/>
      <w:r w:rsidRPr="00C26A9B">
        <w:rPr>
          <w:rFonts w:ascii="Times New Roman" w:hAnsi="Times New Roman" w:cs="Times New Roman"/>
          <w:sz w:val="24"/>
          <w:szCs w:val="24"/>
          <w:lang w:val="ro-RO"/>
        </w:rPr>
        <w:t>:</w:t>
      </w:r>
    </w:p>
    <w:p w14:paraId="05B478F1" w14:textId="659A27AB" w:rsidR="005D6462" w:rsidRPr="00C26A9B" w:rsidRDefault="005D6462" w:rsidP="005D646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80.1 sunt incluse toate </w:t>
      </w:r>
      <w:proofErr w:type="spellStart"/>
      <w:r w:rsidRPr="00C26A9B">
        <w:rPr>
          <w:rFonts w:ascii="Times New Roman" w:hAnsi="Times New Roman" w:cs="Times New Roman"/>
          <w:sz w:val="24"/>
          <w:szCs w:val="24"/>
          <w:lang w:val="ro-RO"/>
        </w:rPr>
        <w:t>poziţiile</w:t>
      </w:r>
      <w:proofErr w:type="spellEnd"/>
      <w:r w:rsidRPr="00C26A9B">
        <w:rPr>
          <w:rFonts w:ascii="Times New Roman" w:hAnsi="Times New Roman" w:cs="Times New Roman"/>
          <w:sz w:val="24"/>
          <w:szCs w:val="24"/>
          <w:lang w:val="ro-RO"/>
        </w:rPr>
        <w:t xml:space="preserve"> din portofoliul de tranzacţionare, cu excepţia instrumentelor financiare derivate de credit care sunt recunoscute ca acoperiri interne împotriva expunerilor la riscul de credit din afara portofoliului de </w:t>
      </w:r>
      <w:proofErr w:type="spellStart"/>
      <w:r w:rsidRPr="00C26A9B">
        <w:rPr>
          <w:rFonts w:ascii="Times New Roman" w:hAnsi="Times New Roman" w:cs="Times New Roman"/>
          <w:sz w:val="24"/>
          <w:szCs w:val="24"/>
          <w:lang w:val="ro-RO"/>
        </w:rPr>
        <w:t>tranzacţionare</w:t>
      </w:r>
      <w:proofErr w:type="spellEnd"/>
      <w:r w:rsidRPr="00C26A9B">
        <w:rPr>
          <w:rFonts w:ascii="Times New Roman" w:hAnsi="Times New Roman" w:cs="Times New Roman"/>
          <w:sz w:val="24"/>
          <w:szCs w:val="24"/>
          <w:lang w:val="ro-RO"/>
        </w:rPr>
        <w:t xml:space="preserve"> și a </w:t>
      </w:r>
      <w:proofErr w:type="spellStart"/>
      <w:r w:rsidRPr="00C26A9B">
        <w:rPr>
          <w:rFonts w:ascii="Times New Roman" w:hAnsi="Times New Roman" w:cs="Times New Roman"/>
          <w:sz w:val="24"/>
          <w:szCs w:val="24"/>
          <w:lang w:val="ro-RO"/>
        </w:rPr>
        <w:t>tranzacţiilor</w:t>
      </w:r>
      <w:proofErr w:type="spellEnd"/>
      <w:r w:rsidRPr="00C26A9B">
        <w:rPr>
          <w:rFonts w:ascii="Times New Roman" w:hAnsi="Times New Roman" w:cs="Times New Roman"/>
          <w:sz w:val="24"/>
          <w:szCs w:val="24"/>
          <w:lang w:val="ro-RO"/>
        </w:rPr>
        <w:t xml:space="preserve"> cu instrumente financiare derivate de credit care compensează perfect riscul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al acoperirilor interne, astfel cum se </w:t>
      </w:r>
      <w:proofErr w:type="spellStart"/>
      <w:r w:rsidRPr="00C26A9B">
        <w:rPr>
          <w:rFonts w:ascii="Times New Roman" w:hAnsi="Times New Roman" w:cs="Times New Roman"/>
          <w:sz w:val="24"/>
          <w:szCs w:val="24"/>
          <w:lang w:val="ro-RO"/>
        </w:rPr>
        <w:t>menţionează</w:t>
      </w:r>
      <w:proofErr w:type="spellEnd"/>
      <w:r w:rsidRPr="00C26A9B">
        <w:rPr>
          <w:rFonts w:ascii="Times New Roman" w:hAnsi="Times New Roman" w:cs="Times New Roman"/>
          <w:sz w:val="24"/>
          <w:szCs w:val="24"/>
          <w:lang w:val="ro-RO"/>
        </w:rPr>
        <w:t xml:space="preserve"> la pct.58 și 59;</w:t>
      </w:r>
    </w:p>
    <w:p w14:paraId="72C420EF" w14:textId="078B48DD" w:rsidR="005D6462" w:rsidRPr="00C26A9B" w:rsidRDefault="005D6462" w:rsidP="005D646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80.2. sunt incluse toate </w:t>
      </w:r>
      <w:proofErr w:type="spellStart"/>
      <w:r w:rsidRPr="00C26A9B">
        <w:rPr>
          <w:rFonts w:ascii="Times New Roman" w:hAnsi="Times New Roman" w:cs="Times New Roman"/>
          <w:sz w:val="24"/>
          <w:szCs w:val="24"/>
          <w:lang w:val="ro-RO"/>
        </w:rPr>
        <w:t>poziţiile</w:t>
      </w:r>
      <w:proofErr w:type="spellEnd"/>
      <w:r w:rsidRPr="00C26A9B">
        <w:rPr>
          <w:rFonts w:ascii="Times New Roman" w:hAnsi="Times New Roman" w:cs="Times New Roman"/>
          <w:sz w:val="24"/>
          <w:szCs w:val="24"/>
          <w:lang w:val="ro-RO"/>
        </w:rPr>
        <w:t xml:space="preserve"> din afara portofoliului de tranzacţionare care prezintă un risc valutar sau un risc de marfă, cu </w:t>
      </w:r>
      <w:proofErr w:type="spellStart"/>
      <w:r w:rsidRPr="00C26A9B">
        <w:rPr>
          <w:rFonts w:ascii="Times New Roman" w:hAnsi="Times New Roman" w:cs="Times New Roman"/>
          <w:sz w:val="24"/>
          <w:szCs w:val="24"/>
          <w:lang w:val="ro-RO"/>
        </w:rPr>
        <w:t>excepţia</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poziţiilor</w:t>
      </w:r>
      <w:proofErr w:type="spellEnd"/>
      <w:r w:rsidRPr="00C26A9B">
        <w:rPr>
          <w:rFonts w:ascii="Times New Roman" w:hAnsi="Times New Roman" w:cs="Times New Roman"/>
          <w:sz w:val="24"/>
          <w:szCs w:val="24"/>
          <w:lang w:val="ro-RO"/>
        </w:rPr>
        <w:t xml:space="preserve"> care sunt excluse din calculul </w:t>
      </w:r>
      <w:proofErr w:type="spellStart"/>
      <w:r w:rsidRPr="00C26A9B">
        <w:rPr>
          <w:rFonts w:ascii="Times New Roman" w:hAnsi="Times New Roman" w:cs="Times New Roman"/>
          <w:sz w:val="24"/>
          <w:szCs w:val="24"/>
          <w:lang w:val="ro-RO"/>
        </w:rPr>
        <w:t>cerinţelor</w:t>
      </w:r>
      <w:proofErr w:type="spellEnd"/>
      <w:r w:rsidRPr="00C26A9B">
        <w:rPr>
          <w:rFonts w:ascii="Times New Roman" w:hAnsi="Times New Roman" w:cs="Times New Roman"/>
          <w:sz w:val="24"/>
          <w:szCs w:val="24"/>
          <w:lang w:val="ro-RO"/>
        </w:rPr>
        <w:t xml:space="preserve"> de fonduri proprii pentru riscul valutar în conformitate cu sec</w:t>
      </w:r>
      <w:r w:rsidR="00FD64DE">
        <w:rPr>
          <w:rFonts w:ascii="Times New Roman" w:hAnsi="Times New Roman" w:cs="Times New Roman"/>
          <w:sz w:val="24"/>
          <w:szCs w:val="24"/>
          <w:lang w:val="ro-RO"/>
        </w:rPr>
        <w:t>ț</w:t>
      </w:r>
      <w:r w:rsidRPr="00C26A9B">
        <w:rPr>
          <w:rFonts w:ascii="Times New Roman" w:hAnsi="Times New Roman" w:cs="Times New Roman"/>
          <w:sz w:val="24"/>
          <w:szCs w:val="24"/>
          <w:lang w:val="ro-RO"/>
        </w:rPr>
        <w:t>iunea 6, capitolul III, titlul I sau care sunt deduse din fondurile proprii ale băncilor;</w:t>
      </w:r>
    </w:p>
    <w:p w14:paraId="003984A4" w14:textId="5FFB7A7F" w:rsidR="005D6462" w:rsidRPr="00C26A9B" w:rsidRDefault="005D6462" w:rsidP="005D646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80.3. toate </w:t>
      </w:r>
      <w:proofErr w:type="spellStart"/>
      <w:r w:rsidRPr="00C26A9B">
        <w:rPr>
          <w:rFonts w:ascii="Times New Roman" w:hAnsi="Times New Roman" w:cs="Times New Roman"/>
          <w:sz w:val="24"/>
          <w:szCs w:val="24"/>
          <w:lang w:val="ro-RO"/>
        </w:rPr>
        <w:t>poziţiile</w:t>
      </w:r>
      <w:proofErr w:type="spellEnd"/>
      <w:r w:rsidRPr="00C26A9B">
        <w:rPr>
          <w:rFonts w:ascii="Times New Roman" w:hAnsi="Times New Roman" w:cs="Times New Roman"/>
          <w:sz w:val="24"/>
          <w:szCs w:val="24"/>
          <w:lang w:val="ro-RO"/>
        </w:rPr>
        <w:t xml:space="preserve"> sunt evaluate la valorile lor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de la data respectivă, cu </w:t>
      </w:r>
      <w:proofErr w:type="spellStart"/>
      <w:r w:rsidRPr="00C26A9B">
        <w:rPr>
          <w:rFonts w:ascii="Times New Roman" w:hAnsi="Times New Roman" w:cs="Times New Roman"/>
          <w:sz w:val="24"/>
          <w:szCs w:val="24"/>
          <w:lang w:val="ro-RO"/>
        </w:rPr>
        <w:t>excepţia</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poziţiilor</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menţionate</w:t>
      </w:r>
      <w:proofErr w:type="spellEnd"/>
      <w:r w:rsidRPr="00C26A9B">
        <w:rPr>
          <w:rFonts w:ascii="Times New Roman" w:hAnsi="Times New Roman" w:cs="Times New Roman"/>
          <w:sz w:val="24"/>
          <w:szCs w:val="24"/>
          <w:lang w:val="ro-RO"/>
        </w:rPr>
        <w:t xml:space="preserve"> la subpct.80.2; în cazul în care valoarea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a unei </w:t>
      </w:r>
      <w:proofErr w:type="spellStart"/>
      <w:r w:rsidRPr="00C26A9B">
        <w:rPr>
          <w:rFonts w:ascii="Times New Roman" w:hAnsi="Times New Roman" w:cs="Times New Roman"/>
          <w:sz w:val="24"/>
          <w:szCs w:val="24"/>
          <w:lang w:val="ro-RO"/>
        </w:rPr>
        <w:t>poziţii</w:t>
      </w:r>
      <w:proofErr w:type="spellEnd"/>
      <w:r w:rsidRPr="00C26A9B">
        <w:rPr>
          <w:rFonts w:ascii="Times New Roman" w:hAnsi="Times New Roman" w:cs="Times New Roman"/>
          <w:sz w:val="24"/>
          <w:szCs w:val="24"/>
          <w:lang w:val="ro-RO"/>
        </w:rPr>
        <w:t xml:space="preserve"> din portofoliul de tranzacţionare nu este disponibilă la o anumită dată, băncile utilizează valoarea justă pentru </w:t>
      </w:r>
      <w:proofErr w:type="spellStart"/>
      <w:r w:rsidRPr="00C26A9B">
        <w:rPr>
          <w:rFonts w:ascii="Times New Roman" w:hAnsi="Times New Roman" w:cs="Times New Roman"/>
          <w:sz w:val="24"/>
          <w:szCs w:val="24"/>
          <w:lang w:val="ro-RO"/>
        </w:rPr>
        <w:t>poziţia</w:t>
      </w:r>
      <w:proofErr w:type="spellEnd"/>
      <w:r w:rsidRPr="00C26A9B">
        <w:rPr>
          <w:rFonts w:ascii="Times New Roman" w:hAnsi="Times New Roman" w:cs="Times New Roman"/>
          <w:sz w:val="24"/>
          <w:szCs w:val="24"/>
          <w:lang w:val="ro-RO"/>
        </w:rPr>
        <w:t xml:space="preserve"> din portofoliul de tranzacţionare de la data vizată; în cazul în care valoarea justă și valoarea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a unei </w:t>
      </w:r>
      <w:proofErr w:type="spellStart"/>
      <w:r w:rsidRPr="00C26A9B">
        <w:rPr>
          <w:rFonts w:ascii="Times New Roman" w:hAnsi="Times New Roman" w:cs="Times New Roman"/>
          <w:sz w:val="24"/>
          <w:szCs w:val="24"/>
          <w:lang w:val="ro-RO"/>
        </w:rPr>
        <w:t>poziţii</w:t>
      </w:r>
      <w:proofErr w:type="spellEnd"/>
      <w:r w:rsidRPr="00C26A9B">
        <w:rPr>
          <w:rFonts w:ascii="Times New Roman" w:hAnsi="Times New Roman" w:cs="Times New Roman"/>
          <w:sz w:val="24"/>
          <w:szCs w:val="24"/>
          <w:lang w:val="ro-RO"/>
        </w:rPr>
        <w:t xml:space="preserve"> din </w:t>
      </w:r>
      <w:r w:rsidRPr="00C26A9B">
        <w:rPr>
          <w:rFonts w:ascii="Times New Roman" w:hAnsi="Times New Roman" w:cs="Times New Roman"/>
          <w:sz w:val="24"/>
          <w:szCs w:val="24"/>
          <w:lang w:val="ro-RO"/>
        </w:rPr>
        <w:lastRenderedPageBreak/>
        <w:t xml:space="preserve">portofoliul de tranzacţionare nu sunt disponibile la o anumită dată, băncile utilizează cea mai recentă valoare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sau valoare justă pentru </w:t>
      </w:r>
      <w:proofErr w:type="spellStart"/>
      <w:r w:rsidRPr="00C26A9B">
        <w:rPr>
          <w:rFonts w:ascii="Times New Roman" w:hAnsi="Times New Roman" w:cs="Times New Roman"/>
          <w:sz w:val="24"/>
          <w:szCs w:val="24"/>
          <w:lang w:val="ro-RO"/>
        </w:rPr>
        <w:t>poziţia</w:t>
      </w:r>
      <w:proofErr w:type="spellEnd"/>
      <w:r w:rsidRPr="00C26A9B">
        <w:rPr>
          <w:rFonts w:ascii="Times New Roman" w:hAnsi="Times New Roman" w:cs="Times New Roman"/>
          <w:sz w:val="24"/>
          <w:szCs w:val="24"/>
          <w:lang w:val="ro-RO"/>
        </w:rPr>
        <w:t xml:space="preserve"> respectivă;</w:t>
      </w:r>
    </w:p>
    <w:p w14:paraId="39A243AC" w14:textId="77777777" w:rsidR="005D6462" w:rsidRPr="00C26A9B" w:rsidRDefault="005D6462" w:rsidP="005D646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80.4. toate </w:t>
      </w:r>
      <w:proofErr w:type="spellStart"/>
      <w:r w:rsidRPr="00C26A9B">
        <w:rPr>
          <w:rFonts w:ascii="Times New Roman" w:hAnsi="Times New Roman" w:cs="Times New Roman"/>
          <w:sz w:val="24"/>
          <w:szCs w:val="24"/>
          <w:lang w:val="ro-RO"/>
        </w:rPr>
        <w:t>poziţiile</w:t>
      </w:r>
      <w:proofErr w:type="spellEnd"/>
      <w:r w:rsidRPr="00C26A9B">
        <w:rPr>
          <w:rFonts w:ascii="Times New Roman" w:hAnsi="Times New Roman" w:cs="Times New Roman"/>
          <w:sz w:val="24"/>
          <w:szCs w:val="24"/>
          <w:lang w:val="ro-RO"/>
        </w:rPr>
        <w:t xml:space="preserve"> din afara portofoliului de tranzacţionare care prezintă un risc valutar sunt considerate ca fiind o </w:t>
      </w:r>
      <w:proofErr w:type="spellStart"/>
      <w:r w:rsidRPr="00C26A9B">
        <w:rPr>
          <w:rFonts w:ascii="Times New Roman" w:hAnsi="Times New Roman" w:cs="Times New Roman"/>
          <w:sz w:val="24"/>
          <w:szCs w:val="24"/>
          <w:lang w:val="ro-RO"/>
        </w:rPr>
        <w:t>poziţie</w:t>
      </w:r>
      <w:proofErr w:type="spellEnd"/>
      <w:r w:rsidRPr="00C26A9B">
        <w:rPr>
          <w:rFonts w:ascii="Times New Roman" w:hAnsi="Times New Roman" w:cs="Times New Roman"/>
          <w:sz w:val="24"/>
          <w:szCs w:val="24"/>
          <w:lang w:val="ro-RO"/>
        </w:rPr>
        <w:t xml:space="preserve"> totală netă pe valută și evaluate în conformitate cu secțiunea 2, capitolul V;</w:t>
      </w:r>
    </w:p>
    <w:p w14:paraId="210AEAE4" w14:textId="0576FE7C" w:rsidR="005D6462" w:rsidRPr="00C26A9B" w:rsidRDefault="005D6462" w:rsidP="005D646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80.5. toate </w:t>
      </w:r>
      <w:proofErr w:type="spellStart"/>
      <w:r w:rsidRPr="00C26A9B">
        <w:rPr>
          <w:rFonts w:ascii="Times New Roman" w:hAnsi="Times New Roman" w:cs="Times New Roman"/>
          <w:sz w:val="24"/>
          <w:szCs w:val="24"/>
          <w:lang w:val="ro-RO"/>
        </w:rPr>
        <w:t>poziţiile</w:t>
      </w:r>
      <w:proofErr w:type="spellEnd"/>
      <w:r w:rsidRPr="00C26A9B">
        <w:rPr>
          <w:rFonts w:ascii="Times New Roman" w:hAnsi="Times New Roman" w:cs="Times New Roman"/>
          <w:sz w:val="24"/>
          <w:szCs w:val="24"/>
          <w:lang w:val="ro-RO"/>
        </w:rPr>
        <w:t xml:space="preserve"> din afara portofoliului de tranzacţionare care prezintă un risc de marfă sunt evaluate în conformitate cu sec</w:t>
      </w:r>
      <w:r w:rsidR="00B31EAF">
        <w:rPr>
          <w:rFonts w:ascii="Times New Roman" w:hAnsi="Times New Roman" w:cs="Times New Roman"/>
          <w:sz w:val="24"/>
          <w:szCs w:val="24"/>
          <w:lang w:val="ro-RO"/>
        </w:rPr>
        <w:t>ț</w:t>
      </w:r>
      <w:r w:rsidRPr="00C26A9B">
        <w:rPr>
          <w:rFonts w:ascii="Times New Roman" w:hAnsi="Times New Roman" w:cs="Times New Roman"/>
          <w:sz w:val="24"/>
          <w:szCs w:val="24"/>
          <w:lang w:val="ro-RO"/>
        </w:rPr>
        <w:t>iunile 3 și 4 din capitolul VI;</w:t>
      </w:r>
    </w:p>
    <w:p w14:paraId="3AE1E0AE" w14:textId="77777777" w:rsidR="005D6462" w:rsidRPr="00C26A9B" w:rsidRDefault="005D6462" w:rsidP="005D646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80.6. valoarea absolută a </w:t>
      </w:r>
      <w:proofErr w:type="spellStart"/>
      <w:r w:rsidRPr="00C26A9B">
        <w:rPr>
          <w:rFonts w:ascii="Times New Roman" w:hAnsi="Times New Roman" w:cs="Times New Roman"/>
          <w:sz w:val="24"/>
          <w:szCs w:val="24"/>
          <w:lang w:val="ro-RO"/>
        </w:rPr>
        <w:t>poziţiei</w:t>
      </w:r>
      <w:proofErr w:type="spellEnd"/>
      <w:r w:rsidRPr="00C26A9B">
        <w:rPr>
          <w:rFonts w:ascii="Times New Roman" w:hAnsi="Times New Roman" w:cs="Times New Roman"/>
          <w:sz w:val="24"/>
          <w:szCs w:val="24"/>
          <w:lang w:val="ro-RO"/>
        </w:rPr>
        <w:t xml:space="preserve"> lungi agregate se adună cu valoarea absolută a </w:t>
      </w:r>
      <w:proofErr w:type="spellStart"/>
      <w:r w:rsidRPr="00C26A9B">
        <w:rPr>
          <w:rFonts w:ascii="Times New Roman" w:hAnsi="Times New Roman" w:cs="Times New Roman"/>
          <w:sz w:val="24"/>
          <w:szCs w:val="24"/>
          <w:lang w:val="ro-RO"/>
        </w:rPr>
        <w:t>poziţiei</w:t>
      </w:r>
      <w:proofErr w:type="spellEnd"/>
      <w:r w:rsidRPr="00C26A9B">
        <w:rPr>
          <w:rFonts w:ascii="Times New Roman" w:hAnsi="Times New Roman" w:cs="Times New Roman"/>
          <w:sz w:val="24"/>
          <w:szCs w:val="24"/>
          <w:lang w:val="ro-RO"/>
        </w:rPr>
        <w:t xml:space="preserve"> scurte agregate.</w:t>
      </w:r>
    </w:p>
    <w:p w14:paraId="0675415D" w14:textId="2C564FC6" w:rsidR="005D6462" w:rsidRPr="00C26A9B" w:rsidRDefault="005D6462" w:rsidP="0001421D">
      <w:pPr>
        <w:rPr>
          <w:rFonts w:ascii="Times New Roman" w:hAnsi="Times New Roman" w:cs="Times New Roman"/>
          <w:sz w:val="24"/>
          <w:szCs w:val="24"/>
          <w:lang w:val="ro-RO"/>
        </w:rPr>
      </w:pPr>
      <w:r w:rsidRPr="00101345">
        <w:rPr>
          <w:rFonts w:ascii="Times New Roman" w:hAnsi="Times New Roman" w:cs="Times New Roman"/>
          <w:sz w:val="24"/>
          <w:szCs w:val="24"/>
          <w:lang w:val="ro-RO"/>
        </w:rPr>
        <w:t>81. În</w:t>
      </w:r>
      <w:r w:rsidRPr="00C26A9B">
        <w:rPr>
          <w:rFonts w:ascii="Times New Roman" w:hAnsi="Times New Roman" w:cs="Times New Roman"/>
          <w:sz w:val="24"/>
          <w:szCs w:val="24"/>
          <w:lang w:val="ro-RO"/>
        </w:rPr>
        <w:t xml:space="preserve"> sensul pct.80, </w:t>
      </w:r>
      <w:proofErr w:type="spellStart"/>
      <w:r w:rsidRPr="00C26A9B">
        <w:rPr>
          <w:rFonts w:ascii="Times New Roman" w:hAnsi="Times New Roman" w:cs="Times New Roman"/>
          <w:sz w:val="24"/>
          <w:szCs w:val="24"/>
          <w:lang w:val="ro-RO"/>
        </w:rPr>
        <w:t>poziţiile</w:t>
      </w:r>
      <w:proofErr w:type="spellEnd"/>
      <w:r w:rsidRPr="00C26A9B">
        <w:rPr>
          <w:rFonts w:ascii="Times New Roman" w:hAnsi="Times New Roman" w:cs="Times New Roman"/>
          <w:sz w:val="24"/>
          <w:szCs w:val="24"/>
          <w:lang w:val="ro-RO"/>
        </w:rPr>
        <w:t xml:space="preserve"> lungi și scurte au același </w:t>
      </w:r>
      <w:proofErr w:type="spellStart"/>
      <w:r w:rsidRPr="00C26A9B">
        <w:rPr>
          <w:rFonts w:ascii="Times New Roman" w:hAnsi="Times New Roman" w:cs="Times New Roman"/>
          <w:sz w:val="24"/>
          <w:szCs w:val="24"/>
          <w:lang w:val="ro-RO"/>
        </w:rPr>
        <w:t>înţeles</w:t>
      </w:r>
      <w:proofErr w:type="spellEnd"/>
      <w:r w:rsidRPr="00C26A9B">
        <w:rPr>
          <w:rFonts w:ascii="Times New Roman" w:hAnsi="Times New Roman" w:cs="Times New Roman"/>
          <w:sz w:val="24"/>
          <w:szCs w:val="24"/>
          <w:lang w:val="ro-RO"/>
        </w:rPr>
        <w:t xml:space="preserve"> ca cel stabilit la</w:t>
      </w:r>
      <w:r w:rsidR="00DA0492">
        <w:rPr>
          <w:rFonts w:ascii="Times New Roman" w:hAnsi="Times New Roman" w:cs="Times New Roman"/>
          <w:sz w:val="24"/>
          <w:szCs w:val="24"/>
          <w:lang w:val="ro-RO"/>
        </w:rPr>
        <w:t xml:space="preserve"> pct.136 din Regulamentul </w:t>
      </w:r>
      <w:r w:rsidR="0001421D">
        <w:rPr>
          <w:rFonts w:ascii="Times New Roman" w:hAnsi="Times New Roman" w:cs="Times New Roman"/>
          <w:sz w:val="24"/>
          <w:szCs w:val="24"/>
          <w:lang w:val="ro-RO"/>
        </w:rPr>
        <w:t>nr.109/2018.</w:t>
      </w:r>
    </w:p>
    <w:p w14:paraId="75596952" w14:textId="42FBEEB1" w:rsidR="005D6462" w:rsidRPr="00C26A9B" w:rsidRDefault="005D6462" w:rsidP="005D6462">
      <w:pPr>
        <w:rPr>
          <w:rFonts w:ascii="Times New Roman" w:hAnsi="Times New Roman" w:cs="Times New Roman"/>
          <w:sz w:val="24"/>
          <w:szCs w:val="24"/>
          <w:lang w:val="ro-RO"/>
        </w:rPr>
      </w:pPr>
      <w:r w:rsidRPr="00C26A9B">
        <w:rPr>
          <w:rFonts w:ascii="Times New Roman" w:hAnsi="Times New Roman" w:cs="Times New Roman"/>
          <w:sz w:val="24"/>
          <w:szCs w:val="24"/>
          <w:lang w:val="ro-RO"/>
        </w:rPr>
        <w:t>82. În sensul</w:t>
      </w:r>
      <w:r w:rsidR="0060307A" w:rsidRPr="00C26A9B">
        <w:rPr>
          <w:rFonts w:ascii="Times New Roman" w:hAnsi="Times New Roman" w:cs="Times New Roman"/>
          <w:sz w:val="24"/>
          <w:szCs w:val="24"/>
          <w:lang w:val="ro-RO"/>
        </w:rPr>
        <w:t xml:space="preserve"> </w:t>
      </w:r>
      <w:r w:rsidRPr="00C26A9B">
        <w:rPr>
          <w:rFonts w:ascii="Times New Roman" w:hAnsi="Times New Roman" w:cs="Times New Roman"/>
          <w:sz w:val="24"/>
          <w:szCs w:val="24"/>
          <w:lang w:val="ro-RO"/>
        </w:rPr>
        <w:t xml:space="preserve">pct.80, valoarea </w:t>
      </w:r>
      <w:proofErr w:type="spellStart"/>
      <w:r w:rsidRPr="00C26A9B">
        <w:rPr>
          <w:rFonts w:ascii="Times New Roman" w:hAnsi="Times New Roman" w:cs="Times New Roman"/>
          <w:sz w:val="24"/>
          <w:szCs w:val="24"/>
          <w:lang w:val="ro-RO"/>
        </w:rPr>
        <w:t>poziţiei</w:t>
      </w:r>
      <w:proofErr w:type="spellEnd"/>
      <w:r w:rsidRPr="00C26A9B">
        <w:rPr>
          <w:rFonts w:ascii="Times New Roman" w:hAnsi="Times New Roman" w:cs="Times New Roman"/>
          <w:sz w:val="24"/>
          <w:szCs w:val="24"/>
          <w:lang w:val="ro-RO"/>
        </w:rPr>
        <w:t xml:space="preserve"> lungi (scurte) agregate este egală cu suma valorilor </w:t>
      </w:r>
      <w:proofErr w:type="spellStart"/>
      <w:r w:rsidRPr="00C26A9B">
        <w:rPr>
          <w:rFonts w:ascii="Times New Roman" w:hAnsi="Times New Roman" w:cs="Times New Roman"/>
          <w:sz w:val="24"/>
          <w:szCs w:val="24"/>
          <w:lang w:val="ro-RO"/>
        </w:rPr>
        <w:t>poziţiilor</w:t>
      </w:r>
      <w:proofErr w:type="spellEnd"/>
      <w:r w:rsidRPr="00C26A9B">
        <w:rPr>
          <w:rFonts w:ascii="Times New Roman" w:hAnsi="Times New Roman" w:cs="Times New Roman"/>
          <w:sz w:val="24"/>
          <w:szCs w:val="24"/>
          <w:lang w:val="ro-RO"/>
        </w:rPr>
        <w:t xml:space="preserve"> lungi (scurte) individuale incluse în calcul în conformitate cu subpct.80.1 și 80.2</w:t>
      </w:r>
      <w:r w:rsidR="0060307A" w:rsidRPr="00C26A9B">
        <w:rPr>
          <w:rFonts w:ascii="Times New Roman" w:hAnsi="Times New Roman" w:cs="Times New Roman"/>
          <w:sz w:val="24"/>
          <w:szCs w:val="24"/>
          <w:lang w:val="ro-RO"/>
        </w:rPr>
        <w:t>.</w:t>
      </w:r>
    </w:p>
    <w:p w14:paraId="6E237268" w14:textId="1BD9A853" w:rsidR="00625DE2" w:rsidRPr="00C26A9B" w:rsidRDefault="00625DE2" w:rsidP="005D646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83. Băncile transmit BNM notificări atunci când calculează sau încetează să mai calculeze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pentru riscul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în conformitate cu prezenta secțiune.</w:t>
      </w:r>
    </w:p>
    <w:p w14:paraId="57BD16D7" w14:textId="5AFD597A" w:rsidR="00C66590" w:rsidRPr="00C26A9B" w:rsidRDefault="00C66590" w:rsidP="005D646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84. O bancă care nu mai îndeplinește una sau mai multe dintre </w:t>
      </w:r>
      <w:proofErr w:type="spellStart"/>
      <w:r w:rsidRPr="00C26A9B">
        <w:rPr>
          <w:rFonts w:ascii="Times New Roman" w:hAnsi="Times New Roman" w:cs="Times New Roman"/>
          <w:sz w:val="24"/>
          <w:szCs w:val="24"/>
          <w:lang w:val="ro-RO"/>
        </w:rPr>
        <w:t>condiţiile</w:t>
      </w:r>
      <w:proofErr w:type="spellEnd"/>
      <w:r w:rsidRPr="00C26A9B">
        <w:rPr>
          <w:rFonts w:ascii="Times New Roman" w:hAnsi="Times New Roman" w:cs="Times New Roman"/>
          <w:sz w:val="24"/>
          <w:szCs w:val="24"/>
          <w:lang w:val="ro-RO"/>
        </w:rPr>
        <w:t xml:space="preserve"> prevăzute la pct.79 notifică imediat acest lucru BNM.</w:t>
      </w:r>
    </w:p>
    <w:p w14:paraId="4351523F" w14:textId="77777777" w:rsidR="00832DF6" w:rsidRPr="00C26A9B" w:rsidRDefault="00832DF6" w:rsidP="00832DF6">
      <w:pPr>
        <w:rPr>
          <w:rFonts w:ascii="Times New Roman" w:hAnsi="Times New Roman" w:cs="Times New Roman"/>
          <w:sz w:val="24"/>
          <w:szCs w:val="24"/>
          <w:lang w:val="ro-RO"/>
        </w:rPr>
      </w:pPr>
      <w:r w:rsidRPr="00C26A9B">
        <w:rPr>
          <w:rFonts w:ascii="Times New Roman" w:hAnsi="Times New Roman" w:cs="Times New Roman"/>
          <w:sz w:val="24"/>
          <w:szCs w:val="24"/>
          <w:lang w:val="ro-RO"/>
        </w:rPr>
        <w:t>85.</w:t>
      </w:r>
      <w:r w:rsidRPr="00C26A9B">
        <w:rPr>
          <w:rFonts w:ascii="Times New Roman" w:hAnsi="Times New Roman" w:cs="Times New Roman"/>
          <w:b/>
          <w:bCs/>
          <w:sz w:val="24"/>
          <w:szCs w:val="24"/>
          <w:lang w:val="ro-RO"/>
        </w:rPr>
        <w:t xml:space="preserve"> </w:t>
      </w:r>
      <w:r w:rsidRPr="00C26A9B">
        <w:rPr>
          <w:rFonts w:ascii="Times New Roman" w:hAnsi="Times New Roman" w:cs="Times New Roman"/>
          <w:sz w:val="24"/>
          <w:szCs w:val="24"/>
          <w:lang w:val="ro-RO"/>
        </w:rPr>
        <w:t xml:space="preserve">Băncile încetează să calculeze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pentru riscul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în conformitate cu abordarea </w:t>
      </w:r>
      <w:proofErr w:type="spellStart"/>
      <w:r w:rsidRPr="00C26A9B">
        <w:rPr>
          <w:rFonts w:ascii="Times New Roman" w:hAnsi="Times New Roman" w:cs="Times New Roman"/>
          <w:sz w:val="24"/>
          <w:szCs w:val="24"/>
          <w:lang w:val="ro-RO"/>
        </w:rPr>
        <w:t>menţionată</w:t>
      </w:r>
      <w:proofErr w:type="spellEnd"/>
      <w:r w:rsidRPr="00C26A9B">
        <w:rPr>
          <w:rFonts w:ascii="Times New Roman" w:hAnsi="Times New Roman" w:cs="Times New Roman"/>
          <w:sz w:val="24"/>
          <w:szCs w:val="24"/>
          <w:lang w:val="ro-RO"/>
        </w:rPr>
        <w:t xml:space="preserve"> la subpct.69.3 în termen de trei luni de la </w:t>
      </w:r>
      <w:proofErr w:type="spellStart"/>
      <w:r w:rsidRPr="00C26A9B">
        <w:rPr>
          <w:rFonts w:ascii="Times New Roman" w:hAnsi="Times New Roman" w:cs="Times New Roman"/>
          <w:sz w:val="24"/>
          <w:szCs w:val="24"/>
          <w:lang w:val="ro-RO"/>
        </w:rPr>
        <w:t>apariţia</w:t>
      </w:r>
      <w:proofErr w:type="spellEnd"/>
      <w:r w:rsidRPr="00C26A9B">
        <w:rPr>
          <w:rFonts w:ascii="Times New Roman" w:hAnsi="Times New Roman" w:cs="Times New Roman"/>
          <w:sz w:val="24"/>
          <w:szCs w:val="24"/>
          <w:lang w:val="ro-RO"/>
        </w:rPr>
        <w:t xml:space="preserve"> oricăreia dintre următoarele </w:t>
      </w:r>
      <w:proofErr w:type="spellStart"/>
      <w:r w:rsidRPr="00C26A9B">
        <w:rPr>
          <w:rFonts w:ascii="Times New Roman" w:hAnsi="Times New Roman" w:cs="Times New Roman"/>
          <w:sz w:val="24"/>
          <w:szCs w:val="24"/>
          <w:lang w:val="ro-RO"/>
        </w:rPr>
        <w:t>situaţii</w:t>
      </w:r>
      <w:proofErr w:type="spellEnd"/>
      <w:r w:rsidRPr="00C26A9B">
        <w:rPr>
          <w:rFonts w:ascii="Times New Roman" w:hAnsi="Times New Roman" w:cs="Times New Roman"/>
          <w:sz w:val="24"/>
          <w:szCs w:val="24"/>
          <w:lang w:val="ro-RO"/>
        </w:rPr>
        <w:t xml:space="preserve">: </w:t>
      </w:r>
    </w:p>
    <w:p w14:paraId="21CD18D9" w14:textId="77777777" w:rsidR="00832DF6" w:rsidRPr="00C26A9B" w:rsidRDefault="00832DF6" w:rsidP="00832DF6">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85.1. banca nu îndeplinește </w:t>
      </w:r>
      <w:proofErr w:type="spellStart"/>
      <w:r w:rsidRPr="00C26A9B">
        <w:rPr>
          <w:rFonts w:ascii="Times New Roman" w:hAnsi="Times New Roman" w:cs="Times New Roman"/>
          <w:sz w:val="24"/>
          <w:szCs w:val="24"/>
          <w:lang w:val="ro-RO"/>
        </w:rPr>
        <w:t>condiţia</w:t>
      </w:r>
      <w:proofErr w:type="spellEnd"/>
      <w:r w:rsidRPr="00C26A9B">
        <w:rPr>
          <w:rFonts w:ascii="Times New Roman" w:hAnsi="Times New Roman" w:cs="Times New Roman"/>
          <w:sz w:val="24"/>
          <w:szCs w:val="24"/>
          <w:lang w:val="ro-RO"/>
        </w:rPr>
        <w:t xml:space="preserve"> stabilită la subpct.79.1 sau 79.2 timp de trei luni consecutive; sau</w:t>
      </w:r>
    </w:p>
    <w:p w14:paraId="1CC5B4EE" w14:textId="543F0E21" w:rsidR="00C66590" w:rsidRPr="00C26A9B" w:rsidRDefault="00832DF6" w:rsidP="00832DF6">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85.2. banca nu îndeplinește </w:t>
      </w:r>
      <w:proofErr w:type="spellStart"/>
      <w:r w:rsidRPr="00C26A9B">
        <w:rPr>
          <w:rFonts w:ascii="Times New Roman" w:hAnsi="Times New Roman" w:cs="Times New Roman"/>
          <w:sz w:val="24"/>
          <w:szCs w:val="24"/>
          <w:lang w:val="ro-RO"/>
        </w:rPr>
        <w:t>condiţia</w:t>
      </w:r>
      <w:proofErr w:type="spellEnd"/>
      <w:r w:rsidRPr="00C26A9B">
        <w:rPr>
          <w:rFonts w:ascii="Times New Roman" w:hAnsi="Times New Roman" w:cs="Times New Roman"/>
          <w:sz w:val="24"/>
          <w:szCs w:val="24"/>
          <w:lang w:val="ro-RO"/>
        </w:rPr>
        <w:t xml:space="preserve"> stabilită la subpct.79.1  sau 79.2 timp de mai mult de șase din ultimele 12 luni.</w:t>
      </w:r>
    </w:p>
    <w:p w14:paraId="02FC964E" w14:textId="632EA1C3" w:rsidR="00832DF6" w:rsidRPr="00C26A9B" w:rsidRDefault="00832DF6" w:rsidP="00832DF6">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86. O bancă care a încetat să calculeze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pentru riscul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utilizând abordarea </w:t>
      </w:r>
      <w:proofErr w:type="spellStart"/>
      <w:r w:rsidRPr="00C26A9B">
        <w:rPr>
          <w:rFonts w:ascii="Times New Roman" w:hAnsi="Times New Roman" w:cs="Times New Roman"/>
          <w:sz w:val="24"/>
          <w:szCs w:val="24"/>
          <w:lang w:val="ro-RO"/>
        </w:rPr>
        <w:t>menţionată</w:t>
      </w:r>
      <w:proofErr w:type="spellEnd"/>
      <w:r w:rsidRPr="00C26A9B">
        <w:rPr>
          <w:rFonts w:ascii="Times New Roman" w:hAnsi="Times New Roman" w:cs="Times New Roman"/>
          <w:sz w:val="24"/>
          <w:szCs w:val="24"/>
          <w:lang w:val="ro-RO"/>
        </w:rPr>
        <w:t xml:space="preserve"> la subpct.69.3 primește aprobarea de a începe să calculeze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pentru riscul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utilizând abordarea respectivă numai dacă demonstrează BNM că toate </w:t>
      </w:r>
      <w:proofErr w:type="spellStart"/>
      <w:r w:rsidRPr="00C26A9B">
        <w:rPr>
          <w:rFonts w:ascii="Times New Roman" w:hAnsi="Times New Roman" w:cs="Times New Roman"/>
          <w:sz w:val="24"/>
          <w:szCs w:val="24"/>
          <w:lang w:val="ro-RO"/>
        </w:rPr>
        <w:t>condiţiile</w:t>
      </w:r>
      <w:proofErr w:type="spellEnd"/>
      <w:r w:rsidRPr="00C26A9B">
        <w:rPr>
          <w:rFonts w:ascii="Times New Roman" w:hAnsi="Times New Roman" w:cs="Times New Roman"/>
          <w:sz w:val="24"/>
          <w:szCs w:val="24"/>
          <w:lang w:val="ro-RO"/>
        </w:rPr>
        <w:t xml:space="preserve"> prevăzute la pct.79 au fost îndeplinite pe o perioadă neîntreruptă de un an.</w:t>
      </w:r>
    </w:p>
    <w:p w14:paraId="6A285917" w14:textId="5BC2F41A" w:rsidR="001E5178" w:rsidRPr="00C26A9B" w:rsidRDefault="001E5178" w:rsidP="00832DF6">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87. Băncile nu deschid, cumpără sau vând o </w:t>
      </w:r>
      <w:proofErr w:type="spellStart"/>
      <w:r w:rsidRPr="00C26A9B">
        <w:rPr>
          <w:rFonts w:ascii="Times New Roman" w:hAnsi="Times New Roman" w:cs="Times New Roman"/>
          <w:sz w:val="24"/>
          <w:szCs w:val="24"/>
          <w:lang w:val="ro-RO"/>
        </w:rPr>
        <w:t>poziţie</w:t>
      </w:r>
      <w:proofErr w:type="spellEnd"/>
      <w:r w:rsidRPr="00C26A9B">
        <w:rPr>
          <w:rFonts w:ascii="Times New Roman" w:hAnsi="Times New Roman" w:cs="Times New Roman"/>
          <w:sz w:val="24"/>
          <w:szCs w:val="24"/>
          <w:lang w:val="ro-RO"/>
        </w:rPr>
        <w:t xml:space="preserve"> numai pentru scopul de a respecta oricare dintre </w:t>
      </w:r>
      <w:proofErr w:type="spellStart"/>
      <w:r w:rsidRPr="00C26A9B">
        <w:rPr>
          <w:rFonts w:ascii="Times New Roman" w:hAnsi="Times New Roman" w:cs="Times New Roman"/>
          <w:sz w:val="24"/>
          <w:szCs w:val="24"/>
          <w:lang w:val="ro-RO"/>
        </w:rPr>
        <w:t>condiţiile</w:t>
      </w:r>
      <w:proofErr w:type="spellEnd"/>
      <w:r w:rsidRPr="00C26A9B">
        <w:rPr>
          <w:rFonts w:ascii="Times New Roman" w:hAnsi="Times New Roman" w:cs="Times New Roman"/>
          <w:sz w:val="24"/>
          <w:szCs w:val="24"/>
          <w:lang w:val="ro-RO"/>
        </w:rPr>
        <w:t xml:space="preserve"> prevăzute la pct.79  în cursul evaluării lunare.</w:t>
      </w:r>
    </w:p>
    <w:p w14:paraId="4D52B511" w14:textId="64023295" w:rsidR="00625DE2" w:rsidRPr="00C26A9B" w:rsidRDefault="007F79A8" w:rsidP="007F79A8">
      <w:pPr>
        <w:rPr>
          <w:rFonts w:ascii="Times New Roman" w:hAnsi="Times New Roman" w:cs="Times New Roman"/>
          <w:sz w:val="24"/>
          <w:szCs w:val="24"/>
          <w:lang w:val="ro-RO"/>
        </w:rPr>
      </w:pPr>
      <w:r w:rsidRPr="00CC1E9B">
        <w:rPr>
          <w:rFonts w:ascii="Times New Roman" w:hAnsi="Times New Roman" w:cs="Times New Roman"/>
          <w:b/>
          <w:bCs/>
          <w:sz w:val="24"/>
          <w:szCs w:val="24"/>
          <w:lang w:val="ro-RO"/>
        </w:rPr>
        <w:t>Secțiunea 3.</w:t>
      </w:r>
      <w:r w:rsidRPr="00C26A9B">
        <w:rPr>
          <w:rFonts w:ascii="Times New Roman" w:hAnsi="Times New Roman" w:cs="Times New Roman"/>
          <w:i/>
          <w:iCs/>
          <w:sz w:val="24"/>
          <w:szCs w:val="24"/>
          <w:lang w:val="ro-RO"/>
        </w:rPr>
        <w:t xml:space="preserve"> </w:t>
      </w:r>
      <w:r w:rsidR="00332FF4">
        <w:rPr>
          <w:rFonts w:ascii="Times New Roman" w:hAnsi="Times New Roman" w:cs="Times New Roman"/>
          <w:b/>
          <w:bCs/>
          <w:sz w:val="24"/>
          <w:szCs w:val="24"/>
          <w:lang w:val="ro-RO"/>
        </w:rPr>
        <w:t>Aprobări</w:t>
      </w:r>
      <w:r w:rsidR="00332FF4" w:rsidRPr="00C26A9B">
        <w:rPr>
          <w:rFonts w:ascii="Times New Roman" w:hAnsi="Times New Roman" w:cs="Times New Roman"/>
          <w:b/>
          <w:bCs/>
          <w:sz w:val="24"/>
          <w:szCs w:val="24"/>
          <w:lang w:val="ro-RO"/>
        </w:rPr>
        <w:t xml:space="preserve"> </w:t>
      </w:r>
      <w:r w:rsidRPr="00C26A9B">
        <w:rPr>
          <w:rFonts w:ascii="Times New Roman" w:hAnsi="Times New Roman" w:cs="Times New Roman"/>
          <w:b/>
          <w:bCs/>
          <w:sz w:val="24"/>
          <w:szCs w:val="24"/>
          <w:lang w:val="ro-RO"/>
        </w:rPr>
        <w:t xml:space="preserve">pentru </w:t>
      </w:r>
      <w:proofErr w:type="spellStart"/>
      <w:r w:rsidRPr="00C26A9B">
        <w:rPr>
          <w:rFonts w:ascii="Times New Roman" w:hAnsi="Times New Roman" w:cs="Times New Roman"/>
          <w:b/>
          <w:bCs/>
          <w:sz w:val="24"/>
          <w:szCs w:val="24"/>
          <w:lang w:val="ro-RO"/>
        </w:rPr>
        <w:t>cerinţe</w:t>
      </w:r>
      <w:proofErr w:type="spellEnd"/>
      <w:r w:rsidRPr="00C26A9B">
        <w:rPr>
          <w:rFonts w:ascii="Times New Roman" w:hAnsi="Times New Roman" w:cs="Times New Roman"/>
          <w:b/>
          <w:bCs/>
          <w:sz w:val="24"/>
          <w:szCs w:val="24"/>
          <w:lang w:val="ro-RO"/>
        </w:rPr>
        <w:t xml:space="preserve"> consolidate</w:t>
      </w:r>
    </w:p>
    <w:p w14:paraId="255EDAC8" w14:textId="17FD82F1" w:rsidR="0060307A" w:rsidRPr="00C26A9B" w:rsidRDefault="007F79A8" w:rsidP="005D646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88. Sub rezerva pct.89 și numai în scopul calculării </w:t>
      </w:r>
      <w:proofErr w:type="spellStart"/>
      <w:r w:rsidRPr="00C26A9B">
        <w:rPr>
          <w:rFonts w:ascii="Times New Roman" w:hAnsi="Times New Roman" w:cs="Times New Roman"/>
          <w:sz w:val="24"/>
          <w:szCs w:val="24"/>
          <w:lang w:val="ro-RO"/>
        </w:rPr>
        <w:t>poziţiilor</w:t>
      </w:r>
      <w:proofErr w:type="spellEnd"/>
      <w:r w:rsidRPr="00C26A9B">
        <w:rPr>
          <w:rFonts w:ascii="Times New Roman" w:hAnsi="Times New Roman" w:cs="Times New Roman"/>
          <w:sz w:val="24"/>
          <w:szCs w:val="24"/>
          <w:lang w:val="ro-RO"/>
        </w:rPr>
        <w:t xml:space="preserve"> nete și a </w:t>
      </w:r>
      <w:proofErr w:type="spellStart"/>
      <w:r w:rsidRPr="00C26A9B">
        <w:rPr>
          <w:rFonts w:ascii="Times New Roman" w:hAnsi="Times New Roman" w:cs="Times New Roman"/>
          <w:sz w:val="24"/>
          <w:szCs w:val="24"/>
          <w:lang w:val="ro-RO"/>
        </w:rPr>
        <w:t>cerinţelor</w:t>
      </w:r>
      <w:proofErr w:type="spellEnd"/>
      <w:r w:rsidRPr="00C26A9B">
        <w:rPr>
          <w:rFonts w:ascii="Times New Roman" w:hAnsi="Times New Roman" w:cs="Times New Roman"/>
          <w:sz w:val="24"/>
          <w:szCs w:val="24"/>
          <w:lang w:val="ro-RO"/>
        </w:rPr>
        <w:t xml:space="preserve"> de fonduri proprii pe bază consolidată în conformitate cu prezentul titlu, băncile pot folosi </w:t>
      </w:r>
      <w:proofErr w:type="spellStart"/>
      <w:r w:rsidRPr="00C26A9B">
        <w:rPr>
          <w:rFonts w:ascii="Times New Roman" w:hAnsi="Times New Roman" w:cs="Times New Roman"/>
          <w:sz w:val="24"/>
          <w:szCs w:val="24"/>
          <w:lang w:val="ro-RO"/>
        </w:rPr>
        <w:t>poziţiile</w:t>
      </w:r>
      <w:proofErr w:type="spellEnd"/>
      <w:r w:rsidRPr="00C26A9B">
        <w:rPr>
          <w:rFonts w:ascii="Times New Roman" w:hAnsi="Times New Roman" w:cs="Times New Roman"/>
          <w:sz w:val="24"/>
          <w:szCs w:val="24"/>
          <w:lang w:val="ro-RO"/>
        </w:rPr>
        <w:t xml:space="preserve"> dintr-o bancă sau întreprindere pentru a compensa </w:t>
      </w:r>
      <w:proofErr w:type="spellStart"/>
      <w:r w:rsidRPr="00C26A9B">
        <w:rPr>
          <w:rFonts w:ascii="Times New Roman" w:hAnsi="Times New Roman" w:cs="Times New Roman"/>
          <w:sz w:val="24"/>
          <w:szCs w:val="24"/>
          <w:lang w:val="ro-RO"/>
        </w:rPr>
        <w:t>poziţiile</w:t>
      </w:r>
      <w:proofErr w:type="spellEnd"/>
      <w:r w:rsidRPr="00C26A9B">
        <w:rPr>
          <w:rFonts w:ascii="Times New Roman" w:hAnsi="Times New Roman" w:cs="Times New Roman"/>
          <w:sz w:val="24"/>
          <w:szCs w:val="24"/>
          <w:lang w:val="ro-RO"/>
        </w:rPr>
        <w:t xml:space="preserve"> dintr-o altă bancă sau întreprindere.</w:t>
      </w:r>
    </w:p>
    <w:p w14:paraId="2CDB20B7" w14:textId="7D441048" w:rsidR="007F79A8" w:rsidRPr="00C26A9B" w:rsidRDefault="007F79A8" w:rsidP="007F79A8">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89. Băncile pot aplica </w:t>
      </w:r>
      <w:proofErr w:type="spellStart"/>
      <w:r w:rsidRPr="00C26A9B">
        <w:rPr>
          <w:rFonts w:ascii="Times New Roman" w:hAnsi="Times New Roman" w:cs="Times New Roman"/>
          <w:sz w:val="24"/>
          <w:szCs w:val="24"/>
          <w:lang w:val="ro-RO"/>
        </w:rPr>
        <w:t>dispoziţiile</w:t>
      </w:r>
      <w:proofErr w:type="spellEnd"/>
      <w:r w:rsidRPr="00C26A9B">
        <w:rPr>
          <w:rFonts w:ascii="Times New Roman" w:hAnsi="Times New Roman" w:cs="Times New Roman"/>
          <w:sz w:val="24"/>
          <w:szCs w:val="24"/>
          <w:lang w:val="ro-RO"/>
        </w:rPr>
        <w:t xml:space="preserve"> pct.88 doar cu aprobarea BNM, care se acordă în cazul în care sunt îndeplinite toate </w:t>
      </w:r>
      <w:proofErr w:type="spellStart"/>
      <w:r w:rsidRPr="00C26A9B">
        <w:rPr>
          <w:rFonts w:ascii="Times New Roman" w:hAnsi="Times New Roman" w:cs="Times New Roman"/>
          <w:sz w:val="24"/>
          <w:szCs w:val="24"/>
          <w:lang w:val="ro-RO"/>
        </w:rPr>
        <w:t>condiţiile</w:t>
      </w:r>
      <w:proofErr w:type="spellEnd"/>
      <w:r w:rsidRPr="00C26A9B">
        <w:rPr>
          <w:rFonts w:ascii="Times New Roman" w:hAnsi="Times New Roman" w:cs="Times New Roman"/>
          <w:sz w:val="24"/>
          <w:szCs w:val="24"/>
          <w:lang w:val="ro-RO"/>
        </w:rPr>
        <w:t xml:space="preserve"> următoare:</w:t>
      </w:r>
    </w:p>
    <w:p w14:paraId="6D82D010" w14:textId="77777777" w:rsidR="007F79A8" w:rsidRPr="00C26A9B" w:rsidRDefault="007F79A8" w:rsidP="007F79A8">
      <w:pPr>
        <w:rPr>
          <w:rFonts w:ascii="Times New Roman" w:hAnsi="Times New Roman" w:cs="Times New Roman"/>
          <w:sz w:val="24"/>
          <w:szCs w:val="24"/>
          <w:lang w:val="ro-RO"/>
        </w:rPr>
      </w:pPr>
      <w:r w:rsidRPr="00C26A9B">
        <w:rPr>
          <w:rFonts w:ascii="Times New Roman" w:hAnsi="Times New Roman" w:cs="Times New Roman"/>
          <w:sz w:val="24"/>
          <w:szCs w:val="24"/>
          <w:lang w:val="ro-RO"/>
        </w:rPr>
        <w:t>89.1. există în cadrul grupului o alocare satisfăcătoare a fondurilor proprii;</w:t>
      </w:r>
    </w:p>
    <w:p w14:paraId="52BA94D1" w14:textId="4E74EFDF" w:rsidR="007F79A8" w:rsidRPr="00C26A9B" w:rsidRDefault="007F79A8" w:rsidP="007F79A8">
      <w:pPr>
        <w:rPr>
          <w:rFonts w:ascii="Times New Roman" w:hAnsi="Times New Roman" w:cs="Times New Roman"/>
          <w:sz w:val="24"/>
          <w:szCs w:val="24"/>
          <w:lang w:val="ro-RO"/>
        </w:rPr>
      </w:pPr>
      <w:r w:rsidRPr="00C26A9B">
        <w:rPr>
          <w:rFonts w:ascii="Times New Roman" w:hAnsi="Times New Roman" w:cs="Times New Roman"/>
          <w:sz w:val="24"/>
          <w:szCs w:val="24"/>
          <w:lang w:val="ro-RO"/>
        </w:rPr>
        <w:t>89.2. cadrul de reglementare, juridic sau contractual în care operează băncile garantează sprijinul financiar reciproc în interiorul grupului.</w:t>
      </w:r>
    </w:p>
    <w:p w14:paraId="7C6BDC23" w14:textId="6EBA35B7" w:rsidR="007F79A8" w:rsidRPr="00C26A9B" w:rsidRDefault="007F79A8" w:rsidP="007F79A8">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90. În cazul în care există întreprinderi situate în alte state, pe lângă </w:t>
      </w:r>
      <w:proofErr w:type="spellStart"/>
      <w:r w:rsidRPr="00C26A9B">
        <w:rPr>
          <w:rFonts w:ascii="Times New Roman" w:hAnsi="Times New Roman" w:cs="Times New Roman"/>
          <w:sz w:val="24"/>
          <w:szCs w:val="24"/>
          <w:lang w:val="ro-RO"/>
        </w:rPr>
        <w:t>condiţiile</w:t>
      </w:r>
      <w:proofErr w:type="spellEnd"/>
      <w:r w:rsidRPr="00C26A9B">
        <w:rPr>
          <w:rFonts w:ascii="Times New Roman" w:hAnsi="Times New Roman" w:cs="Times New Roman"/>
          <w:sz w:val="24"/>
          <w:szCs w:val="24"/>
          <w:lang w:val="ro-RO"/>
        </w:rPr>
        <w:t xml:space="preserve"> prevăzute la</w:t>
      </w:r>
      <w:r w:rsidR="00A31453" w:rsidRPr="00C26A9B">
        <w:rPr>
          <w:rFonts w:ascii="Times New Roman" w:hAnsi="Times New Roman" w:cs="Times New Roman"/>
          <w:sz w:val="24"/>
          <w:szCs w:val="24"/>
          <w:lang w:val="ro-RO"/>
        </w:rPr>
        <w:t xml:space="preserve"> </w:t>
      </w:r>
      <w:r w:rsidRPr="00C26A9B">
        <w:rPr>
          <w:rFonts w:ascii="Times New Roman" w:hAnsi="Times New Roman" w:cs="Times New Roman"/>
          <w:sz w:val="24"/>
          <w:szCs w:val="24"/>
          <w:lang w:val="ro-RO"/>
        </w:rPr>
        <w:t xml:space="preserve">pct.89, sunt îndeplinite toate </w:t>
      </w:r>
      <w:proofErr w:type="spellStart"/>
      <w:r w:rsidRPr="00C26A9B">
        <w:rPr>
          <w:rFonts w:ascii="Times New Roman" w:hAnsi="Times New Roman" w:cs="Times New Roman"/>
          <w:sz w:val="24"/>
          <w:szCs w:val="24"/>
          <w:lang w:val="ro-RO"/>
        </w:rPr>
        <w:t>condiţiile</w:t>
      </w:r>
      <w:proofErr w:type="spellEnd"/>
      <w:r w:rsidRPr="00C26A9B">
        <w:rPr>
          <w:rFonts w:ascii="Times New Roman" w:hAnsi="Times New Roman" w:cs="Times New Roman"/>
          <w:sz w:val="24"/>
          <w:szCs w:val="24"/>
          <w:lang w:val="ro-RO"/>
        </w:rPr>
        <w:t xml:space="preserve"> următoare:</w:t>
      </w:r>
    </w:p>
    <w:p w14:paraId="50E927B2" w14:textId="77777777" w:rsidR="007F79A8" w:rsidRPr="00C26A9B" w:rsidRDefault="007F79A8" w:rsidP="007F79A8">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90.1. întreprinderile în cauză au fost autorizate într-un alt stat și fie corespund </w:t>
      </w:r>
      <w:proofErr w:type="spellStart"/>
      <w:r w:rsidRPr="00C26A9B">
        <w:rPr>
          <w:rFonts w:ascii="Times New Roman" w:hAnsi="Times New Roman" w:cs="Times New Roman"/>
          <w:sz w:val="24"/>
          <w:szCs w:val="24"/>
          <w:lang w:val="ro-RO"/>
        </w:rPr>
        <w:t>definiţiei</w:t>
      </w:r>
      <w:proofErr w:type="spellEnd"/>
      <w:r w:rsidRPr="00C26A9B">
        <w:rPr>
          <w:rFonts w:ascii="Times New Roman" w:hAnsi="Times New Roman" w:cs="Times New Roman"/>
          <w:sz w:val="24"/>
          <w:szCs w:val="24"/>
          <w:lang w:val="ro-RO"/>
        </w:rPr>
        <w:t xml:space="preserve"> bancă, fie sunt firme de </w:t>
      </w:r>
      <w:proofErr w:type="spellStart"/>
      <w:r w:rsidRPr="00C26A9B">
        <w:rPr>
          <w:rFonts w:ascii="Times New Roman" w:hAnsi="Times New Roman" w:cs="Times New Roman"/>
          <w:sz w:val="24"/>
          <w:szCs w:val="24"/>
          <w:lang w:val="ro-RO"/>
        </w:rPr>
        <w:t>investiţii</w:t>
      </w:r>
      <w:proofErr w:type="spellEnd"/>
      <w:r w:rsidRPr="00C26A9B">
        <w:rPr>
          <w:rFonts w:ascii="Times New Roman" w:hAnsi="Times New Roman" w:cs="Times New Roman"/>
          <w:sz w:val="24"/>
          <w:szCs w:val="24"/>
          <w:lang w:val="ro-RO"/>
        </w:rPr>
        <w:t xml:space="preserve"> recunoscute din alte state;</w:t>
      </w:r>
    </w:p>
    <w:p w14:paraId="1BA4B09B" w14:textId="77777777" w:rsidR="007F79A8" w:rsidRPr="00C26A9B" w:rsidRDefault="007F79A8" w:rsidP="007F79A8">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 xml:space="preserve">90.2. întreprinderile în cauză respectă, la nivel individual, </w:t>
      </w:r>
      <w:proofErr w:type="spellStart"/>
      <w:r w:rsidRPr="00C26A9B">
        <w:rPr>
          <w:rFonts w:ascii="Times New Roman" w:hAnsi="Times New Roman" w:cs="Times New Roman"/>
          <w:sz w:val="24"/>
          <w:szCs w:val="24"/>
          <w:lang w:val="ro-RO"/>
        </w:rPr>
        <w:t>cerinţe</w:t>
      </w:r>
      <w:proofErr w:type="spellEnd"/>
      <w:r w:rsidRPr="00C26A9B">
        <w:rPr>
          <w:rFonts w:ascii="Times New Roman" w:hAnsi="Times New Roman" w:cs="Times New Roman"/>
          <w:sz w:val="24"/>
          <w:szCs w:val="24"/>
          <w:lang w:val="ro-RO"/>
        </w:rPr>
        <w:t xml:space="preserve"> de fonduri proprii echivalente cu cele prevăzute în Regulamentul nr.109/2018;</w:t>
      </w:r>
    </w:p>
    <w:p w14:paraId="34706276" w14:textId="78AB97F3" w:rsidR="007F79A8" w:rsidRPr="00C26A9B" w:rsidRDefault="007F79A8" w:rsidP="007F79A8">
      <w:pPr>
        <w:rPr>
          <w:rFonts w:ascii="Times New Roman" w:hAnsi="Times New Roman" w:cs="Times New Roman"/>
          <w:sz w:val="24"/>
          <w:szCs w:val="24"/>
          <w:lang w:val="ro-RO"/>
        </w:rPr>
      </w:pPr>
      <w:r w:rsidRPr="00C26A9B">
        <w:rPr>
          <w:rFonts w:ascii="Times New Roman" w:hAnsi="Times New Roman" w:cs="Times New Roman"/>
          <w:sz w:val="24"/>
          <w:szCs w:val="24"/>
          <w:lang w:val="ro-RO"/>
        </w:rPr>
        <w:t>90.3. în statele respective nu există reglementări care ar putea afecta semnificativ transferul de fonduri în cadrul grupului.</w:t>
      </w:r>
    </w:p>
    <w:p w14:paraId="3E2A8F5D" w14:textId="77777777" w:rsidR="00A31453" w:rsidRPr="00C26A9B" w:rsidRDefault="00A31453" w:rsidP="00A31453">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91. În cazul în care BNM nu a acordat unei bănci aprobarea </w:t>
      </w:r>
      <w:proofErr w:type="spellStart"/>
      <w:r w:rsidRPr="00C26A9B">
        <w:rPr>
          <w:rFonts w:ascii="Times New Roman" w:hAnsi="Times New Roman" w:cs="Times New Roman"/>
          <w:sz w:val="24"/>
          <w:szCs w:val="24"/>
          <w:lang w:val="ro-RO"/>
        </w:rPr>
        <w:t>menţionată</w:t>
      </w:r>
      <w:proofErr w:type="spellEnd"/>
      <w:r w:rsidRPr="00C26A9B">
        <w:rPr>
          <w:rFonts w:ascii="Times New Roman" w:hAnsi="Times New Roman" w:cs="Times New Roman"/>
          <w:sz w:val="24"/>
          <w:szCs w:val="24"/>
          <w:lang w:val="ro-RO"/>
        </w:rPr>
        <w:t xml:space="preserve"> la pct.89 pentru cel </w:t>
      </w:r>
      <w:proofErr w:type="spellStart"/>
      <w:r w:rsidRPr="00C26A9B">
        <w:rPr>
          <w:rFonts w:ascii="Times New Roman" w:hAnsi="Times New Roman" w:cs="Times New Roman"/>
          <w:sz w:val="24"/>
          <w:szCs w:val="24"/>
          <w:lang w:val="ro-RO"/>
        </w:rPr>
        <w:t>puţin</w:t>
      </w:r>
      <w:proofErr w:type="spellEnd"/>
      <w:r w:rsidRPr="00C26A9B">
        <w:rPr>
          <w:rFonts w:ascii="Times New Roman" w:hAnsi="Times New Roman" w:cs="Times New Roman"/>
          <w:sz w:val="24"/>
          <w:szCs w:val="24"/>
          <w:lang w:val="ro-RO"/>
        </w:rPr>
        <w:t xml:space="preserve"> o bancă sau o întreprindere din grup, la calcularea </w:t>
      </w:r>
      <w:proofErr w:type="spellStart"/>
      <w:r w:rsidRPr="00C26A9B">
        <w:rPr>
          <w:rFonts w:ascii="Times New Roman" w:hAnsi="Times New Roman" w:cs="Times New Roman"/>
          <w:sz w:val="24"/>
          <w:szCs w:val="24"/>
          <w:lang w:val="ro-RO"/>
        </w:rPr>
        <w:t>cerinţelor</w:t>
      </w:r>
      <w:proofErr w:type="spellEnd"/>
      <w:r w:rsidRPr="00C26A9B">
        <w:rPr>
          <w:rFonts w:ascii="Times New Roman" w:hAnsi="Times New Roman" w:cs="Times New Roman"/>
          <w:sz w:val="24"/>
          <w:szCs w:val="24"/>
          <w:lang w:val="ro-RO"/>
        </w:rPr>
        <w:t xml:space="preserve"> de fonduri proprii pentru riscul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pe bază consolidată în conformitate cu prezentul titlu se aplică următoarele </w:t>
      </w:r>
      <w:proofErr w:type="spellStart"/>
      <w:r w:rsidRPr="00C26A9B">
        <w:rPr>
          <w:rFonts w:ascii="Times New Roman" w:hAnsi="Times New Roman" w:cs="Times New Roman"/>
          <w:sz w:val="24"/>
          <w:szCs w:val="24"/>
          <w:lang w:val="ro-RO"/>
        </w:rPr>
        <w:t>cerinţe</w:t>
      </w:r>
      <w:proofErr w:type="spellEnd"/>
      <w:r w:rsidRPr="00C26A9B">
        <w:rPr>
          <w:rFonts w:ascii="Times New Roman" w:hAnsi="Times New Roman" w:cs="Times New Roman"/>
          <w:sz w:val="24"/>
          <w:szCs w:val="24"/>
          <w:lang w:val="ro-RO"/>
        </w:rPr>
        <w:t>:</w:t>
      </w:r>
    </w:p>
    <w:p w14:paraId="01CAA7B9" w14:textId="0D79DFC2" w:rsidR="00A31453" w:rsidRPr="00C26A9B" w:rsidRDefault="00A31453" w:rsidP="00A31453">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91.1. banca calculează </w:t>
      </w:r>
      <w:proofErr w:type="spellStart"/>
      <w:r w:rsidRPr="00C26A9B">
        <w:rPr>
          <w:rFonts w:ascii="Times New Roman" w:hAnsi="Times New Roman" w:cs="Times New Roman"/>
          <w:sz w:val="24"/>
          <w:szCs w:val="24"/>
          <w:lang w:val="ro-RO"/>
        </w:rPr>
        <w:t>poziţiile</w:t>
      </w:r>
      <w:proofErr w:type="spellEnd"/>
      <w:r w:rsidRPr="00C26A9B">
        <w:rPr>
          <w:rFonts w:ascii="Times New Roman" w:hAnsi="Times New Roman" w:cs="Times New Roman"/>
          <w:sz w:val="24"/>
          <w:szCs w:val="24"/>
          <w:lang w:val="ro-RO"/>
        </w:rPr>
        <w:t xml:space="preserve"> nete și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în conformitate cu prezentul titlu pentru toate </w:t>
      </w:r>
      <w:proofErr w:type="spellStart"/>
      <w:r w:rsidRPr="00C26A9B">
        <w:rPr>
          <w:rFonts w:ascii="Times New Roman" w:hAnsi="Times New Roman" w:cs="Times New Roman"/>
          <w:sz w:val="24"/>
          <w:szCs w:val="24"/>
          <w:lang w:val="ro-RO"/>
        </w:rPr>
        <w:t>poziţiile</w:t>
      </w:r>
      <w:proofErr w:type="spellEnd"/>
      <w:r w:rsidRPr="00C26A9B">
        <w:rPr>
          <w:rFonts w:ascii="Times New Roman" w:hAnsi="Times New Roman" w:cs="Times New Roman"/>
          <w:sz w:val="24"/>
          <w:szCs w:val="24"/>
          <w:lang w:val="ro-RO"/>
        </w:rPr>
        <w:t xml:space="preserve"> din cadrul băncilor sau al întreprinderilor din grup pentru care banca a primit aprobarea </w:t>
      </w:r>
      <w:proofErr w:type="spellStart"/>
      <w:r w:rsidRPr="00C26A9B">
        <w:rPr>
          <w:rFonts w:ascii="Times New Roman" w:hAnsi="Times New Roman" w:cs="Times New Roman"/>
          <w:sz w:val="24"/>
          <w:szCs w:val="24"/>
          <w:lang w:val="ro-RO"/>
        </w:rPr>
        <w:t>menţionată</w:t>
      </w:r>
      <w:proofErr w:type="spellEnd"/>
      <w:r w:rsidRPr="00C26A9B">
        <w:rPr>
          <w:rFonts w:ascii="Times New Roman" w:hAnsi="Times New Roman" w:cs="Times New Roman"/>
          <w:sz w:val="24"/>
          <w:szCs w:val="24"/>
          <w:lang w:val="ro-RO"/>
        </w:rPr>
        <w:t xml:space="preserve"> la</w:t>
      </w:r>
      <w:r w:rsidR="000434F3">
        <w:rPr>
          <w:rFonts w:ascii="Times New Roman" w:hAnsi="Times New Roman" w:cs="Times New Roman"/>
          <w:sz w:val="24"/>
          <w:szCs w:val="24"/>
          <w:lang w:val="ro-RO"/>
        </w:rPr>
        <w:t xml:space="preserve"> </w:t>
      </w:r>
      <w:r w:rsidRPr="00C26A9B">
        <w:rPr>
          <w:rFonts w:ascii="Times New Roman" w:hAnsi="Times New Roman" w:cs="Times New Roman"/>
          <w:sz w:val="24"/>
          <w:szCs w:val="24"/>
          <w:lang w:val="ro-RO"/>
        </w:rPr>
        <w:t>pct.89, utilizând tratamentul prevăzut la</w:t>
      </w:r>
      <w:r w:rsidR="000434F3">
        <w:rPr>
          <w:rFonts w:ascii="Times New Roman" w:hAnsi="Times New Roman" w:cs="Times New Roman"/>
          <w:sz w:val="24"/>
          <w:szCs w:val="24"/>
          <w:lang w:val="ro-RO"/>
        </w:rPr>
        <w:t xml:space="preserve"> </w:t>
      </w:r>
      <w:r w:rsidRPr="00C26A9B">
        <w:rPr>
          <w:rFonts w:ascii="Times New Roman" w:hAnsi="Times New Roman" w:cs="Times New Roman"/>
          <w:sz w:val="24"/>
          <w:szCs w:val="24"/>
          <w:lang w:val="ro-RO"/>
        </w:rPr>
        <w:t>pct.88;</w:t>
      </w:r>
    </w:p>
    <w:p w14:paraId="56911BE1" w14:textId="263C082E" w:rsidR="00A31453" w:rsidRPr="00C26A9B" w:rsidRDefault="00A31453" w:rsidP="00A31453">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91.2. banca calculează </w:t>
      </w:r>
      <w:proofErr w:type="spellStart"/>
      <w:r w:rsidRPr="00C26A9B">
        <w:rPr>
          <w:rFonts w:ascii="Times New Roman" w:hAnsi="Times New Roman" w:cs="Times New Roman"/>
          <w:sz w:val="24"/>
          <w:szCs w:val="24"/>
          <w:lang w:val="ro-RO"/>
        </w:rPr>
        <w:t>poziţiile</w:t>
      </w:r>
      <w:proofErr w:type="spellEnd"/>
      <w:r w:rsidRPr="00C26A9B">
        <w:rPr>
          <w:rFonts w:ascii="Times New Roman" w:hAnsi="Times New Roman" w:cs="Times New Roman"/>
          <w:sz w:val="24"/>
          <w:szCs w:val="24"/>
          <w:lang w:val="ro-RO"/>
        </w:rPr>
        <w:t xml:space="preserve"> nete și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în conformitate cu prezentul titlu în mod individual pentru toate </w:t>
      </w:r>
      <w:proofErr w:type="spellStart"/>
      <w:r w:rsidRPr="00C26A9B">
        <w:rPr>
          <w:rFonts w:ascii="Times New Roman" w:hAnsi="Times New Roman" w:cs="Times New Roman"/>
          <w:sz w:val="24"/>
          <w:szCs w:val="24"/>
          <w:lang w:val="ro-RO"/>
        </w:rPr>
        <w:t>poziţiile</w:t>
      </w:r>
      <w:proofErr w:type="spellEnd"/>
      <w:r w:rsidRPr="00C26A9B">
        <w:rPr>
          <w:rFonts w:ascii="Times New Roman" w:hAnsi="Times New Roman" w:cs="Times New Roman"/>
          <w:sz w:val="24"/>
          <w:szCs w:val="24"/>
          <w:lang w:val="ro-RO"/>
        </w:rPr>
        <w:t xml:space="preserve"> din cadrul fiecărei bănci sau întreprinderi din grup pentru care banca nu a primit aprobarea </w:t>
      </w:r>
      <w:proofErr w:type="spellStart"/>
      <w:r w:rsidRPr="00C26A9B">
        <w:rPr>
          <w:rFonts w:ascii="Times New Roman" w:hAnsi="Times New Roman" w:cs="Times New Roman"/>
          <w:sz w:val="24"/>
          <w:szCs w:val="24"/>
          <w:lang w:val="ro-RO"/>
        </w:rPr>
        <w:t>menţionată</w:t>
      </w:r>
      <w:proofErr w:type="spellEnd"/>
      <w:r w:rsidRPr="00C26A9B">
        <w:rPr>
          <w:rFonts w:ascii="Times New Roman" w:hAnsi="Times New Roman" w:cs="Times New Roman"/>
          <w:sz w:val="24"/>
          <w:szCs w:val="24"/>
          <w:lang w:val="ro-RO"/>
        </w:rPr>
        <w:t xml:space="preserve"> la</w:t>
      </w:r>
      <w:r w:rsidR="000434F3">
        <w:rPr>
          <w:rFonts w:ascii="Times New Roman" w:hAnsi="Times New Roman" w:cs="Times New Roman"/>
          <w:sz w:val="24"/>
          <w:szCs w:val="24"/>
          <w:lang w:val="ro-RO"/>
        </w:rPr>
        <w:t xml:space="preserve"> </w:t>
      </w:r>
      <w:r w:rsidRPr="00C26A9B">
        <w:rPr>
          <w:rFonts w:ascii="Times New Roman" w:hAnsi="Times New Roman" w:cs="Times New Roman"/>
          <w:sz w:val="24"/>
          <w:szCs w:val="24"/>
          <w:lang w:val="ro-RO"/>
        </w:rPr>
        <w:t>pct.89;</w:t>
      </w:r>
    </w:p>
    <w:p w14:paraId="17E75F02" w14:textId="77777777" w:rsidR="00A31453" w:rsidRPr="00C26A9B" w:rsidRDefault="00A31453" w:rsidP="00A31453">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91.3. banca calculează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totale în conformitate cu prezentul titlu pe bază consolidată prin adunarea cuantumurilor calculate la subpct.91.1 și 91.2.</w:t>
      </w:r>
    </w:p>
    <w:p w14:paraId="4746B1E4" w14:textId="22349929" w:rsidR="00A31453" w:rsidRPr="00C26A9B" w:rsidRDefault="00A31453" w:rsidP="00A31453">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92. În scopul calculului </w:t>
      </w:r>
      <w:proofErr w:type="spellStart"/>
      <w:r w:rsidRPr="00C26A9B">
        <w:rPr>
          <w:rFonts w:ascii="Times New Roman" w:hAnsi="Times New Roman" w:cs="Times New Roman"/>
          <w:sz w:val="24"/>
          <w:szCs w:val="24"/>
          <w:lang w:val="ro-RO"/>
        </w:rPr>
        <w:t>menţionat</w:t>
      </w:r>
      <w:proofErr w:type="spellEnd"/>
      <w:r w:rsidRPr="00C26A9B">
        <w:rPr>
          <w:rFonts w:ascii="Times New Roman" w:hAnsi="Times New Roman" w:cs="Times New Roman"/>
          <w:sz w:val="24"/>
          <w:szCs w:val="24"/>
          <w:lang w:val="ro-RO"/>
        </w:rPr>
        <w:t xml:space="preserve"> la subpct.91.1 și 91.2, băncile și întreprinderile </w:t>
      </w:r>
      <w:proofErr w:type="spellStart"/>
      <w:r w:rsidRPr="00C26A9B">
        <w:rPr>
          <w:rFonts w:ascii="Times New Roman" w:hAnsi="Times New Roman" w:cs="Times New Roman"/>
          <w:sz w:val="24"/>
          <w:szCs w:val="24"/>
          <w:lang w:val="ro-RO"/>
        </w:rPr>
        <w:t>menţionate</w:t>
      </w:r>
      <w:proofErr w:type="spellEnd"/>
      <w:r w:rsidRPr="00C26A9B">
        <w:rPr>
          <w:rFonts w:ascii="Times New Roman" w:hAnsi="Times New Roman" w:cs="Times New Roman"/>
          <w:sz w:val="24"/>
          <w:szCs w:val="24"/>
          <w:lang w:val="ro-RO"/>
        </w:rPr>
        <w:t xml:space="preserve"> la subpunctele respective utilizează aceeași monedă de raportare ca moneda de raportare utilizată pentru calcularea </w:t>
      </w:r>
      <w:proofErr w:type="spellStart"/>
      <w:r w:rsidRPr="00C26A9B">
        <w:rPr>
          <w:rFonts w:ascii="Times New Roman" w:hAnsi="Times New Roman" w:cs="Times New Roman"/>
          <w:sz w:val="24"/>
          <w:szCs w:val="24"/>
          <w:lang w:val="ro-RO"/>
        </w:rPr>
        <w:t>cerinţelor</w:t>
      </w:r>
      <w:proofErr w:type="spellEnd"/>
      <w:r w:rsidRPr="00C26A9B">
        <w:rPr>
          <w:rFonts w:ascii="Times New Roman" w:hAnsi="Times New Roman" w:cs="Times New Roman"/>
          <w:sz w:val="24"/>
          <w:szCs w:val="24"/>
          <w:lang w:val="ro-RO"/>
        </w:rPr>
        <w:t xml:space="preserve"> de fonduri proprii pentru riscul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în conformitate cu prezentul titlu pe bază consolidată pentru grup.</w:t>
      </w:r>
    </w:p>
    <w:p w14:paraId="669224F0" w14:textId="6CA0A3F2" w:rsidR="006E2B0D" w:rsidRPr="00C26A9B" w:rsidRDefault="006E2B0D" w:rsidP="006E2B0D">
      <w:pPr>
        <w:rPr>
          <w:rFonts w:ascii="Times New Roman" w:hAnsi="Times New Roman" w:cs="Times New Roman"/>
          <w:b/>
          <w:i/>
          <w:iCs/>
          <w:sz w:val="24"/>
          <w:szCs w:val="24"/>
          <w:lang w:val="ro-RO"/>
        </w:rPr>
      </w:pPr>
      <w:r w:rsidRPr="00C26A9B">
        <w:rPr>
          <w:rFonts w:ascii="Times New Roman" w:hAnsi="Times New Roman" w:cs="Times New Roman"/>
          <w:b/>
          <w:i/>
          <w:iCs/>
          <w:sz w:val="24"/>
          <w:szCs w:val="24"/>
          <w:lang w:val="ro-RO"/>
        </w:rPr>
        <w:t>CAPITOLUL II. ABORDAREA STANDARDIZATĂ ALTERNATIVĂ</w:t>
      </w:r>
    </w:p>
    <w:p w14:paraId="045E6C81" w14:textId="48F43FFA" w:rsidR="006E2B0D" w:rsidRPr="00C26A9B" w:rsidRDefault="006E2B0D" w:rsidP="006E2B0D">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Secțiunea 1. Dispoziții generale</w:t>
      </w:r>
    </w:p>
    <w:p w14:paraId="35753A13" w14:textId="0D14A8E9" w:rsidR="006E2B0D" w:rsidRPr="00CC1E9B" w:rsidRDefault="006E2B0D" w:rsidP="006E2B0D">
      <w:pPr>
        <w:rPr>
          <w:rFonts w:ascii="Times New Roman" w:hAnsi="Times New Roman" w:cs="Times New Roman"/>
          <w:b/>
          <w:bCs/>
          <w:i/>
          <w:iCs/>
          <w:sz w:val="24"/>
          <w:szCs w:val="24"/>
          <w:lang w:val="ro-RO"/>
        </w:rPr>
      </w:pPr>
      <w:bookmarkStart w:id="7" w:name="_Hlk199505175"/>
      <w:r w:rsidRPr="00C451D2">
        <w:rPr>
          <w:rFonts w:ascii="Times New Roman" w:hAnsi="Times New Roman" w:cs="Times New Roman"/>
          <w:b/>
          <w:bCs/>
          <w:i/>
          <w:iCs/>
          <w:sz w:val="24"/>
          <w:szCs w:val="24"/>
          <w:lang w:val="ro-RO"/>
        </w:rPr>
        <w:t>Subsecţiunea 1</w:t>
      </w:r>
      <w:bookmarkEnd w:id="7"/>
      <w:r w:rsidRPr="00C451D2">
        <w:rPr>
          <w:rFonts w:ascii="Times New Roman" w:hAnsi="Times New Roman" w:cs="Times New Roman"/>
          <w:b/>
          <w:bCs/>
          <w:i/>
          <w:iCs/>
          <w:sz w:val="24"/>
          <w:szCs w:val="24"/>
          <w:lang w:val="ro-RO"/>
        </w:rPr>
        <w:t>.</w:t>
      </w:r>
      <w:r w:rsidRPr="00C451D2">
        <w:rPr>
          <w:rFonts w:ascii="Times New Roman" w:hAnsi="Times New Roman" w:cs="Times New Roman"/>
          <w:i/>
          <w:iCs/>
          <w:sz w:val="24"/>
          <w:szCs w:val="24"/>
          <w:lang w:val="ro-RO"/>
        </w:rPr>
        <w:t xml:space="preserve"> </w:t>
      </w:r>
      <w:r w:rsidRPr="00CC1E9B">
        <w:rPr>
          <w:rFonts w:ascii="Times New Roman" w:hAnsi="Times New Roman" w:cs="Times New Roman"/>
          <w:b/>
          <w:bCs/>
          <w:i/>
          <w:iCs/>
          <w:sz w:val="24"/>
          <w:szCs w:val="24"/>
          <w:lang w:val="ro-RO"/>
        </w:rPr>
        <w:t>Domeniul de aplicare, structura și cerințele calitative ale abordării standardizate alternative</w:t>
      </w:r>
    </w:p>
    <w:p w14:paraId="24D8FFAD" w14:textId="77777777" w:rsidR="006E2B0D" w:rsidRPr="00C26A9B" w:rsidRDefault="006E2B0D" w:rsidP="006E2B0D">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93. Băncile instituie și pun la </w:t>
      </w:r>
      <w:proofErr w:type="spellStart"/>
      <w:r w:rsidRPr="00C26A9B">
        <w:rPr>
          <w:rFonts w:ascii="Times New Roman" w:hAnsi="Times New Roman" w:cs="Times New Roman"/>
          <w:sz w:val="24"/>
          <w:szCs w:val="24"/>
          <w:lang w:val="ro-RO"/>
        </w:rPr>
        <w:t>dispoziţia</w:t>
      </w:r>
      <w:proofErr w:type="spellEnd"/>
      <w:r w:rsidRPr="00C26A9B">
        <w:rPr>
          <w:rFonts w:ascii="Times New Roman" w:hAnsi="Times New Roman" w:cs="Times New Roman"/>
          <w:sz w:val="24"/>
          <w:szCs w:val="24"/>
          <w:lang w:val="ro-RO"/>
        </w:rPr>
        <w:t xml:space="preserve"> BNM un set documentat de politici, proceduri și controale interne pentru monitorizarea și asigurarea </w:t>
      </w:r>
      <w:proofErr w:type="spellStart"/>
      <w:r w:rsidRPr="00C26A9B">
        <w:rPr>
          <w:rFonts w:ascii="Times New Roman" w:hAnsi="Times New Roman" w:cs="Times New Roman"/>
          <w:sz w:val="24"/>
          <w:szCs w:val="24"/>
          <w:lang w:val="ro-RO"/>
        </w:rPr>
        <w:t>conformităţii</w:t>
      </w:r>
      <w:proofErr w:type="spellEnd"/>
      <w:r w:rsidRPr="00C26A9B">
        <w:rPr>
          <w:rFonts w:ascii="Times New Roman" w:hAnsi="Times New Roman" w:cs="Times New Roman"/>
          <w:sz w:val="24"/>
          <w:szCs w:val="24"/>
          <w:lang w:val="ro-RO"/>
        </w:rPr>
        <w:t xml:space="preserve"> cu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din prezentul capitol.</w:t>
      </w:r>
    </w:p>
    <w:p w14:paraId="1E9713A2" w14:textId="33D550D0" w:rsidR="006E2B0D" w:rsidRPr="00C26A9B" w:rsidRDefault="006E2B0D" w:rsidP="006E2B0D">
      <w:pPr>
        <w:rPr>
          <w:rFonts w:ascii="Times New Roman" w:hAnsi="Times New Roman" w:cs="Times New Roman"/>
          <w:sz w:val="24"/>
          <w:szCs w:val="24"/>
          <w:lang w:val="ro-RO"/>
        </w:rPr>
      </w:pPr>
      <w:r w:rsidRPr="00C26A9B">
        <w:rPr>
          <w:rFonts w:ascii="Times New Roman" w:hAnsi="Times New Roman" w:cs="Times New Roman"/>
          <w:sz w:val="24"/>
          <w:szCs w:val="24"/>
          <w:lang w:val="ro-RO"/>
        </w:rPr>
        <w:t>94. Orice modificare a respectivelor politici, proceduri și controale se notifică BNM în timp util.</w:t>
      </w:r>
    </w:p>
    <w:p w14:paraId="13B4F12D" w14:textId="77777777" w:rsidR="006E2B0D" w:rsidRPr="00C26A9B" w:rsidRDefault="006E2B0D" w:rsidP="006E2B0D">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95. Băncile calculează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pentru riscul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în conformitate cu abordarea standardizată alternativă pentru un portofoliu de </w:t>
      </w:r>
      <w:proofErr w:type="spellStart"/>
      <w:r w:rsidRPr="00C26A9B">
        <w:rPr>
          <w:rFonts w:ascii="Times New Roman" w:hAnsi="Times New Roman" w:cs="Times New Roman"/>
          <w:sz w:val="24"/>
          <w:szCs w:val="24"/>
          <w:lang w:val="ro-RO"/>
        </w:rPr>
        <w:t>poziţii</w:t>
      </w:r>
      <w:proofErr w:type="spellEnd"/>
      <w:r w:rsidRPr="00C26A9B">
        <w:rPr>
          <w:rFonts w:ascii="Times New Roman" w:hAnsi="Times New Roman" w:cs="Times New Roman"/>
          <w:sz w:val="24"/>
          <w:szCs w:val="24"/>
          <w:lang w:val="ro-RO"/>
        </w:rPr>
        <w:t xml:space="preserve"> din portofoliul de tranzacţionare sau din afara portofoliului de tranzacţionare care prezintă un risc valutar sau de marfă ca fiind suma următoarelor trei componente:</w:t>
      </w:r>
    </w:p>
    <w:p w14:paraId="1F94F562" w14:textId="77777777" w:rsidR="006E2B0D" w:rsidRPr="00C26A9B" w:rsidRDefault="006E2B0D" w:rsidP="006E2B0D">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95.1. </w:t>
      </w:r>
      <w:proofErr w:type="spellStart"/>
      <w:r w:rsidRPr="00C26A9B">
        <w:rPr>
          <w:rFonts w:ascii="Times New Roman" w:hAnsi="Times New Roman" w:cs="Times New Roman"/>
          <w:sz w:val="24"/>
          <w:szCs w:val="24"/>
          <w:lang w:val="ro-RO"/>
        </w:rPr>
        <w:t>cerinţa</w:t>
      </w:r>
      <w:proofErr w:type="spellEnd"/>
      <w:r w:rsidRPr="00C26A9B">
        <w:rPr>
          <w:rFonts w:ascii="Times New Roman" w:hAnsi="Times New Roman" w:cs="Times New Roman"/>
          <w:sz w:val="24"/>
          <w:szCs w:val="24"/>
          <w:lang w:val="ro-RO"/>
        </w:rPr>
        <w:t xml:space="preserve"> de fonduri proprii conform metodei bazate pe </w:t>
      </w:r>
      <w:proofErr w:type="spellStart"/>
      <w:r w:rsidRPr="00C26A9B">
        <w:rPr>
          <w:rFonts w:ascii="Times New Roman" w:hAnsi="Times New Roman" w:cs="Times New Roman"/>
          <w:sz w:val="24"/>
          <w:szCs w:val="24"/>
          <w:lang w:val="ro-RO"/>
        </w:rPr>
        <w:t>sensibilităţi</w:t>
      </w:r>
      <w:proofErr w:type="spellEnd"/>
      <w:r w:rsidRPr="00C26A9B">
        <w:rPr>
          <w:rFonts w:ascii="Times New Roman" w:hAnsi="Times New Roman" w:cs="Times New Roman"/>
          <w:sz w:val="24"/>
          <w:szCs w:val="24"/>
          <w:lang w:val="ro-RO"/>
        </w:rPr>
        <w:t xml:space="preserve"> prevăzute în </w:t>
      </w:r>
      <w:proofErr w:type="spellStart"/>
      <w:r w:rsidRPr="00C26A9B">
        <w:rPr>
          <w:rFonts w:ascii="Times New Roman" w:hAnsi="Times New Roman" w:cs="Times New Roman"/>
          <w:sz w:val="24"/>
          <w:szCs w:val="24"/>
          <w:lang w:val="ro-RO"/>
        </w:rPr>
        <w:t>secţiunea</w:t>
      </w:r>
      <w:proofErr w:type="spellEnd"/>
      <w:r w:rsidRPr="00C26A9B">
        <w:rPr>
          <w:rFonts w:ascii="Times New Roman" w:hAnsi="Times New Roman" w:cs="Times New Roman"/>
          <w:sz w:val="24"/>
          <w:szCs w:val="24"/>
          <w:lang w:val="ro-RO"/>
        </w:rPr>
        <w:t xml:space="preserve"> 2;</w:t>
      </w:r>
    </w:p>
    <w:p w14:paraId="3096869F" w14:textId="77777777" w:rsidR="006E2B0D" w:rsidRPr="00C26A9B" w:rsidRDefault="006E2B0D" w:rsidP="006E2B0D">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95.2. </w:t>
      </w:r>
      <w:proofErr w:type="spellStart"/>
      <w:r w:rsidRPr="00C26A9B">
        <w:rPr>
          <w:rFonts w:ascii="Times New Roman" w:hAnsi="Times New Roman" w:cs="Times New Roman"/>
          <w:sz w:val="24"/>
          <w:szCs w:val="24"/>
          <w:lang w:val="ro-RO"/>
        </w:rPr>
        <w:t>cerinţa</w:t>
      </w:r>
      <w:proofErr w:type="spellEnd"/>
      <w:r w:rsidRPr="00C26A9B">
        <w:rPr>
          <w:rFonts w:ascii="Times New Roman" w:hAnsi="Times New Roman" w:cs="Times New Roman"/>
          <w:sz w:val="24"/>
          <w:szCs w:val="24"/>
          <w:lang w:val="ro-RO"/>
        </w:rPr>
        <w:t xml:space="preserve"> de fonduri proprii pentru riscul de nerambursare prevăzută în </w:t>
      </w:r>
      <w:proofErr w:type="spellStart"/>
      <w:r w:rsidRPr="00C26A9B">
        <w:rPr>
          <w:rFonts w:ascii="Times New Roman" w:hAnsi="Times New Roman" w:cs="Times New Roman"/>
          <w:sz w:val="24"/>
          <w:szCs w:val="24"/>
          <w:lang w:val="ro-RO"/>
        </w:rPr>
        <w:t>secţiunea</w:t>
      </w:r>
      <w:proofErr w:type="spellEnd"/>
      <w:r w:rsidRPr="00C26A9B">
        <w:rPr>
          <w:rFonts w:ascii="Times New Roman" w:hAnsi="Times New Roman" w:cs="Times New Roman"/>
          <w:sz w:val="24"/>
          <w:szCs w:val="24"/>
          <w:lang w:val="ro-RO"/>
        </w:rPr>
        <w:t xml:space="preserve"> 5 care este aplicabilă numai </w:t>
      </w:r>
      <w:proofErr w:type="spellStart"/>
      <w:r w:rsidRPr="00C26A9B">
        <w:rPr>
          <w:rFonts w:ascii="Times New Roman" w:hAnsi="Times New Roman" w:cs="Times New Roman"/>
          <w:sz w:val="24"/>
          <w:szCs w:val="24"/>
          <w:lang w:val="ro-RO"/>
        </w:rPr>
        <w:t>poziţiilor</w:t>
      </w:r>
      <w:proofErr w:type="spellEnd"/>
      <w:r w:rsidRPr="00C26A9B">
        <w:rPr>
          <w:rFonts w:ascii="Times New Roman" w:hAnsi="Times New Roman" w:cs="Times New Roman"/>
          <w:sz w:val="24"/>
          <w:szCs w:val="24"/>
          <w:lang w:val="ro-RO"/>
        </w:rPr>
        <w:t xml:space="preserve"> din portofoliul de </w:t>
      </w:r>
      <w:proofErr w:type="spellStart"/>
      <w:r w:rsidRPr="00C26A9B">
        <w:rPr>
          <w:rFonts w:ascii="Times New Roman" w:hAnsi="Times New Roman" w:cs="Times New Roman"/>
          <w:sz w:val="24"/>
          <w:szCs w:val="24"/>
          <w:lang w:val="ro-RO"/>
        </w:rPr>
        <w:t>tranzacţionare</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menţionate</w:t>
      </w:r>
      <w:proofErr w:type="spellEnd"/>
      <w:r w:rsidRPr="00C26A9B">
        <w:rPr>
          <w:rFonts w:ascii="Times New Roman" w:hAnsi="Times New Roman" w:cs="Times New Roman"/>
          <w:sz w:val="24"/>
          <w:szCs w:val="24"/>
          <w:lang w:val="ro-RO"/>
        </w:rPr>
        <w:t xml:space="preserve"> în </w:t>
      </w:r>
      <w:proofErr w:type="spellStart"/>
      <w:r w:rsidRPr="00C26A9B">
        <w:rPr>
          <w:rFonts w:ascii="Times New Roman" w:hAnsi="Times New Roman" w:cs="Times New Roman"/>
          <w:sz w:val="24"/>
          <w:szCs w:val="24"/>
          <w:lang w:val="ro-RO"/>
        </w:rPr>
        <w:t>secţiunea</w:t>
      </w:r>
      <w:proofErr w:type="spellEnd"/>
      <w:r w:rsidRPr="00C26A9B">
        <w:rPr>
          <w:rFonts w:ascii="Times New Roman" w:hAnsi="Times New Roman" w:cs="Times New Roman"/>
          <w:sz w:val="24"/>
          <w:szCs w:val="24"/>
          <w:lang w:val="ro-RO"/>
        </w:rPr>
        <w:t xml:space="preserve"> respectivă;</w:t>
      </w:r>
    </w:p>
    <w:p w14:paraId="72A47A5C" w14:textId="19B74952" w:rsidR="006E2B0D" w:rsidRPr="00C26A9B" w:rsidRDefault="006E2B0D" w:rsidP="006E2B0D">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95.3. </w:t>
      </w:r>
      <w:proofErr w:type="spellStart"/>
      <w:r w:rsidRPr="00C26A9B">
        <w:rPr>
          <w:rFonts w:ascii="Times New Roman" w:hAnsi="Times New Roman" w:cs="Times New Roman"/>
          <w:sz w:val="24"/>
          <w:szCs w:val="24"/>
          <w:lang w:val="ro-RO"/>
        </w:rPr>
        <w:t>cerinţa</w:t>
      </w:r>
      <w:proofErr w:type="spellEnd"/>
      <w:r w:rsidRPr="00C26A9B">
        <w:rPr>
          <w:rFonts w:ascii="Times New Roman" w:hAnsi="Times New Roman" w:cs="Times New Roman"/>
          <w:sz w:val="24"/>
          <w:szCs w:val="24"/>
          <w:lang w:val="ro-RO"/>
        </w:rPr>
        <w:t xml:space="preserve"> de fonduri proprii pentru riscuri reziduale prevăzute în </w:t>
      </w:r>
      <w:proofErr w:type="spellStart"/>
      <w:r w:rsidRPr="00C26A9B">
        <w:rPr>
          <w:rFonts w:ascii="Times New Roman" w:hAnsi="Times New Roman" w:cs="Times New Roman"/>
          <w:sz w:val="24"/>
          <w:szCs w:val="24"/>
          <w:lang w:val="ro-RO"/>
        </w:rPr>
        <w:t>secţiunea</w:t>
      </w:r>
      <w:proofErr w:type="spellEnd"/>
      <w:r w:rsidRPr="00C26A9B">
        <w:rPr>
          <w:rFonts w:ascii="Times New Roman" w:hAnsi="Times New Roman" w:cs="Times New Roman"/>
          <w:sz w:val="24"/>
          <w:szCs w:val="24"/>
          <w:lang w:val="ro-RO"/>
        </w:rPr>
        <w:t xml:space="preserve"> 4 care este aplicabilă numai </w:t>
      </w:r>
      <w:proofErr w:type="spellStart"/>
      <w:r w:rsidRPr="00C26A9B">
        <w:rPr>
          <w:rFonts w:ascii="Times New Roman" w:hAnsi="Times New Roman" w:cs="Times New Roman"/>
          <w:sz w:val="24"/>
          <w:szCs w:val="24"/>
          <w:lang w:val="ro-RO"/>
        </w:rPr>
        <w:t>poziţiilor</w:t>
      </w:r>
      <w:proofErr w:type="spellEnd"/>
      <w:r w:rsidRPr="00C26A9B">
        <w:rPr>
          <w:rFonts w:ascii="Times New Roman" w:hAnsi="Times New Roman" w:cs="Times New Roman"/>
          <w:sz w:val="24"/>
          <w:szCs w:val="24"/>
          <w:lang w:val="ro-RO"/>
        </w:rPr>
        <w:t xml:space="preserve"> din portofoliul de </w:t>
      </w:r>
      <w:proofErr w:type="spellStart"/>
      <w:r w:rsidRPr="00C26A9B">
        <w:rPr>
          <w:rFonts w:ascii="Times New Roman" w:hAnsi="Times New Roman" w:cs="Times New Roman"/>
          <w:sz w:val="24"/>
          <w:szCs w:val="24"/>
          <w:lang w:val="ro-RO"/>
        </w:rPr>
        <w:t>tranzacţionare</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menţionate</w:t>
      </w:r>
      <w:proofErr w:type="spellEnd"/>
      <w:r w:rsidRPr="00C26A9B">
        <w:rPr>
          <w:rFonts w:ascii="Times New Roman" w:hAnsi="Times New Roman" w:cs="Times New Roman"/>
          <w:sz w:val="24"/>
          <w:szCs w:val="24"/>
          <w:lang w:val="ro-RO"/>
        </w:rPr>
        <w:t xml:space="preserve"> în </w:t>
      </w:r>
      <w:proofErr w:type="spellStart"/>
      <w:r w:rsidRPr="00C26A9B">
        <w:rPr>
          <w:rFonts w:ascii="Times New Roman" w:hAnsi="Times New Roman" w:cs="Times New Roman"/>
          <w:sz w:val="24"/>
          <w:szCs w:val="24"/>
          <w:lang w:val="ro-RO"/>
        </w:rPr>
        <w:t>secţiunea</w:t>
      </w:r>
      <w:proofErr w:type="spellEnd"/>
      <w:r w:rsidRPr="00C26A9B">
        <w:rPr>
          <w:rFonts w:ascii="Times New Roman" w:hAnsi="Times New Roman" w:cs="Times New Roman"/>
          <w:sz w:val="24"/>
          <w:szCs w:val="24"/>
          <w:lang w:val="ro-RO"/>
        </w:rPr>
        <w:t xml:space="preserve"> respectivă.</w:t>
      </w:r>
    </w:p>
    <w:p w14:paraId="6122ED4D" w14:textId="6F18E203" w:rsidR="00F67CB2" w:rsidRPr="00C26A9B" w:rsidRDefault="00F67CB2" w:rsidP="006E2B0D">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96. Prin derogare de la pct.95, o bancă calculează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pentru riscul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în conformitate cu abordarea standardizată alternativă pentru </w:t>
      </w:r>
      <w:proofErr w:type="spellStart"/>
      <w:r w:rsidRPr="00C26A9B">
        <w:rPr>
          <w:rFonts w:ascii="Times New Roman" w:hAnsi="Times New Roman" w:cs="Times New Roman"/>
          <w:sz w:val="24"/>
          <w:szCs w:val="24"/>
          <w:lang w:val="ro-RO"/>
        </w:rPr>
        <w:t>deţinerile</w:t>
      </w:r>
      <w:proofErr w:type="spellEnd"/>
      <w:r w:rsidRPr="00C26A9B">
        <w:rPr>
          <w:rFonts w:ascii="Times New Roman" w:hAnsi="Times New Roman" w:cs="Times New Roman"/>
          <w:sz w:val="24"/>
          <w:szCs w:val="24"/>
          <w:lang w:val="ro-RO"/>
        </w:rPr>
        <w:t xml:space="preserve"> băncii reprezentate de propriile sale instrumente de datorie drept suma celor două componente </w:t>
      </w:r>
      <w:proofErr w:type="spellStart"/>
      <w:r w:rsidRPr="00C26A9B">
        <w:rPr>
          <w:rFonts w:ascii="Times New Roman" w:hAnsi="Times New Roman" w:cs="Times New Roman"/>
          <w:sz w:val="24"/>
          <w:szCs w:val="24"/>
          <w:lang w:val="ro-RO"/>
        </w:rPr>
        <w:t>menţionate</w:t>
      </w:r>
      <w:proofErr w:type="spellEnd"/>
      <w:r w:rsidRPr="00C26A9B">
        <w:rPr>
          <w:rFonts w:ascii="Times New Roman" w:hAnsi="Times New Roman" w:cs="Times New Roman"/>
          <w:sz w:val="24"/>
          <w:szCs w:val="24"/>
          <w:lang w:val="ro-RO"/>
        </w:rPr>
        <w:t xml:space="preserve"> la subpct.95.1 și 95.3. Atunci când calculează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pentru riscul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pentru instrumentele proprii de datorie în conformitate cu metoda bazată pe </w:t>
      </w:r>
      <w:proofErr w:type="spellStart"/>
      <w:r w:rsidRPr="00C26A9B">
        <w:rPr>
          <w:rFonts w:ascii="Times New Roman" w:hAnsi="Times New Roman" w:cs="Times New Roman"/>
          <w:sz w:val="24"/>
          <w:szCs w:val="24"/>
          <w:lang w:val="ro-RO"/>
        </w:rPr>
        <w:t>sensibilităţi</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menţionată</w:t>
      </w:r>
      <w:proofErr w:type="spellEnd"/>
      <w:r w:rsidRPr="00C26A9B">
        <w:rPr>
          <w:rFonts w:ascii="Times New Roman" w:hAnsi="Times New Roman" w:cs="Times New Roman"/>
          <w:sz w:val="24"/>
          <w:szCs w:val="24"/>
          <w:lang w:val="ro-RO"/>
        </w:rPr>
        <w:t xml:space="preserve"> la subpct.95.1, banca exclude din acest calcul riscurile provenite din marja de credit proprie a băncii.</w:t>
      </w:r>
    </w:p>
    <w:p w14:paraId="3EDBEB3F" w14:textId="15DCB0D9" w:rsidR="00F67CB2" w:rsidRPr="00C26A9B" w:rsidRDefault="00F67CB2" w:rsidP="006E2B0D">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 xml:space="preserve">97. Băncile dispun de o unitate de control al riscului care este independentă de </w:t>
      </w:r>
      <w:proofErr w:type="spellStart"/>
      <w:r w:rsidRPr="00C26A9B">
        <w:rPr>
          <w:rFonts w:ascii="Times New Roman" w:hAnsi="Times New Roman" w:cs="Times New Roman"/>
          <w:sz w:val="24"/>
          <w:szCs w:val="24"/>
          <w:lang w:val="ro-RO"/>
        </w:rPr>
        <w:t>unităţile</w:t>
      </w:r>
      <w:proofErr w:type="spellEnd"/>
      <w:r w:rsidRPr="00C26A9B">
        <w:rPr>
          <w:rFonts w:ascii="Times New Roman" w:hAnsi="Times New Roman" w:cs="Times New Roman"/>
          <w:sz w:val="24"/>
          <w:szCs w:val="24"/>
          <w:lang w:val="ro-RO"/>
        </w:rPr>
        <w:t xml:space="preserve"> care desfășoară </w:t>
      </w:r>
      <w:proofErr w:type="spellStart"/>
      <w:r w:rsidRPr="00C26A9B">
        <w:rPr>
          <w:rFonts w:ascii="Times New Roman" w:hAnsi="Times New Roman" w:cs="Times New Roman"/>
          <w:sz w:val="24"/>
          <w:szCs w:val="24"/>
          <w:lang w:val="ro-RO"/>
        </w:rPr>
        <w:t>activităţi</w:t>
      </w:r>
      <w:proofErr w:type="spellEnd"/>
      <w:r w:rsidRPr="00C26A9B">
        <w:rPr>
          <w:rFonts w:ascii="Times New Roman" w:hAnsi="Times New Roman" w:cs="Times New Roman"/>
          <w:sz w:val="24"/>
          <w:szCs w:val="24"/>
          <w:lang w:val="ro-RO"/>
        </w:rPr>
        <w:t xml:space="preserve"> de tranzacţionare și care raportează direct conducerii superioare. Unitatea de control al riscului este responsabilă de conceperea și punerea în aplicare a abordării standardizate alternative. Aceasta elaborează și analizează rapoarte lunare cu privire la rezultatele abordării standardizate alternative, precum și cu privire la adecvarea limitelor de tranzacţionare ale băncii.</w:t>
      </w:r>
    </w:p>
    <w:p w14:paraId="2A983C2D" w14:textId="77777777" w:rsidR="00F67CB2" w:rsidRPr="00C26A9B" w:rsidRDefault="00F67CB2" w:rsidP="00F67CB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98. Băncile examinează în mod independent abordarea standardizată alternativă pe care o utilizează în sensul prezentului capitol, într-un mod pe care BNM îl consideră satisfăcător, fie ca parte a procesului lor obișnuit de audit intern, fie prin mandatarea unei întreprinderi </w:t>
      </w:r>
      <w:proofErr w:type="spellStart"/>
      <w:r w:rsidRPr="00C26A9B">
        <w:rPr>
          <w:rFonts w:ascii="Times New Roman" w:hAnsi="Times New Roman" w:cs="Times New Roman"/>
          <w:sz w:val="24"/>
          <w:szCs w:val="24"/>
          <w:lang w:val="ro-RO"/>
        </w:rPr>
        <w:t>terţe</w:t>
      </w:r>
      <w:proofErr w:type="spellEnd"/>
      <w:r w:rsidRPr="00C26A9B">
        <w:rPr>
          <w:rFonts w:ascii="Times New Roman" w:hAnsi="Times New Roman" w:cs="Times New Roman"/>
          <w:sz w:val="24"/>
          <w:szCs w:val="24"/>
          <w:lang w:val="ro-RO"/>
        </w:rPr>
        <w:t xml:space="preserve"> să efectueze examinarea respectivă. Rezultatul acestei examinări se raportează organelor de conducere corespunzătoare.</w:t>
      </w:r>
    </w:p>
    <w:p w14:paraId="42D4D47C" w14:textId="5093EC42" w:rsidR="00F67CB2" w:rsidRPr="00C26A9B" w:rsidRDefault="00F67CB2" w:rsidP="00F67CB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99. În sensul pct.98, o „întreprindere </w:t>
      </w:r>
      <w:proofErr w:type="spellStart"/>
      <w:r w:rsidRPr="00C26A9B">
        <w:rPr>
          <w:rFonts w:ascii="Times New Roman" w:hAnsi="Times New Roman" w:cs="Times New Roman"/>
          <w:sz w:val="24"/>
          <w:szCs w:val="24"/>
          <w:lang w:val="ro-RO"/>
        </w:rPr>
        <w:t>terţă</w:t>
      </w:r>
      <w:proofErr w:type="spellEnd"/>
      <w:r w:rsidRPr="00C26A9B">
        <w:rPr>
          <w:rFonts w:ascii="Times New Roman" w:hAnsi="Times New Roman" w:cs="Times New Roman"/>
          <w:sz w:val="24"/>
          <w:szCs w:val="24"/>
          <w:lang w:val="ro-RO"/>
        </w:rPr>
        <w:t xml:space="preserve">” înseamnă o întreprindere care le furnizează băncilor servicii de audit sau de </w:t>
      </w:r>
      <w:proofErr w:type="spellStart"/>
      <w:r w:rsidRPr="00C26A9B">
        <w:rPr>
          <w:rFonts w:ascii="Times New Roman" w:hAnsi="Times New Roman" w:cs="Times New Roman"/>
          <w:sz w:val="24"/>
          <w:szCs w:val="24"/>
          <w:lang w:val="ro-RO"/>
        </w:rPr>
        <w:t>consultanţă</w:t>
      </w:r>
      <w:proofErr w:type="spellEnd"/>
      <w:r w:rsidRPr="00C26A9B">
        <w:rPr>
          <w:rFonts w:ascii="Times New Roman" w:hAnsi="Times New Roman" w:cs="Times New Roman"/>
          <w:sz w:val="24"/>
          <w:szCs w:val="24"/>
          <w:lang w:val="ro-RO"/>
        </w:rPr>
        <w:t xml:space="preserve"> și care are personal cu suficiente calificări în domeniul riscului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w:t>
      </w:r>
    </w:p>
    <w:p w14:paraId="0E9E5AEA" w14:textId="77777777" w:rsidR="00AB0552" w:rsidRPr="00C26A9B" w:rsidRDefault="00AB0552" w:rsidP="00AB055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100. În examinarea abordării standardizate alternative </w:t>
      </w:r>
      <w:proofErr w:type="spellStart"/>
      <w:r w:rsidRPr="00C26A9B">
        <w:rPr>
          <w:rFonts w:ascii="Times New Roman" w:hAnsi="Times New Roman" w:cs="Times New Roman"/>
          <w:sz w:val="24"/>
          <w:szCs w:val="24"/>
          <w:lang w:val="ro-RO"/>
        </w:rPr>
        <w:t>menţionate</w:t>
      </w:r>
      <w:proofErr w:type="spellEnd"/>
      <w:r w:rsidRPr="00C26A9B">
        <w:rPr>
          <w:rFonts w:ascii="Times New Roman" w:hAnsi="Times New Roman" w:cs="Times New Roman"/>
          <w:sz w:val="24"/>
          <w:szCs w:val="24"/>
          <w:lang w:val="ro-RO"/>
        </w:rPr>
        <w:t xml:space="preserve"> la pct,98 sunt vizate </w:t>
      </w:r>
      <w:proofErr w:type="spellStart"/>
      <w:r w:rsidRPr="00C26A9B">
        <w:rPr>
          <w:rFonts w:ascii="Times New Roman" w:hAnsi="Times New Roman" w:cs="Times New Roman"/>
          <w:sz w:val="24"/>
          <w:szCs w:val="24"/>
          <w:lang w:val="ro-RO"/>
        </w:rPr>
        <w:t>activităţile</w:t>
      </w:r>
      <w:proofErr w:type="spellEnd"/>
      <w:r w:rsidRPr="00C26A9B">
        <w:rPr>
          <w:rFonts w:ascii="Times New Roman" w:hAnsi="Times New Roman" w:cs="Times New Roman"/>
          <w:sz w:val="24"/>
          <w:szCs w:val="24"/>
          <w:lang w:val="ro-RO"/>
        </w:rPr>
        <w:t xml:space="preserve"> atât ale </w:t>
      </w:r>
      <w:proofErr w:type="spellStart"/>
      <w:r w:rsidRPr="00C26A9B">
        <w:rPr>
          <w:rFonts w:ascii="Times New Roman" w:hAnsi="Times New Roman" w:cs="Times New Roman"/>
          <w:sz w:val="24"/>
          <w:szCs w:val="24"/>
          <w:lang w:val="ro-RO"/>
        </w:rPr>
        <w:t>unităţilor</w:t>
      </w:r>
      <w:proofErr w:type="spellEnd"/>
      <w:r w:rsidRPr="00C26A9B">
        <w:rPr>
          <w:rFonts w:ascii="Times New Roman" w:hAnsi="Times New Roman" w:cs="Times New Roman"/>
          <w:sz w:val="24"/>
          <w:szCs w:val="24"/>
          <w:lang w:val="ro-RO"/>
        </w:rPr>
        <w:t xml:space="preserve"> care desfășoară </w:t>
      </w:r>
      <w:proofErr w:type="spellStart"/>
      <w:r w:rsidRPr="00C26A9B">
        <w:rPr>
          <w:rFonts w:ascii="Times New Roman" w:hAnsi="Times New Roman" w:cs="Times New Roman"/>
          <w:sz w:val="24"/>
          <w:szCs w:val="24"/>
          <w:lang w:val="ro-RO"/>
        </w:rPr>
        <w:t>activităţi</w:t>
      </w:r>
      <w:proofErr w:type="spellEnd"/>
      <w:r w:rsidRPr="00C26A9B">
        <w:rPr>
          <w:rFonts w:ascii="Times New Roman" w:hAnsi="Times New Roman" w:cs="Times New Roman"/>
          <w:sz w:val="24"/>
          <w:szCs w:val="24"/>
          <w:lang w:val="ro-RO"/>
        </w:rPr>
        <w:t xml:space="preserve"> de </w:t>
      </w:r>
      <w:proofErr w:type="spellStart"/>
      <w:r w:rsidRPr="00C26A9B">
        <w:rPr>
          <w:rFonts w:ascii="Times New Roman" w:hAnsi="Times New Roman" w:cs="Times New Roman"/>
          <w:sz w:val="24"/>
          <w:szCs w:val="24"/>
          <w:lang w:val="ro-RO"/>
        </w:rPr>
        <w:t>tranzacţionare</w:t>
      </w:r>
      <w:proofErr w:type="spellEnd"/>
      <w:r w:rsidRPr="00C26A9B">
        <w:rPr>
          <w:rFonts w:ascii="Times New Roman" w:hAnsi="Times New Roman" w:cs="Times New Roman"/>
          <w:sz w:val="24"/>
          <w:szCs w:val="24"/>
          <w:lang w:val="ro-RO"/>
        </w:rPr>
        <w:t xml:space="preserve">, cât și ale </w:t>
      </w:r>
      <w:proofErr w:type="spellStart"/>
      <w:r w:rsidRPr="005B37D8">
        <w:rPr>
          <w:rFonts w:ascii="Times New Roman" w:hAnsi="Times New Roman" w:cs="Times New Roman"/>
          <w:sz w:val="24"/>
          <w:szCs w:val="24"/>
          <w:lang w:val="ro-RO"/>
        </w:rPr>
        <w:t>unităţii</w:t>
      </w:r>
      <w:proofErr w:type="spellEnd"/>
      <w:r w:rsidRPr="005B37D8">
        <w:rPr>
          <w:rFonts w:ascii="Times New Roman" w:hAnsi="Times New Roman" w:cs="Times New Roman"/>
          <w:sz w:val="24"/>
          <w:szCs w:val="24"/>
          <w:lang w:val="ro-RO"/>
        </w:rPr>
        <w:t xml:space="preserve"> independente de control al riscului</w:t>
      </w:r>
      <w:r w:rsidRPr="00C26A9B">
        <w:rPr>
          <w:rFonts w:ascii="Times New Roman" w:hAnsi="Times New Roman" w:cs="Times New Roman"/>
          <w:sz w:val="24"/>
          <w:szCs w:val="24"/>
          <w:lang w:val="ro-RO"/>
        </w:rPr>
        <w:t xml:space="preserve"> și sunt evaluate cel </w:t>
      </w:r>
      <w:proofErr w:type="spellStart"/>
      <w:r w:rsidRPr="00C26A9B">
        <w:rPr>
          <w:rFonts w:ascii="Times New Roman" w:hAnsi="Times New Roman" w:cs="Times New Roman"/>
          <w:sz w:val="24"/>
          <w:szCs w:val="24"/>
          <w:lang w:val="ro-RO"/>
        </w:rPr>
        <w:t>puţin</w:t>
      </w:r>
      <w:proofErr w:type="spellEnd"/>
      <w:r w:rsidRPr="00C26A9B">
        <w:rPr>
          <w:rFonts w:ascii="Times New Roman" w:hAnsi="Times New Roman" w:cs="Times New Roman"/>
          <w:sz w:val="24"/>
          <w:szCs w:val="24"/>
          <w:lang w:val="ro-RO"/>
        </w:rPr>
        <w:t xml:space="preserve"> elementele următoare:</w:t>
      </w:r>
    </w:p>
    <w:p w14:paraId="6C126D31" w14:textId="77777777" w:rsidR="00AB0552" w:rsidRPr="00C26A9B" w:rsidRDefault="00AB0552" w:rsidP="00AB055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100.1. politicile, procedurile și controalele interne pentru monitorizarea și asigurarea </w:t>
      </w:r>
      <w:proofErr w:type="spellStart"/>
      <w:r w:rsidRPr="00C26A9B">
        <w:rPr>
          <w:rFonts w:ascii="Times New Roman" w:hAnsi="Times New Roman" w:cs="Times New Roman"/>
          <w:sz w:val="24"/>
          <w:szCs w:val="24"/>
          <w:lang w:val="ro-RO"/>
        </w:rPr>
        <w:t>conformităţii</w:t>
      </w:r>
      <w:proofErr w:type="spellEnd"/>
      <w:r w:rsidRPr="00C26A9B">
        <w:rPr>
          <w:rFonts w:ascii="Times New Roman" w:hAnsi="Times New Roman" w:cs="Times New Roman"/>
          <w:sz w:val="24"/>
          <w:szCs w:val="24"/>
          <w:lang w:val="ro-RO"/>
        </w:rPr>
        <w:t xml:space="preserve"> cu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menţionate</w:t>
      </w:r>
      <w:proofErr w:type="spellEnd"/>
      <w:r w:rsidRPr="00C26A9B">
        <w:rPr>
          <w:rFonts w:ascii="Times New Roman" w:hAnsi="Times New Roman" w:cs="Times New Roman"/>
          <w:sz w:val="24"/>
          <w:szCs w:val="24"/>
          <w:lang w:val="ro-RO"/>
        </w:rPr>
        <w:t xml:space="preserve"> la pct.93;</w:t>
      </w:r>
    </w:p>
    <w:p w14:paraId="19F3D4C2" w14:textId="77777777" w:rsidR="00AB0552" w:rsidRPr="00C26A9B" w:rsidRDefault="00AB0552" w:rsidP="00AB055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100.2. caracterul adecvat al </w:t>
      </w:r>
      <w:proofErr w:type="spellStart"/>
      <w:r w:rsidRPr="00C26A9B">
        <w:rPr>
          <w:rFonts w:ascii="Times New Roman" w:hAnsi="Times New Roman" w:cs="Times New Roman"/>
          <w:sz w:val="24"/>
          <w:szCs w:val="24"/>
          <w:lang w:val="ro-RO"/>
        </w:rPr>
        <w:t>documentaţiei</w:t>
      </w:r>
      <w:proofErr w:type="spellEnd"/>
      <w:r w:rsidRPr="00C26A9B">
        <w:rPr>
          <w:rFonts w:ascii="Times New Roman" w:hAnsi="Times New Roman" w:cs="Times New Roman"/>
          <w:sz w:val="24"/>
          <w:szCs w:val="24"/>
          <w:lang w:val="ro-RO"/>
        </w:rPr>
        <w:t xml:space="preserve"> privind sistemul și procesele de gestionare a riscurilor și a organizării </w:t>
      </w:r>
      <w:proofErr w:type="spellStart"/>
      <w:r w:rsidRPr="00C26A9B">
        <w:rPr>
          <w:rFonts w:ascii="Times New Roman" w:hAnsi="Times New Roman" w:cs="Times New Roman"/>
          <w:sz w:val="24"/>
          <w:szCs w:val="24"/>
          <w:lang w:val="ro-RO"/>
        </w:rPr>
        <w:t>unităţii</w:t>
      </w:r>
      <w:proofErr w:type="spellEnd"/>
      <w:r w:rsidRPr="00C26A9B">
        <w:rPr>
          <w:rFonts w:ascii="Times New Roman" w:hAnsi="Times New Roman" w:cs="Times New Roman"/>
          <w:sz w:val="24"/>
          <w:szCs w:val="24"/>
          <w:lang w:val="ro-RO"/>
        </w:rPr>
        <w:t xml:space="preserve"> de control al riscului </w:t>
      </w:r>
      <w:proofErr w:type="spellStart"/>
      <w:r w:rsidRPr="00C26A9B">
        <w:rPr>
          <w:rFonts w:ascii="Times New Roman" w:hAnsi="Times New Roman" w:cs="Times New Roman"/>
          <w:sz w:val="24"/>
          <w:szCs w:val="24"/>
          <w:lang w:val="ro-RO"/>
        </w:rPr>
        <w:t>menţionate</w:t>
      </w:r>
      <w:proofErr w:type="spellEnd"/>
      <w:r w:rsidRPr="00C26A9B">
        <w:rPr>
          <w:rFonts w:ascii="Times New Roman" w:hAnsi="Times New Roman" w:cs="Times New Roman"/>
          <w:sz w:val="24"/>
          <w:szCs w:val="24"/>
          <w:lang w:val="ro-RO"/>
        </w:rPr>
        <w:t xml:space="preserve"> la pct.97;</w:t>
      </w:r>
    </w:p>
    <w:p w14:paraId="3A35D5F1" w14:textId="77777777" w:rsidR="00AB0552" w:rsidRPr="00C26A9B" w:rsidRDefault="00AB0552" w:rsidP="00AB055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100.3 </w:t>
      </w:r>
      <w:proofErr w:type="spellStart"/>
      <w:r w:rsidRPr="00C26A9B">
        <w:rPr>
          <w:rFonts w:ascii="Times New Roman" w:hAnsi="Times New Roman" w:cs="Times New Roman"/>
          <w:sz w:val="24"/>
          <w:szCs w:val="24"/>
          <w:lang w:val="ro-RO"/>
        </w:rPr>
        <w:t>acurateţea</w:t>
      </w:r>
      <w:proofErr w:type="spellEnd"/>
      <w:r w:rsidRPr="00C26A9B">
        <w:rPr>
          <w:rFonts w:ascii="Times New Roman" w:hAnsi="Times New Roman" w:cs="Times New Roman"/>
          <w:sz w:val="24"/>
          <w:szCs w:val="24"/>
          <w:lang w:val="ro-RO"/>
        </w:rPr>
        <w:t xml:space="preserve"> calculării </w:t>
      </w:r>
      <w:proofErr w:type="spellStart"/>
      <w:r w:rsidRPr="00C26A9B">
        <w:rPr>
          <w:rFonts w:ascii="Times New Roman" w:hAnsi="Times New Roman" w:cs="Times New Roman"/>
          <w:sz w:val="24"/>
          <w:szCs w:val="24"/>
          <w:lang w:val="ro-RO"/>
        </w:rPr>
        <w:t>sensibilităţilor</w:t>
      </w:r>
      <w:proofErr w:type="spellEnd"/>
      <w:r w:rsidRPr="00C26A9B">
        <w:rPr>
          <w:rFonts w:ascii="Times New Roman" w:hAnsi="Times New Roman" w:cs="Times New Roman"/>
          <w:sz w:val="24"/>
          <w:szCs w:val="24"/>
          <w:lang w:val="ro-RO"/>
        </w:rPr>
        <w:t xml:space="preserve"> și a procesului utilizat pentru derivarea respectivelor calcule din modelele de evaluare ale băncii care servesc drept bază pentru raportarea profitului și a pierderii către conducerea superioară, astfel cum se </w:t>
      </w:r>
      <w:proofErr w:type="spellStart"/>
      <w:r w:rsidRPr="00C26A9B">
        <w:rPr>
          <w:rFonts w:ascii="Times New Roman" w:hAnsi="Times New Roman" w:cs="Times New Roman"/>
          <w:sz w:val="24"/>
          <w:szCs w:val="24"/>
          <w:lang w:val="ro-RO"/>
        </w:rPr>
        <w:t>menţionează</w:t>
      </w:r>
      <w:proofErr w:type="spellEnd"/>
      <w:r w:rsidRPr="00C26A9B">
        <w:rPr>
          <w:rFonts w:ascii="Times New Roman" w:hAnsi="Times New Roman" w:cs="Times New Roman"/>
          <w:sz w:val="24"/>
          <w:szCs w:val="24"/>
          <w:lang w:val="ro-RO"/>
        </w:rPr>
        <w:t xml:space="preserve"> la paragraful 3, subsecțiunea 2, secțiunea 3;</w:t>
      </w:r>
    </w:p>
    <w:p w14:paraId="3E5D529F" w14:textId="77777777" w:rsidR="00AB0552" w:rsidRPr="00C26A9B" w:rsidRDefault="00AB0552" w:rsidP="00AB055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100.4 procesul de verificare pe care banca îl utilizează la evaluarea </w:t>
      </w:r>
      <w:proofErr w:type="spellStart"/>
      <w:r w:rsidRPr="00C26A9B">
        <w:rPr>
          <w:rFonts w:ascii="Times New Roman" w:hAnsi="Times New Roman" w:cs="Times New Roman"/>
          <w:sz w:val="24"/>
          <w:szCs w:val="24"/>
          <w:lang w:val="ro-RO"/>
        </w:rPr>
        <w:t>consecvenţei</w:t>
      </w:r>
      <w:proofErr w:type="spellEnd"/>
      <w:r w:rsidRPr="00C26A9B">
        <w:rPr>
          <w:rFonts w:ascii="Times New Roman" w:hAnsi="Times New Roman" w:cs="Times New Roman"/>
          <w:sz w:val="24"/>
          <w:szCs w:val="24"/>
          <w:lang w:val="ro-RO"/>
        </w:rPr>
        <w:t xml:space="preserve">, a </w:t>
      </w:r>
      <w:proofErr w:type="spellStart"/>
      <w:r w:rsidRPr="00C26A9B">
        <w:rPr>
          <w:rFonts w:ascii="Times New Roman" w:hAnsi="Times New Roman" w:cs="Times New Roman"/>
          <w:sz w:val="24"/>
          <w:szCs w:val="24"/>
          <w:lang w:val="ro-RO"/>
        </w:rPr>
        <w:t>oportunităţii</w:t>
      </w:r>
      <w:proofErr w:type="spellEnd"/>
      <w:r w:rsidRPr="00C26A9B">
        <w:rPr>
          <w:rFonts w:ascii="Times New Roman" w:hAnsi="Times New Roman" w:cs="Times New Roman"/>
          <w:sz w:val="24"/>
          <w:szCs w:val="24"/>
          <w:lang w:val="ro-RO"/>
        </w:rPr>
        <w:t xml:space="preserve"> și a </w:t>
      </w:r>
      <w:proofErr w:type="spellStart"/>
      <w:r w:rsidRPr="00C26A9B">
        <w:rPr>
          <w:rFonts w:ascii="Times New Roman" w:hAnsi="Times New Roman" w:cs="Times New Roman"/>
          <w:sz w:val="24"/>
          <w:szCs w:val="24"/>
          <w:lang w:val="ro-RO"/>
        </w:rPr>
        <w:t>fiabilităţii</w:t>
      </w:r>
      <w:proofErr w:type="spellEnd"/>
      <w:r w:rsidRPr="00C26A9B">
        <w:rPr>
          <w:rFonts w:ascii="Times New Roman" w:hAnsi="Times New Roman" w:cs="Times New Roman"/>
          <w:sz w:val="24"/>
          <w:szCs w:val="24"/>
          <w:lang w:val="ro-RO"/>
        </w:rPr>
        <w:t xml:space="preserve"> surselor de date utilizate la calcularea </w:t>
      </w:r>
      <w:proofErr w:type="spellStart"/>
      <w:r w:rsidRPr="00C26A9B">
        <w:rPr>
          <w:rFonts w:ascii="Times New Roman" w:hAnsi="Times New Roman" w:cs="Times New Roman"/>
          <w:sz w:val="24"/>
          <w:szCs w:val="24"/>
          <w:lang w:val="ro-RO"/>
        </w:rPr>
        <w:t>cerinţelor</w:t>
      </w:r>
      <w:proofErr w:type="spellEnd"/>
      <w:r w:rsidRPr="00C26A9B">
        <w:rPr>
          <w:rFonts w:ascii="Times New Roman" w:hAnsi="Times New Roman" w:cs="Times New Roman"/>
          <w:sz w:val="24"/>
          <w:szCs w:val="24"/>
          <w:lang w:val="ro-RO"/>
        </w:rPr>
        <w:t xml:space="preserve"> de fonduri proprii pentru riscul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utilizând abordarea standardizată alternativă, inclusiv </w:t>
      </w:r>
      <w:proofErr w:type="spellStart"/>
      <w:r w:rsidRPr="00C26A9B">
        <w:rPr>
          <w:rFonts w:ascii="Times New Roman" w:hAnsi="Times New Roman" w:cs="Times New Roman"/>
          <w:sz w:val="24"/>
          <w:szCs w:val="24"/>
          <w:lang w:val="ro-RO"/>
        </w:rPr>
        <w:t>independenţa</w:t>
      </w:r>
      <w:proofErr w:type="spellEnd"/>
      <w:r w:rsidRPr="00C26A9B">
        <w:rPr>
          <w:rFonts w:ascii="Times New Roman" w:hAnsi="Times New Roman" w:cs="Times New Roman"/>
          <w:sz w:val="24"/>
          <w:szCs w:val="24"/>
          <w:lang w:val="ro-RO"/>
        </w:rPr>
        <w:t xml:space="preserve"> acestor surse de date.</w:t>
      </w:r>
    </w:p>
    <w:p w14:paraId="57E7D4EC" w14:textId="410D975D" w:rsidR="00AB0552" w:rsidRPr="00C26A9B" w:rsidRDefault="00AB0552" w:rsidP="00AB055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101. O bancă efectuează examinarea </w:t>
      </w:r>
      <w:proofErr w:type="spellStart"/>
      <w:r w:rsidRPr="00C26A9B">
        <w:rPr>
          <w:rFonts w:ascii="Times New Roman" w:hAnsi="Times New Roman" w:cs="Times New Roman"/>
          <w:sz w:val="24"/>
          <w:szCs w:val="24"/>
          <w:lang w:val="ro-RO"/>
        </w:rPr>
        <w:t>menţionată</w:t>
      </w:r>
      <w:proofErr w:type="spellEnd"/>
      <w:r w:rsidRPr="00C26A9B">
        <w:rPr>
          <w:rFonts w:ascii="Times New Roman" w:hAnsi="Times New Roman" w:cs="Times New Roman"/>
          <w:sz w:val="24"/>
          <w:szCs w:val="24"/>
          <w:lang w:val="ro-RO"/>
        </w:rPr>
        <w:t xml:space="preserve"> la pct.100 cel </w:t>
      </w:r>
      <w:proofErr w:type="spellStart"/>
      <w:r w:rsidRPr="00C26A9B">
        <w:rPr>
          <w:rFonts w:ascii="Times New Roman" w:hAnsi="Times New Roman" w:cs="Times New Roman"/>
          <w:sz w:val="24"/>
          <w:szCs w:val="24"/>
          <w:lang w:val="ro-RO"/>
        </w:rPr>
        <w:t>puţin</w:t>
      </w:r>
      <w:proofErr w:type="spellEnd"/>
      <w:r w:rsidRPr="00C26A9B">
        <w:rPr>
          <w:rFonts w:ascii="Times New Roman" w:hAnsi="Times New Roman" w:cs="Times New Roman"/>
          <w:sz w:val="24"/>
          <w:szCs w:val="24"/>
          <w:lang w:val="ro-RO"/>
        </w:rPr>
        <w:t xml:space="preserve"> o dată pe an, sau mai </w:t>
      </w:r>
      <w:proofErr w:type="spellStart"/>
      <w:r w:rsidRPr="00C26A9B">
        <w:rPr>
          <w:rFonts w:ascii="Times New Roman" w:hAnsi="Times New Roman" w:cs="Times New Roman"/>
          <w:sz w:val="24"/>
          <w:szCs w:val="24"/>
          <w:lang w:val="ro-RO"/>
        </w:rPr>
        <w:t>puţin</w:t>
      </w:r>
      <w:proofErr w:type="spellEnd"/>
      <w:r w:rsidRPr="00C26A9B">
        <w:rPr>
          <w:rFonts w:ascii="Times New Roman" w:hAnsi="Times New Roman" w:cs="Times New Roman"/>
          <w:sz w:val="24"/>
          <w:szCs w:val="24"/>
          <w:lang w:val="ro-RO"/>
        </w:rPr>
        <w:t xml:space="preserve"> frecvent, până la o dată la doi ani, în cazul în care banca</w:t>
      </w:r>
      <w:r w:rsidR="00800FCD">
        <w:rPr>
          <w:rFonts w:ascii="Times New Roman" w:hAnsi="Times New Roman" w:cs="Times New Roman"/>
          <w:sz w:val="24"/>
          <w:szCs w:val="24"/>
          <w:lang w:val="ro-RO"/>
        </w:rPr>
        <w:t xml:space="preserve"> notifică BNM cu prezentarea argumentelor care confirmă </w:t>
      </w:r>
      <w:r w:rsidRPr="00C26A9B">
        <w:rPr>
          <w:rFonts w:ascii="Times New Roman" w:hAnsi="Times New Roman" w:cs="Times New Roman"/>
          <w:sz w:val="24"/>
          <w:szCs w:val="24"/>
          <w:lang w:val="ro-RO"/>
        </w:rPr>
        <w:t xml:space="preserve"> într-un mod considerat satisfăcător de BNM, că dimensiunea, nivelul de </w:t>
      </w:r>
      <w:proofErr w:type="spellStart"/>
      <w:r w:rsidRPr="00C26A9B">
        <w:rPr>
          <w:rFonts w:ascii="Times New Roman" w:hAnsi="Times New Roman" w:cs="Times New Roman"/>
          <w:sz w:val="24"/>
          <w:szCs w:val="24"/>
          <w:lang w:val="ro-RO"/>
        </w:rPr>
        <w:t>importanţă</w:t>
      </w:r>
      <w:proofErr w:type="spellEnd"/>
      <w:r w:rsidRPr="00C26A9B">
        <w:rPr>
          <w:rFonts w:ascii="Times New Roman" w:hAnsi="Times New Roman" w:cs="Times New Roman"/>
          <w:sz w:val="24"/>
          <w:szCs w:val="24"/>
          <w:lang w:val="ro-RO"/>
        </w:rPr>
        <w:t xml:space="preserve"> sistemică, natura, anvergura și complexitatea </w:t>
      </w:r>
      <w:proofErr w:type="spellStart"/>
      <w:r w:rsidRPr="00C26A9B">
        <w:rPr>
          <w:rFonts w:ascii="Times New Roman" w:hAnsi="Times New Roman" w:cs="Times New Roman"/>
          <w:sz w:val="24"/>
          <w:szCs w:val="24"/>
          <w:lang w:val="ro-RO"/>
        </w:rPr>
        <w:t>activităţii</w:t>
      </w:r>
      <w:proofErr w:type="spellEnd"/>
      <w:r w:rsidRPr="00C26A9B">
        <w:rPr>
          <w:rFonts w:ascii="Times New Roman" w:hAnsi="Times New Roman" w:cs="Times New Roman"/>
          <w:sz w:val="24"/>
          <w:szCs w:val="24"/>
          <w:lang w:val="ro-RO"/>
        </w:rPr>
        <w:t xml:space="preserve"> din portofoliul său de tranzacţionare justifică o examinare mai </w:t>
      </w:r>
      <w:proofErr w:type="spellStart"/>
      <w:r w:rsidRPr="00C26A9B">
        <w:rPr>
          <w:rFonts w:ascii="Times New Roman" w:hAnsi="Times New Roman" w:cs="Times New Roman"/>
          <w:sz w:val="24"/>
          <w:szCs w:val="24"/>
          <w:lang w:val="ro-RO"/>
        </w:rPr>
        <w:t>puţin</w:t>
      </w:r>
      <w:proofErr w:type="spellEnd"/>
      <w:r w:rsidRPr="00C26A9B">
        <w:rPr>
          <w:rFonts w:ascii="Times New Roman" w:hAnsi="Times New Roman" w:cs="Times New Roman"/>
          <w:sz w:val="24"/>
          <w:szCs w:val="24"/>
          <w:lang w:val="ro-RO"/>
        </w:rPr>
        <w:t xml:space="preserve"> frecventă.</w:t>
      </w:r>
    </w:p>
    <w:p w14:paraId="5D6B76A1" w14:textId="53808816" w:rsidR="00831B68" w:rsidRPr="00C26A9B" w:rsidRDefault="00831B68" w:rsidP="00AB055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102. BNM verifică dacă este efectuat cu integritate calculul </w:t>
      </w:r>
      <w:proofErr w:type="spellStart"/>
      <w:r w:rsidRPr="00C26A9B">
        <w:rPr>
          <w:rFonts w:ascii="Times New Roman" w:hAnsi="Times New Roman" w:cs="Times New Roman"/>
          <w:sz w:val="24"/>
          <w:szCs w:val="24"/>
          <w:lang w:val="ro-RO"/>
        </w:rPr>
        <w:t>menţionat</w:t>
      </w:r>
      <w:proofErr w:type="spellEnd"/>
      <w:r w:rsidRPr="00C26A9B">
        <w:rPr>
          <w:rFonts w:ascii="Times New Roman" w:hAnsi="Times New Roman" w:cs="Times New Roman"/>
          <w:sz w:val="24"/>
          <w:szCs w:val="24"/>
          <w:lang w:val="ro-RO"/>
        </w:rPr>
        <w:t xml:space="preserve"> la pct.95, inclusiv punerea în aplicare de către o bancă a </w:t>
      </w:r>
      <w:proofErr w:type="spellStart"/>
      <w:r w:rsidRPr="00C26A9B">
        <w:rPr>
          <w:rFonts w:ascii="Times New Roman" w:hAnsi="Times New Roman" w:cs="Times New Roman"/>
          <w:sz w:val="24"/>
          <w:szCs w:val="24"/>
          <w:lang w:val="ro-RO"/>
        </w:rPr>
        <w:t>cerinţelor</w:t>
      </w:r>
      <w:proofErr w:type="spellEnd"/>
      <w:r w:rsidRPr="00C26A9B">
        <w:rPr>
          <w:rFonts w:ascii="Times New Roman" w:hAnsi="Times New Roman" w:cs="Times New Roman"/>
          <w:sz w:val="24"/>
          <w:szCs w:val="24"/>
          <w:lang w:val="ro-RO"/>
        </w:rPr>
        <w:t xml:space="preserve"> prevăzute în prezentul capitol și la sec</w:t>
      </w:r>
      <w:r w:rsidR="00A6375E" w:rsidRPr="00C26A9B">
        <w:rPr>
          <w:rFonts w:ascii="Times New Roman" w:hAnsi="Times New Roman" w:cs="Times New Roman"/>
          <w:sz w:val="24"/>
          <w:szCs w:val="24"/>
          <w:lang w:val="ro-RO"/>
        </w:rPr>
        <w:t>ț</w:t>
      </w:r>
      <w:r w:rsidRPr="00C26A9B">
        <w:rPr>
          <w:rFonts w:ascii="Times New Roman" w:hAnsi="Times New Roman" w:cs="Times New Roman"/>
          <w:sz w:val="24"/>
          <w:szCs w:val="24"/>
          <w:lang w:val="ro-RO"/>
        </w:rPr>
        <w:t>iunea 2, capitolul I.</w:t>
      </w:r>
    </w:p>
    <w:p w14:paraId="4302E4AD" w14:textId="5FE9E2F6" w:rsidR="008D37B6" w:rsidRPr="00C26A9B" w:rsidRDefault="008D37B6" w:rsidP="008D37B6">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Secțiunea 2</w:t>
      </w:r>
      <w:r w:rsidR="009A1F02">
        <w:rPr>
          <w:rFonts w:ascii="Times New Roman" w:hAnsi="Times New Roman" w:cs="Times New Roman"/>
          <w:b/>
          <w:bCs/>
          <w:sz w:val="24"/>
          <w:szCs w:val="24"/>
          <w:lang w:val="ro-RO"/>
        </w:rPr>
        <w:t xml:space="preserve">. </w:t>
      </w:r>
      <w:r w:rsidRPr="00C26A9B">
        <w:rPr>
          <w:rFonts w:ascii="Times New Roman" w:hAnsi="Times New Roman" w:cs="Times New Roman"/>
          <w:b/>
          <w:bCs/>
          <w:sz w:val="24"/>
          <w:szCs w:val="24"/>
          <w:lang w:val="ro-RO"/>
        </w:rPr>
        <w:t>Metoda bazată pe sensibilități pentru calcularea cerinței de fonduri proprii</w:t>
      </w:r>
    </w:p>
    <w:p w14:paraId="13B04146" w14:textId="7F4A6DEB" w:rsidR="008D37B6" w:rsidRPr="00CC1E9B" w:rsidRDefault="008D37B6" w:rsidP="008D37B6">
      <w:pPr>
        <w:rPr>
          <w:rFonts w:ascii="Times New Roman" w:hAnsi="Times New Roman" w:cs="Times New Roman"/>
          <w:i/>
          <w:iCs/>
          <w:sz w:val="24"/>
          <w:szCs w:val="24"/>
          <w:lang w:val="ro-RO"/>
        </w:rPr>
      </w:pPr>
      <w:r w:rsidRPr="00C451D2">
        <w:rPr>
          <w:rFonts w:ascii="Times New Roman" w:hAnsi="Times New Roman" w:cs="Times New Roman"/>
          <w:b/>
          <w:bCs/>
          <w:i/>
          <w:iCs/>
          <w:sz w:val="24"/>
          <w:szCs w:val="24"/>
          <w:lang w:val="ro-RO"/>
        </w:rPr>
        <w:t xml:space="preserve">Subsecţiunea 1. </w:t>
      </w:r>
      <w:r w:rsidRPr="00CC1E9B">
        <w:rPr>
          <w:rFonts w:ascii="Times New Roman" w:hAnsi="Times New Roman" w:cs="Times New Roman"/>
          <w:b/>
          <w:bCs/>
          <w:i/>
          <w:iCs/>
          <w:sz w:val="24"/>
          <w:szCs w:val="24"/>
          <w:lang w:val="ro-RO"/>
        </w:rPr>
        <w:t>Definiții</w:t>
      </w:r>
    </w:p>
    <w:p w14:paraId="4796A276" w14:textId="77777777" w:rsidR="008D37B6" w:rsidRPr="00C26A9B" w:rsidRDefault="008D37B6" w:rsidP="008D37B6">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103. În sensul prezentului capitol, se aplică următoarele </w:t>
      </w:r>
      <w:proofErr w:type="spellStart"/>
      <w:r w:rsidRPr="00C26A9B">
        <w:rPr>
          <w:rFonts w:ascii="Times New Roman" w:hAnsi="Times New Roman" w:cs="Times New Roman"/>
          <w:sz w:val="24"/>
          <w:szCs w:val="24"/>
          <w:lang w:val="ro-RO"/>
        </w:rPr>
        <w:t>definiţii</w:t>
      </w:r>
      <w:proofErr w:type="spellEnd"/>
      <w:r w:rsidRPr="00C26A9B">
        <w:rPr>
          <w:rFonts w:ascii="Times New Roman" w:hAnsi="Times New Roman" w:cs="Times New Roman"/>
          <w:sz w:val="24"/>
          <w:szCs w:val="24"/>
          <w:lang w:val="ro-RO"/>
        </w:rPr>
        <w:t>:</w:t>
      </w:r>
    </w:p>
    <w:p w14:paraId="78E36A0C" w14:textId="77777777" w:rsidR="008D37B6" w:rsidRPr="00C26A9B" w:rsidRDefault="008D37B6" w:rsidP="008D37B6">
      <w:pPr>
        <w:rPr>
          <w:rFonts w:ascii="Times New Roman" w:hAnsi="Times New Roman" w:cs="Times New Roman"/>
          <w:sz w:val="24"/>
          <w:szCs w:val="24"/>
          <w:lang w:val="ro-RO"/>
        </w:rPr>
      </w:pPr>
      <w:r w:rsidRPr="00C26A9B">
        <w:rPr>
          <w:rFonts w:ascii="Times New Roman" w:hAnsi="Times New Roman" w:cs="Times New Roman"/>
          <w:sz w:val="24"/>
          <w:szCs w:val="24"/>
          <w:lang w:val="ro-RO"/>
        </w:rPr>
        <w:t>103.1. „clasă de risc” înseamnă una dintre următoarele șapte categorii:</w:t>
      </w:r>
    </w:p>
    <w:p w14:paraId="47683EC0" w14:textId="77777777" w:rsidR="008D37B6" w:rsidRPr="00C26A9B" w:rsidRDefault="008D37B6" w:rsidP="008D37B6">
      <w:pPr>
        <w:rPr>
          <w:rFonts w:ascii="Times New Roman" w:hAnsi="Times New Roman" w:cs="Times New Roman"/>
          <w:sz w:val="24"/>
          <w:szCs w:val="24"/>
          <w:lang w:val="ro-RO"/>
        </w:rPr>
      </w:pPr>
      <w:r w:rsidRPr="00C26A9B">
        <w:rPr>
          <w:rFonts w:ascii="Times New Roman" w:hAnsi="Times New Roman" w:cs="Times New Roman"/>
          <w:sz w:val="24"/>
          <w:szCs w:val="24"/>
          <w:lang w:val="ro-RO"/>
        </w:rPr>
        <w:t>103.1.1. riscul general de rată a dobânzii;</w:t>
      </w:r>
    </w:p>
    <w:p w14:paraId="053C3747" w14:textId="77777777" w:rsidR="008D37B6" w:rsidRPr="00C26A9B" w:rsidRDefault="008D37B6" w:rsidP="008D37B6">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103.1.2 riscul de marjă de credit pentru instrumentele care nu sunt </w:t>
      </w:r>
      <w:proofErr w:type="spellStart"/>
      <w:r w:rsidRPr="00C26A9B">
        <w:rPr>
          <w:rFonts w:ascii="Times New Roman" w:hAnsi="Times New Roman" w:cs="Times New Roman"/>
          <w:sz w:val="24"/>
          <w:szCs w:val="24"/>
          <w:lang w:val="ro-RO"/>
        </w:rPr>
        <w:t>poziţii</w:t>
      </w:r>
      <w:proofErr w:type="spellEnd"/>
      <w:r w:rsidRPr="00C26A9B">
        <w:rPr>
          <w:rFonts w:ascii="Times New Roman" w:hAnsi="Times New Roman" w:cs="Times New Roman"/>
          <w:sz w:val="24"/>
          <w:szCs w:val="24"/>
          <w:lang w:val="ro-RO"/>
        </w:rPr>
        <w:t xml:space="preserve"> din securitizare (CSR);</w:t>
      </w:r>
    </w:p>
    <w:p w14:paraId="72214501" w14:textId="77777777" w:rsidR="008D37B6" w:rsidRPr="00C26A9B" w:rsidRDefault="008D37B6" w:rsidP="008D37B6">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103.1.3. riscul de marjă de credit din securitizarea din afara portofoliului de tranzacţionare pe bază de </w:t>
      </w:r>
      <w:proofErr w:type="spellStart"/>
      <w:r w:rsidRPr="00C26A9B">
        <w:rPr>
          <w:rFonts w:ascii="Times New Roman" w:hAnsi="Times New Roman" w:cs="Times New Roman"/>
          <w:sz w:val="24"/>
          <w:szCs w:val="24"/>
          <w:lang w:val="ro-RO"/>
        </w:rPr>
        <w:t>corelaţie</w:t>
      </w:r>
      <w:proofErr w:type="spellEnd"/>
      <w:r w:rsidRPr="00C26A9B">
        <w:rPr>
          <w:rFonts w:ascii="Times New Roman" w:hAnsi="Times New Roman" w:cs="Times New Roman"/>
          <w:sz w:val="24"/>
          <w:szCs w:val="24"/>
          <w:lang w:val="ro-RO"/>
        </w:rPr>
        <w:t xml:space="preserve"> alternativ (CSR neinclus în ACTP);</w:t>
      </w:r>
    </w:p>
    <w:p w14:paraId="016129A2" w14:textId="77777777" w:rsidR="008D37B6" w:rsidRPr="00C26A9B" w:rsidRDefault="008D37B6" w:rsidP="008D37B6">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 xml:space="preserve">103.1.4. riscul de marjă de credit din securitizarea inclusă în portofoliul de tranzacţionare pe bază de </w:t>
      </w:r>
      <w:proofErr w:type="spellStart"/>
      <w:r w:rsidRPr="00C26A9B">
        <w:rPr>
          <w:rFonts w:ascii="Times New Roman" w:hAnsi="Times New Roman" w:cs="Times New Roman"/>
          <w:sz w:val="24"/>
          <w:szCs w:val="24"/>
          <w:lang w:val="ro-RO"/>
        </w:rPr>
        <w:t>corelaţie</w:t>
      </w:r>
      <w:proofErr w:type="spellEnd"/>
      <w:r w:rsidRPr="00C26A9B">
        <w:rPr>
          <w:rFonts w:ascii="Times New Roman" w:hAnsi="Times New Roman" w:cs="Times New Roman"/>
          <w:sz w:val="24"/>
          <w:szCs w:val="24"/>
          <w:lang w:val="ro-RO"/>
        </w:rPr>
        <w:t xml:space="preserve"> alternativ (CSR inclus în ACTP);</w:t>
      </w:r>
    </w:p>
    <w:p w14:paraId="0786DF7B" w14:textId="77777777" w:rsidR="008D37B6" w:rsidRPr="00C26A9B" w:rsidRDefault="008D37B6" w:rsidP="008D37B6">
      <w:pPr>
        <w:rPr>
          <w:rFonts w:ascii="Times New Roman" w:hAnsi="Times New Roman" w:cs="Times New Roman"/>
          <w:sz w:val="24"/>
          <w:szCs w:val="24"/>
          <w:lang w:val="ro-RO"/>
        </w:rPr>
      </w:pPr>
      <w:r w:rsidRPr="00C26A9B">
        <w:rPr>
          <w:rFonts w:ascii="Times New Roman" w:hAnsi="Times New Roman" w:cs="Times New Roman"/>
          <w:sz w:val="24"/>
          <w:szCs w:val="24"/>
          <w:lang w:val="ro-RO"/>
        </w:rPr>
        <w:t>103.1.5. riscul privind titlurile de capital;</w:t>
      </w:r>
    </w:p>
    <w:p w14:paraId="5C382AEE" w14:textId="77777777" w:rsidR="008D37B6" w:rsidRPr="00C26A9B" w:rsidRDefault="008D37B6" w:rsidP="008D37B6">
      <w:pPr>
        <w:rPr>
          <w:rFonts w:ascii="Times New Roman" w:hAnsi="Times New Roman" w:cs="Times New Roman"/>
          <w:sz w:val="24"/>
          <w:szCs w:val="24"/>
          <w:lang w:val="ro-RO"/>
        </w:rPr>
      </w:pPr>
      <w:r w:rsidRPr="00C26A9B">
        <w:rPr>
          <w:rFonts w:ascii="Times New Roman" w:hAnsi="Times New Roman" w:cs="Times New Roman"/>
          <w:sz w:val="24"/>
          <w:szCs w:val="24"/>
          <w:lang w:val="ro-RO"/>
        </w:rPr>
        <w:t>103.1.6. riscul de marfă;</w:t>
      </w:r>
    </w:p>
    <w:p w14:paraId="71D3C91B" w14:textId="77777777" w:rsidR="008D37B6" w:rsidRPr="00C26A9B" w:rsidRDefault="008D37B6" w:rsidP="008D37B6">
      <w:pPr>
        <w:rPr>
          <w:rFonts w:ascii="Times New Roman" w:hAnsi="Times New Roman" w:cs="Times New Roman"/>
          <w:sz w:val="24"/>
          <w:szCs w:val="24"/>
          <w:lang w:val="ro-RO"/>
        </w:rPr>
      </w:pPr>
      <w:r w:rsidRPr="00C26A9B">
        <w:rPr>
          <w:rFonts w:ascii="Times New Roman" w:hAnsi="Times New Roman" w:cs="Times New Roman"/>
          <w:sz w:val="24"/>
          <w:szCs w:val="24"/>
          <w:lang w:val="ro-RO"/>
        </w:rPr>
        <w:t>103.1.7. riscul valutar;</w:t>
      </w:r>
    </w:p>
    <w:p w14:paraId="2A470B51" w14:textId="301D4A35" w:rsidR="008D37B6" w:rsidRPr="00C26A9B" w:rsidRDefault="008D37B6" w:rsidP="008D37B6">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103.2. „sensibilitate” înseamnă modificarea relativă a valorii unei </w:t>
      </w:r>
      <w:proofErr w:type="spellStart"/>
      <w:r w:rsidRPr="00C26A9B">
        <w:rPr>
          <w:rFonts w:ascii="Times New Roman" w:hAnsi="Times New Roman" w:cs="Times New Roman"/>
          <w:sz w:val="24"/>
          <w:szCs w:val="24"/>
          <w:lang w:val="ro-RO"/>
        </w:rPr>
        <w:t>poziţii</w:t>
      </w:r>
      <w:proofErr w:type="spellEnd"/>
      <w:r w:rsidRPr="00C26A9B">
        <w:rPr>
          <w:rFonts w:ascii="Times New Roman" w:hAnsi="Times New Roman" w:cs="Times New Roman"/>
          <w:sz w:val="24"/>
          <w:szCs w:val="24"/>
          <w:lang w:val="ro-RO"/>
        </w:rPr>
        <w:t xml:space="preserve">, ca urmare a modificării valorii unuia dintre factorii de risc </w:t>
      </w:r>
      <w:proofErr w:type="spellStart"/>
      <w:r w:rsidRPr="00C26A9B">
        <w:rPr>
          <w:rFonts w:ascii="Times New Roman" w:hAnsi="Times New Roman" w:cs="Times New Roman"/>
          <w:sz w:val="24"/>
          <w:szCs w:val="24"/>
          <w:lang w:val="ro-RO"/>
        </w:rPr>
        <w:t>relevanţi</w:t>
      </w:r>
      <w:proofErr w:type="spellEnd"/>
      <w:r w:rsidRPr="00C26A9B">
        <w:rPr>
          <w:rFonts w:ascii="Times New Roman" w:hAnsi="Times New Roman" w:cs="Times New Roman"/>
          <w:sz w:val="24"/>
          <w:szCs w:val="24"/>
          <w:lang w:val="ro-RO"/>
        </w:rPr>
        <w:t xml:space="preserve"> ai </w:t>
      </w:r>
      <w:proofErr w:type="spellStart"/>
      <w:r w:rsidRPr="00C26A9B">
        <w:rPr>
          <w:rFonts w:ascii="Times New Roman" w:hAnsi="Times New Roman" w:cs="Times New Roman"/>
          <w:sz w:val="24"/>
          <w:szCs w:val="24"/>
          <w:lang w:val="ro-RO"/>
        </w:rPr>
        <w:t>poziţiei</w:t>
      </w:r>
      <w:proofErr w:type="spellEnd"/>
      <w:r w:rsidRPr="00C26A9B">
        <w:rPr>
          <w:rFonts w:ascii="Times New Roman" w:hAnsi="Times New Roman" w:cs="Times New Roman"/>
          <w:sz w:val="24"/>
          <w:szCs w:val="24"/>
          <w:lang w:val="ro-RO"/>
        </w:rPr>
        <w:t xml:space="preserve">, calculată pe baza modelului de evaluare al băncii, în conformitate cu </w:t>
      </w:r>
      <w:proofErr w:type="spellStart"/>
      <w:r w:rsidRPr="00C26A9B">
        <w:rPr>
          <w:rFonts w:ascii="Times New Roman" w:hAnsi="Times New Roman" w:cs="Times New Roman"/>
          <w:sz w:val="24"/>
          <w:szCs w:val="24"/>
          <w:lang w:val="ro-RO"/>
        </w:rPr>
        <w:t>secţiunea</w:t>
      </w:r>
      <w:proofErr w:type="spellEnd"/>
      <w:r w:rsidRPr="00C26A9B">
        <w:rPr>
          <w:rFonts w:ascii="Times New Roman" w:hAnsi="Times New Roman" w:cs="Times New Roman"/>
          <w:sz w:val="24"/>
          <w:szCs w:val="24"/>
          <w:lang w:val="ro-RO"/>
        </w:rPr>
        <w:t xml:space="preserve"> 3 </w:t>
      </w:r>
      <w:proofErr w:type="spellStart"/>
      <w:r w:rsidRPr="00C26A9B">
        <w:rPr>
          <w:rFonts w:ascii="Times New Roman" w:hAnsi="Times New Roman" w:cs="Times New Roman"/>
          <w:sz w:val="24"/>
          <w:szCs w:val="24"/>
          <w:lang w:val="ro-RO"/>
        </w:rPr>
        <w:t>subsecţiunea</w:t>
      </w:r>
      <w:proofErr w:type="spellEnd"/>
      <w:r w:rsidRPr="00C26A9B">
        <w:rPr>
          <w:rFonts w:ascii="Times New Roman" w:hAnsi="Times New Roman" w:cs="Times New Roman"/>
          <w:sz w:val="24"/>
          <w:szCs w:val="24"/>
          <w:lang w:val="ro-RO"/>
        </w:rPr>
        <w:t xml:space="preserve"> 2;</w:t>
      </w:r>
    </w:p>
    <w:p w14:paraId="49D37748" w14:textId="0289F766" w:rsidR="00F67CB2" w:rsidRPr="00C26A9B" w:rsidRDefault="008D37B6" w:rsidP="008D37B6">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103.3. „bandă” înseamnă o subcategorie de </w:t>
      </w:r>
      <w:proofErr w:type="spellStart"/>
      <w:r w:rsidRPr="00C26A9B">
        <w:rPr>
          <w:rFonts w:ascii="Times New Roman" w:hAnsi="Times New Roman" w:cs="Times New Roman"/>
          <w:sz w:val="24"/>
          <w:szCs w:val="24"/>
          <w:lang w:val="ro-RO"/>
        </w:rPr>
        <w:t>poziţii</w:t>
      </w:r>
      <w:proofErr w:type="spellEnd"/>
      <w:r w:rsidRPr="00C26A9B">
        <w:rPr>
          <w:rFonts w:ascii="Times New Roman" w:hAnsi="Times New Roman" w:cs="Times New Roman"/>
          <w:sz w:val="24"/>
          <w:szCs w:val="24"/>
          <w:lang w:val="ro-RO"/>
        </w:rPr>
        <w:t xml:space="preserve"> din cadrul unei clase de risc cu un profil de risc similar, căreia i se atribuie o pondere de risc, astfel cum este definită în </w:t>
      </w:r>
      <w:proofErr w:type="spellStart"/>
      <w:r w:rsidRPr="00C26A9B">
        <w:rPr>
          <w:rFonts w:ascii="Times New Roman" w:hAnsi="Times New Roman" w:cs="Times New Roman"/>
          <w:sz w:val="24"/>
          <w:szCs w:val="24"/>
          <w:lang w:val="ro-RO"/>
        </w:rPr>
        <w:t>secţiunea</w:t>
      </w:r>
      <w:proofErr w:type="spellEnd"/>
      <w:r w:rsidRPr="00C26A9B">
        <w:rPr>
          <w:rFonts w:ascii="Times New Roman" w:hAnsi="Times New Roman" w:cs="Times New Roman"/>
          <w:sz w:val="24"/>
          <w:szCs w:val="24"/>
          <w:lang w:val="ro-RO"/>
        </w:rPr>
        <w:t xml:space="preserve"> 3 </w:t>
      </w:r>
      <w:proofErr w:type="spellStart"/>
      <w:r w:rsidRPr="00C26A9B">
        <w:rPr>
          <w:rFonts w:ascii="Times New Roman" w:hAnsi="Times New Roman" w:cs="Times New Roman"/>
          <w:sz w:val="24"/>
          <w:szCs w:val="24"/>
          <w:lang w:val="ro-RO"/>
        </w:rPr>
        <w:t>subsecţiunea</w:t>
      </w:r>
      <w:proofErr w:type="spellEnd"/>
      <w:r w:rsidRPr="00C26A9B">
        <w:rPr>
          <w:rFonts w:ascii="Times New Roman" w:hAnsi="Times New Roman" w:cs="Times New Roman"/>
          <w:sz w:val="24"/>
          <w:szCs w:val="24"/>
          <w:lang w:val="ro-RO"/>
        </w:rPr>
        <w:t xml:space="preserve"> 1.</w:t>
      </w:r>
    </w:p>
    <w:p w14:paraId="24A7B18E" w14:textId="5840BA59" w:rsidR="008D37B6" w:rsidRPr="00CC1E9B" w:rsidRDefault="008D37B6" w:rsidP="008D37B6">
      <w:pPr>
        <w:rPr>
          <w:rFonts w:ascii="Times New Roman" w:hAnsi="Times New Roman" w:cs="Times New Roman"/>
          <w:i/>
          <w:iCs/>
          <w:sz w:val="24"/>
          <w:szCs w:val="24"/>
          <w:lang w:val="ro-RO"/>
        </w:rPr>
      </w:pPr>
      <w:r w:rsidRPr="00C451D2">
        <w:rPr>
          <w:rFonts w:ascii="Times New Roman" w:hAnsi="Times New Roman" w:cs="Times New Roman"/>
          <w:b/>
          <w:bCs/>
          <w:i/>
          <w:iCs/>
          <w:sz w:val="24"/>
          <w:szCs w:val="24"/>
          <w:lang w:val="ro-RO"/>
        </w:rPr>
        <w:t xml:space="preserve">Subsecţiunea 2. </w:t>
      </w:r>
      <w:r w:rsidRPr="00CC1E9B">
        <w:rPr>
          <w:rFonts w:ascii="Times New Roman" w:hAnsi="Times New Roman" w:cs="Times New Roman"/>
          <w:b/>
          <w:bCs/>
          <w:i/>
          <w:iCs/>
          <w:sz w:val="24"/>
          <w:szCs w:val="24"/>
          <w:lang w:val="ro-RO"/>
        </w:rPr>
        <w:t xml:space="preserve">Componentele metodei bazate pe </w:t>
      </w:r>
      <w:proofErr w:type="spellStart"/>
      <w:r w:rsidRPr="00CC1E9B">
        <w:rPr>
          <w:rFonts w:ascii="Times New Roman" w:hAnsi="Times New Roman" w:cs="Times New Roman"/>
          <w:b/>
          <w:bCs/>
          <w:i/>
          <w:iCs/>
          <w:sz w:val="24"/>
          <w:szCs w:val="24"/>
          <w:lang w:val="ro-RO"/>
        </w:rPr>
        <w:t>sensibilităţi</w:t>
      </w:r>
      <w:proofErr w:type="spellEnd"/>
    </w:p>
    <w:p w14:paraId="30371BB2" w14:textId="77777777" w:rsidR="00D45276" w:rsidRPr="00C26A9B" w:rsidRDefault="00D45276" w:rsidP="00D45276">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104. Băncile calculează </w:t>
      </w:r>
      <w:proofErr w:type="spellStart"/>
      <w:r w:rsidRPr="00C26A9B">
        <w:rPr>
          <w:rFonts w:ascii="Times New Roman" w:hAnsi="Times New Roman" w:cs="Times New Roman"/>
          <w:sz w:val="24"/>
          <w:szCs w:val="24"/>
          <w:lang w:val="ro-RO"/>
        </w:rPr>
        <w:t>cerinţa</w:t>
      </w:r>
      <w:proofErr w:type="spellEnd"/>
      <w:r w:rsidRPr="00C26A9B">
        <w:rPr>
          <w:rFonts w:ascii="Times New Roman" w:hAnsi="Times New Roman" w:cs="Times New Roman"/>
          <w:sz w:val="24"/>
          <w:szCs w:val="24"/>
          <w:lang w:val="ro-RO"/>
        </w:rPr>
        <w:t xml:space="preserve"> de fonduri proprii pentru riscul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 xml:space="preserve"> în conformitate cu metoda bazată pe </w:t>
      </w:r>
      <w:proofErr w:type="spellStart"/>
      <w:r w:rsidRPr="00C26A9B">
        <w:rPr>
          <w:rFonts w:ascii="Times New Roman" w:hAnsi="Times New Roman" w:cs="Times New Roman"/>
          <w:sz w:val="24"/>
          <w:szCs w:val="24"/>
          <w:lang w:val="ro-RO"/>
        </w:rPr>
        <w:t>sensibilităţi</w:t>
      </w:r>
      <w:proofErr w:type="spellEnd"/>
      <w:r w:rsidRPr="00C26A9B">
        <w:rPr>
          <w:rFonts w:ascii="Times New Roman" w:hAnsi="Times New Roman" w:cs="Times New Roman"/>
          <w:sz w:val="24"/>
          <w:szCs w:val="24"/>
          <w:lang w:val="ro-RO"/>
        </w:rPr>
        <w:t xml:space="preserve"> prin agregarea următoarelor trei </w:t>
      </w:r>
      <w:proofErr w:type="spellStart"/>
      <w:r w:rsidRPr="00C26A9B">
        <w:rPr>
          <w:rFonts w:ascii="Times New Roman" w:hAnsi="Times New Roman" w:cs="Times New Roman"/>
          <w:sz w:val="24"/>
          <w:szCs w:val="24"/>
          <w:lang w:val="ro-RO"/>
        </w:rPr>
        <w:t>cerinţe</w:t>
      </w:r>
      <w:proofErr w:type="spellEnd"/>
      <w:r w:rsidRPr="00C26A9B">
        <w:rPr>
          <w:rFonts w:ascii="Times New Roman" w:hAnsi="Times New Roman" w:cs="Times New Roman"/>
          <w:sz w:val="24"/>
          <w:szCs w:val="24"/>
          <w:lang w:val="ro-RO"/>
        </w:rPr>
        <w:t xml:space="preserve"> de fonduri proprii în conformitate cu subsecțiunea 5:</w:t>
      </w:r>
    </w:p>
    <w:p w14:paraId="4D2E5068" w14:textId="77777777" w:rsidR="00D45276" w:rsidRPr="00C26A9B" w:rsidRDefault="00D45276" w:rsidP="00D45276">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104.1.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pentru riscul delta care reflectă riscul de modificare a valorii unui instrument din cauza </w:t>
      </w:r>
      <w:proofErr w:type="spellStart"/>
      <w:r w:rsidRPr="00C26A9B">
        <w:rPr>
          <w:rFonts w:ascii="Times New Roman" w:hAnsi="Times New Roman" w:cs="Times New Roman"/>
          <w:sz w:val="24"/>
          <w:szCs w:val="24"/>
          <w:lang w:val="ro-RO"/>
        </w:rPr>
        <w:t>variaţiilor</w:t>
      </w:r>
      <w:proofErr w:type="spellEnd"/>
      <w:r w:rsidRPr="00C26A9B">
        <w:rPr>
          <w:rFonts w:ascii="Times New Roman" w:hAnsi="Times New Roman" w:cs="Times New Roman"/>
          <w:sz w:val="24"/>
          <w:szCs w:val="24"/>
          <w:lang w:val="ro-RO"/>
        </w:rPr>
        <w:t xml:space="preserve"> apărute la nivelul factorilor de risc care nu sunt </w:t>
      </w:r>
      <w:proofErr w:type="spellStart"/>
      <w:r w:rsidRPr="00C26A9B">
        <w:rPr>
          <w:rFonts w:ascii="Times New Roman" w:hAnsi="Times New Roman" w:cs="Times New Roman"/>
          <w:sz w:val="24"/>
          <w:szCs w:val="24"/>
          <w:lang w:val="ro-RO"/>
        </w:rPr>
        <w:t>legaţi</w:t>
      </w:r>
      <w:proofErr w:type="spellEnd"/>
      <w:r w:rsidRPr="00C26A9B">
        <w:rPr>
          <w:rFonts w:ascii="Times New Roman" w:hAnsi="Times New Roman" w:cs="Times New Roman"/>
          <w:sz w:val="24"/>
          <w:szCs w:val="24"/>
          <w:lang w:val="ro-RO"/>
        </w:rPr>
        <w:t xml:space="preserve"> de volatilitate;</w:t>
      </w:r>
    </w:p>
    <w:p w14:paraId="04CF9055" w14:textId="77777777" w:rsidR="00D45276" w:rsidRPr="00C26A9B" w:rsidRDefault="00D45276" w:rsidP="00D45276">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104.2.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pentru riscul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care reflectă riscul de modificare a valorii unui instrument din cauza </w:t>
      </w:r>
      <w:proofErr w:type="spellStart"/>
      <w:r w:rsidRPr="00C26A9B">
        <w:rPr>
          <w:rFonts w:ascii="Times New Roman" w:hAnsi="Times New Roman" w:cs="Times New Roman"/>
          <w:sz w:val="24"/>
          <w:szCs w:val="24"/>
          <w:lang w:val="ro-RO"/>
        </w:rPr>
        <w:t>variaţiilor</w:t>
      </w:r>
      <w:proofErr w:type="spellEnd"/>
      <w:r w:rsidRPr="00C26A9B">
        <w:rPr>
          <w:rFonts w:ascii="Times New Roman" w:hAnsi="Times New Roman" w:cs="Times New Roman"/>
          <w:sz w:val="24"/>
          <w:szCs w:val="24"/>
          <w:lang w:val="ro-RO"/>
        </w:rPr>
        <w:t xml:space="preserve"> apărute la nivelul factorilor de risc </w:t>
      </w:r>
      <w:proofErr w:type="spellStart"/>
      <w:r w:rsidRPr="00C26A9B">
        <w:rPr>
          <w:rFonts w:ascii="Times New Roman" w:hAnsi="Times New Roman" w:cs="Times New Roman"/>
          <w:sz w:val="24"/>
          <w:szCs w:val="24"/>
          <w:lang w:val="ro-RO"/>
        </w:rPr>
        <w:t>legaţi</w:t>
      </w:r>
      <w:proofErr w:type="spellEnd"/>
      <w:r w:rsidRPr="00C26A9B">
        <w:rPr>
          <w:rFonts w:ascii="Times New Roman" w:hAnsi="Times New Roman" w:cs="Times New Roman"/>
          <w:sz w:val="24"/>
          <w:szCs w:val="24"/>
          <w:lang w:val="ro-RO"/>
        </w:rPr>
        <w:t xml:space="preserve"> de volatilitate;</w:t>
      </w:r>
    </w:p>
    <w:p w14:paraId="4FAACD48" w14:textId="29E0CB98" w:rsidR="006E2B0D" w:rsidRPr="00C26A9B" w:rsidRDefault="00D45276" w:rsidP="00D45276">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104.3.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pentru riscul de curbură care reflectă riscul de modificare a valorii unui instrument din cauza </w:t>
      </w:r>
      <w:proofErr w:type="spellStart"/>
      <w:r w:rsidRPr="00C26A9B">
        <w:rPr>
          <w:rFonts w:ascii="Times New Roman" w:hAnsi="Times New Roman" w:cs="Times New Roman"/>
          <w:sz w:val="24"/>
          <w:szCs w:val="24"/>
          <w:lang w:val="ro-RO"/>
        </w:rPr>
        <w:t>variaţiilor</w:t>
      </w:r>
      <w:proofErr w:type="spellEnd"/>
      <w:r w:rsidRPr="00C26A9B">
        <w:rPr>
          <w:rFonts w:ascii="Times New Roman" w:hAnsi="Times New Roman" w:cs="Times New Roman"/>
          <w:sz w:val="24"/>
          <w:szCs w:val="24"/>
          <w:lang w:val="ro-RO"/>
        </w:rPr>
        <w:t xml:space="preserve"> apărute la nivelul factorilor de risc care nu sunt </w:t>
      </w:r>
      <w:proofErr w:type="spellStart"/>
      <w:r w:rsidRPr="00C26A9B">
        <w:rPr>
          <w:rFonts w:ascii="Times New Roman" w:hAnsi="Times New Roman" w:cs="Times New Roman"/>
          <w:sz w:val="24"/>
          <w:szCs w:val="24"/>
          <w:lang w:val="ro-RO"/>
        </w:rPr>
        <w:t>legaţi</w:t>
      </w:r>
      <w:proofErr w:type="spellEnd"/>
      <w:r w:rsidRPr="00C26A9B">
        <w:rPr>
          <w:rFonts w:ascii="Times New Roman" w:hAnsi="Times New Roman" w:cs="Times New Roman"/>
          <w:sz w:val="24"/>
          <w:szCs w:val="24"/>
          <w:lang w:val="ro-RO"/>
        </w:rPr>
        <w:t xml:space="preserve"> de volatilitate care nu sunt </w:t>
      </w:r>
      <w:proofErr w:type="spellStart"/>
      <w:r w:rsidRPr="00C26A9B">
        <w:rPr>
          <w:rFonts w:ascii="Times New Roman" w:hAnsi="Times New Roman" w:cs="Times New Roman"/>
          <w:sz w:val="24"/>
          <w:szCs w:val="24"/>
          <w:lang w:val="ro-RO"/>
        </w:rPr>
        <w:t>reflectaţi</w:t>
      </w:r>
      <w:proofErr w:type="spellEnd"/>
      <w:r w:rsidRPr="00C26A9B">
        <w:rPr>
          <w:rFonts w:ascii="Times New Roman" w:hAnsi="Times New Roman" w:cs="Times New Roman"/>
          <w:sz w:val="24"/>
          <w:szCs w:val="24"/>
          <w:lang w:val="ro-RO"/>
        </w:rPr>
        <w:t xml:space="preserve"> de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pentru riscul delta.</w:t>
      </w:r>
    </w:p>
    <w:p w14:paraId="7639BDAC" w14:textId="079C7983" w:rsidR="00D45276" w:rsidRPr="00C26A9B" w:rsidRDefault="00D45276" w:rsidP="00D45276">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105. În scopul calculului </w:t>
      </w:r>
      <w:proofErr w:type="spellStart"/>
      <w:r w:rsidRPr="00C26A9B">
        <w:rPr>
          <w:rFonts w:ascii="Times New Roman" w:hAnsi="Times New Roman" w:cs="Times New Roman"/>
          <w:sz w:val="24"/>
          <w:szCs w:val="24"/>
          <w:lang w:val="ro-RO"/>
        </w:rPr>
        <w:t>menţionat</w:t>
      </w:r>
      <w:proofErr w:type="spellEnd"/>
      <w:r w:rsidRPr="00C26A9B">
        <w:rPr>
          <w:rFonts w:ascii="Times New Roman" w:hAnsi="Times New Roman" w:cs="Times New Roman"/>
          <w:sz w:val="24"/>
          <w:szCs w:val="24"/>
          <w:lang w:val="ro-RO"/>
        </w:rPr>
        <w:t xml:space="preserve"> la pct.104:</w:t>
      </w:r>
    </w:p>
    <w:p w14:paraId="4327E41C" w14:textId="573BCC79" w:rsidR="00D45276" w:rsidRPr="00C26A9B" w:rsidRDefault="00D45276" w:rsidP="00D45276">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105.1 toate </w:t>
      </w:r>
      <w:proofErr w:type="spellStart"/>
      <w:r w:rsidRPr="00C26A9B">
        <w:rPr>
          <w:rFonts w:ascii="Times New Roman" w:hAnsi="Times New Roman" w:cs="Times New Roman"/>
          <w:sz w:val="24"/>
          <w:szCs w:val="24"/>
          <w:lang w:val="ro-RO"/>
        </w:rPr>
        <w:t>poziţiile</w:t>
      </w:r>
      <w:proofErr w:type="spellEnd"/>
      <w:r w:rsidRPr="00C26A9B">
        <w:rPr>
          <w:rFonts w:ascii="Times New Roman" w:hAnsi="Times New Roman" w:cs="Times New Roman"/>
          <w:sz w:val="24"/>
          <w:szCs w:val="24"/>
          <w:lang w:val="ro-RO"/>
        </w:rPr>
        <w:t xml:space="preserve"> aferente instrumentelor cu </w:t>
      </w:r>
      <w:proofErr w:type="spellStart"/>
      <w:r w:rsidRPr="00C26A9B">
        <w:rPr>
          <w:rFonts w:ascii="Times New Roman" w:hAnsi="Times New Roman" w:cs="Times New Roman"/>
          <w:sz w:val="24"/>
          <w:szCs w:val="24"/>
          <w:lang w:val="ro-RO"/>
        </w:rPr>
        <w:t>opţionalitate</w:t>
      </w:r>
      <w:proofErr w:type="spellEnd"/>
      <w:r w:rsidRPr="00C26A9B">
        <w:rPr>
          <w:rFonts w:ascii="Times New Roman" w:hAnsi="Times New Roman" w:cs="Times New Roman"/>
          <w:sz w:val="24"/>
          <w:szCs w:val="24"/>
          <w:lang w:val="ro-RO"/>
        </w:rPr>
        <w:t xml:space="preserve"> fac obiectul </w:t>
      </w:r>
      <w:proofErr w:type="spellStart"/>
      <w:r w:rsidRPr="00C26A9B">
        <w:rPr>
          <w:rFonts w:ascii="Times New Roman" w:hAnsi="Times New Roman" w:cs="Times New Roman"/>
          <w:sz w:val="24"/>
          <w:szCs w:val="24"/>
          <w:lang w:val="ro-RO"/>
        </w:rPr>
        <w:t>cerinţelor</w:t>
      </w:r>
      <w:proofErr w:type="spellEnd"/>
      <w:r w:rsidRPr="00C26A9B">
        <w:rPr>
          <w:rFonts w:ascii="Times New Roman" w:hAnsi="Times New Roman" w:cs="Times New Roman"/>
          <w:sz w:val="24"/>
          <w:szCs w:val="24"/>
          <w:lang w:val="ro-RO"/>
        </w:rPr>
        <w:t xml:space="preserve"> de fonduri proprii </w:t>
      </w:r>
      <w:proofErr w:type="spellStart"/>
      <w:r w:rsidRPr="00C26A9B">
        <w:rPr>
          <w:rFonts w:ascii="Times New Roman" w:hAnsi="Times New Roman" w:cs="Times New Roman"/>
          <w:sz w:val="24"/>
          <w:szCs w:val="24"/>
          <w:lang w:val="ro-RO"/>
        </w:rPr>
        <w:t>menţionate</w:t>
      </w:r>
      <w:proofErr w:type="spellEnd"/>
      <w:r w:rsidRPr="00C26A9B">
        <w:rPr>
          <w:rFonts w:ascii="Times New Roman" w:hAnsi="Times New Roman" w:cs="Times New Roman"/>
          <w:sz w:val="24"/>
          <w:szCs w:val="24"/>
          <w:lang w:val="ro-RO"/>
        </w:rPr>
        <w:t xml:space="preserve"> la subpct.104.1, 104.2 și 104.3 pentru alte riscuri decât cele care decurg din elementele-suport exotice ale instrumentelor </w:t>
      </w:r>
      <w:proofErr w:type="spellStart"/>
      <w:r w:rsidRPr="00C26A9B">
        <w:rPr>
          <w:rFonts w:ascii="Times New Roman" w:hAnsi="Times New Roman" w:cs="Times New Roman"/>
          <w:sz w:val="24"/>
          <w:szCs w:val="24"/>
          <w:lang w:val="ro-RO"/>
        </w:rPr>
        <w:t>menţionate</w:t>
      </w:r>
      <w:proofErr w:type="spellEnd"/>
      <w:r w:rsidRPr="00C26A9B">
        <w:rPr>
          <w:rFonts w:ascii="Times New Roman" w:hAnsi="Times New Roman" w:cs="Times New Roman"/>
          <w:sz w:val="24"/>
          <w:szCs w:val="24"/>
          <w:lang w:val="ro-RO"/>
        </w:rPr>
        <w:t xml:space="preserve"> la </w:t>
      </w:r>
      <w:r w:rsidR="00D20247" w:rsidRPr="00D20247">
        <w:rPr>
          <w:rFonts w:ascii="Times New Roman" w:hAnsi="Times New Roman" w:cs="Times New Roman"/>
          <w:sz w:val="24"/>
          <w:szCs w:val="24"/>
          <w:lang w:val="ro-RO"/>
        </w:rPr>
        <w:t>subpct.219.1</w:t>
      </w:r>
      <w:r w:rsidRPr="00D20247">
        <w:rPr>
          <w:rFonts w:ascii="Times New Roman" w:hAnsi="Times New Roman" w:cs="Times New Roman"/>
          <w:sz w:val="24"/>
          <w:szCs w:val="24"/>
          <w:lang w:val="ro-RO"/>
        </w:rPr>
        <w:t>;</w:t>
      </w:r>
    </w:p>
    <w:p w14:paraId="6C66DBF6" w14:textId="2C201FE4" w:rsidR="00D45276" w:rsidRPr="00C26A9B" w:rsidRDefault="00D45276" w:rsidP="00D45276">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105.2. toate </w:t>
      </w:r>
      <w:proofErr w:type="spellStart"/>
      <w:r w:rsidRPr="00C26A9B">
        <w:rPr>
          <w:rFonts w:ascii="Times New Roman" w:hAnsi="Times New Roman" w:cs="Times New Roman"/>
          <w:sz w:val="24"/>
          <w:szCs w:val="24"/>
          <w:lang w:val="ro-RO"/>
        </w:rPr>
        <w:t>poziţiile</w:t>
      </w:r>
      <w:proofErr w:type="spellEnd"/>
      <w:r w:rsidRPr="00C26A9B">
        <w:rPr>
          <w:rFonts w:ascii="Times New Roman" w:hAnsi="Times New Roman" w:cs="Times New Roman"/>
          <w:sz w:val="24"/>
          <w:szCs w:val="24"/>
          <w:lang w:val="ro-RO"/>
        </w:rPr>
        <w:t xml:space="preserve"> aferente instrumentelor fără </w:t>
      </w:r>
      <w:proofErr w:type="spellStart"/>
      <w:r w:rsidRPr="00C26A9B">
        <w:rPr>
          <w:rFonts w:ascii="Times New Roman" w:hAnsi="Times New Roman" w:cs="Times New Roman"/>
          <w:sz w:val="24"/>
          <w:szCs w:val="24"/>
          <w:lang w:val="ro-RO"/>
        </w:rPr>
        <w:t>opţionalitate</w:t>
      </w:r>
      <w:proofErr w:type="spellEnd"/>
      <w:r w:rsidRPr="00C26A9B">
        <w:rPr>
          <w:rFonts w:ascii="Times New Roman" w:hAnsi="Times New Roman" w:cs="Times New Roman"/>
          <w:sz w:val="24"/>
          <w:szCs w:val="24"/>
          <w:lang w:val="ro-RO"/>
        </w:rPr>
        <w:t xml:space="preserve"> fac obiectul </w:t>
      </w:r>
      <w:proofErr w:type="spellStart"/>
      <w:r w:rsidRPr="00C26A9B">
        <w:rPr>
          <w:rFonts w:ascii="Times New Roman" w:hAnsi="Times New Roman" w:cs="Times New Roman"/>
          <w:sz w:val="24"/>
          <w:szCs w:val="24"/>
          <w:lang w:val="ro-RO"/>
        </w:rPr>
        <w:t>cerinţelor</w:t>
      </w:r>
      <w:proofErr w:type="spellEnd"/>
      <w:r w:rsidRPr="00C26A9B">
        <w:rPr>
          <w:rFonts w:ascii="Times New Roman" w:hAnsi="Times New Roman" w:cs="Times New Roman"/>
          <w:sz w:val="24"/>
          <w:szCs w:val="24"/>
          <w:lang w:val="ro-RO"/>
        </w:rPr>
        <w:t xml:space="preserve"> de fonduri proprii </w:t>
      </w:r>
      <w:proofErr w:type="spellStart"/>
      <w:r w:rsidRPr="00C26A9B">
        <w:rPr>
          <w:rFonts w:ascii="Times New Roman" w:hAnsi="Times New Roman" w:cs="Times New Roman"/>
          <w:sz w:val="24"/>
          <w:szCs w:val="24"/>
          <w:lang w:val="ro-RO"/>
        </w:rPr>
        <w:t>menţionate</w:t>
      </w:r>
      <w:proofErr w:type="spellEnd"/>
      <w:r w:rsidRPr="00C26A9B">
        <w:rPr>
          <w:rFonts w:ascii="Times New Roman" w:hAnsi="Times New Roman" w:cs="Times New Roman"/>
          <w:sz w:val="24"/>
          <w:szCs w:val="24"/>
          <w:lang w:val="ro-RO"/>
        </w:rPr>
        <w:t xml:space="preserve"> la subpct.104.1 pentru alte riscuri decât cele care decurg din elementele-suport exotice ale instrumentelor </w:t>
      </w:r>
      <w:proofErr w:type="spellStart"/>
      <w:r w:rsidRPr="00C26A9B">
        <w:rPr>
          <w:rFonts w:ascii="Times New Roman" w:hAnsi="Times New Roman" w:cs="Times New Roman"/>
          <w:sz w:val="24"/>
          <w:szCs w:val="24"/>
          <w:lang w:val="ro-RO"/>
        </w:rPr>
        <w:t>menţionate</w:t>
      </w:r>
      <w:proofErr w:type="spellEnd"/>
      <w:r w:rsidRPr="00C26A9B">
        <w:rPr>
          <w:rFonts w:ascii="Times New Roman" w:hAnsi="Times New Roman" w:cs="Times New Roman"/>
          <w:sz w:val="24"/>
          <w:szCs w:val="24"/>
          <w:lang w:val="ro-RO"/>
        </w:rPr>
        <w:t xml:space="preserve"> la </w:t>
      </w:r>
      <w:r w:rsidR="00D20247" w:rsidRPr="00CC1E9B">
        <w:rPr>
          <w:rFonts w:ascii="Times New Roman" w:hAnsi="Times New Roman" w:cs="Times New Roman"/>
          <w:sz w:val="24"/>
          <w:szCs w:val="24"/>
          <w:lang w:val="ro-RO"/>
        </w:rPr>
        <w:t>subpct.219.1</w:t>
      </w:r>
      <w:r w:rsidRPr="00CC1E9B">
        <w:rPr>
          <w:rFonts w:ascii="Times New Roman" w:hAnsi="Times New Roman" w:cs="Times New Roman"/>
          <w:sz w:val="24"/>
          <w:szCs w:val="24"/>
          <w:lang w:val="ro-RO"/>
        </w:rPr>
        <w:t>.</w:t>
      </w:r>
    </w:p>
    <w:p w14:paraId="41116BBF" w14:textId="77777777" w:rsidR="00D45276" w:rsidRPr="00C26A9B" w:rsidRDefault="00D45276" w:rsidP="00D45276">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106. În sensul prezentului capitol, instrumentele cu </w:t>
      </w:r>
      <w:proofErr w:type="spellStart"/>
      <w:r w:rsidRPr="00C26A9B">
        <w:rPr>
          <w:rFonts w:ascii="Times New Roman" w:hAnsi="Times New Roman" w:cs="Times New Roman"/>
          <w:sz w:val="24"/>
          <w:szCs w:val="24"/>
          <w:lang w:val="ro-RO"/>
        </w:rPr>
        <w:t>opţionalitate</w:t>
      </w:r>
      <w:proofErr w:type="spellEnd"/>
      <w:r w:rsidRPr="00C26A9B">
        <w:rPr>
          <w:rFonts w:ascii="Times New Roman" w:hAnsi="Times New Roman" w:cs="Times New Roman"/>
          <w:sz w:val="24"/>
          <w:szCs w:val="24"/>
          <w:lang w:val="ro-RO"/>
        </w:rPr>
        <w:t xml:space="preserve"> includ, printre altele, </w:t>
      </w:r>
      <w:proofErr w:type="spellStart"/>
      <w:r w:rsidRPr="00C26A9B">
        <w:rPr>
          <w:rFonts w:ascii="Times New Roman" w:hAnsi="Times New Roman" w:cs="Times New Roman"/>
          <w:sz w:val="24"/>
          <w:szCs w:val="24"/>
          <w:lang w:val="ro-RO"/>
        </w:rPr>
        <w:t>opţiuni</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call</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opţiuni</w:t>
      </w:r>
      <w:proofErr w:type="spellEnd"/>
      <w:r w:rsidRPr="00C26A9B">
        <w:rPr>
          <w:rFonts w:ascii="Times New Roman" w:hAnsi="Times New Roman" w:cs="Times New Roman"/>
          <w:sz w:val="24"/>
          <w:szCs w:val="24"/>
          <w:lang w:val="ro-RO"/>
        </w:rPr>
        <w:t xml:space="preserve"> „put”, praguri maxime („</w:t>
      </w:r>
      <w:proofErr w:type="spellStart"/>
      <w:r w:rsidRPr="00C26A9B">
        <w:rPr>
          <w:rFonts w:ascii="Times New Roman" w:hAnsi="Times New Roman" w:cs="Times New Roman"/>
          <w:sz w:val="24"/>
          <w:szCs w:val="24"/>
          <w:lang w:val="ro-RO"/>
        </w:rPr>
        <w:t>caps</w:t>
      </w:r>
      <w:proofErr w:type="spellEnd"/>
      <w:r w:rsidRPr="00C26A9B">
        <w:rPr>
          <w:rFonts w:ascii="Times New Roman" w:hAnsi="Times New Roman" w:cs="Times New Roman"/>
          <w:sz w:val="24"/>
          <w:szCs w:val="24"/>
          <w:lang w:val="ro-RO"/>
        </w:rPr>
        <w:t>”), praguri minime („</w:t>
      </w:r>
      <w:proofErr w:type="spellStart"/>
      <w:r w:rsidRPr="00C26A9B">
        <w:rPr>
          <w:rFonts w:ascii="Times New Roman" w:hAnsi="Times New Roman" w:cs="Times New Roman"/>
          <w:sz w:val="24"/>
          <w:szCs w:val="24"/>
          <w:lang w:val="ro-RO"/>
        </w:rPr>
        <w:t>floors</w:t>
      </w:r>
      <w:proofErr w:type="spellEnd"/>
      <w:r w:rsidRPr="00C26A9B">
        <w:rPr>
          <w:rFonts w:ascii="Times New Roman" w:hAnsi="Times New Roman" w:cs="Times New Roman"/>
          <w:sz w:val="24"/>
          <w:szCs w:val="24"/>
          <w:lang w:val="ro-RO"/>
        </w:rPr>
        <w:t>”), instrumente de tipul „</w:t>
      </w:r>
      <w:proofErr w:type="spellStart"/>
      <w:r w:rsidRPr="00C26A9B">
        <w:rPr>
          <w:rFonts w:ascii="Times New Roman" w:hAnsi="Times New Roman" w:cs="Times New Roman"/>
          <w:sz w:val="24"/>
          <w:szCs w:val="24"/>
          <w:lang w:val="ro-RO"/>
        </w:rPr>
        <w:t>swap</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option</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opţiuni</w:t>
      </w:r>
      <w:proofErr w:type="spellEnd"/>
      <w:r w:rsidRPr="00C26A9B">
        <w:rPr>
          <w:rFonts w:ascii="Times New Roman" w:hAnsi="Times New Roman" w:cs="Times New Roman"/>
          <w:sz w:val="24"/>
          <w:szCs w:val="24"/>
          <w:lang w:val="ro-RO"/>
        </w:rPr>
        <w:t xml:space="preserve"> „barieră” și </w:t>
      </w:r>
      <w:proofErr w:type="spellStart"/>
      <w:r w:rsidRPr="00C26A9B">
        <w:rPr>
          <w:rFonts w:ascii="Times New Roman" w:hAnsi="Times New Roman" w:cs="Times New Roman"/>
          <w:sz w:val="24"/>
          <w:szCs w:val="24"/>
          <w:lang w:val="ro-RO"/>
        </w:rPr>
        <w:t>opţiuni</w:t>
      </w:r>
      <w:proofErr w:type="spellEnd"/>
      <w:r w:rsidRPr="00C26A9B">
        <w:rPr>
          <w:rFonts w:ascii="Times New Roman" w:hAnsi="Times New Roman" w:cs="Times New Roman"/>
          <w:sz w:val="24"/>
          <w:szCs w:val="24"/>
          <w:lang w:val="ro-RO"/>
        </w:rPr>
        <w:t xml:space="preserve"> „exotice”. </w:t>
      </w:r>
      <w:proofErr w:type="spellStart"/>
      <w:r w:rsidRPr="00C26A9B">
        <w:rPr>
          <w:rFonts w:ascii="Times New Roman" w:hAnsi="Times New Roman" w:cs="Times New Roman"/>
          <w:sz w:val="24"/>
          <w:szCs w:val="24"/>
          <w:lang w:val="ro-RO"/>
        </w:rPr>
        <w:t>Opţiunile</w:t>
      </w:r>
      <w:proofErr w:type="spellEnd"/>
      <w:r w:rsidRPr="00C26A9B">
        <w:rPr>
          <w:rFonts w:ascii="Times New Roman" w:hAnsi="Times New Roman" w:cs="Times New Roman"/>
          <w:sz w:val="24"/>
          <w:szCs w:val="24"/>
          <w:lang w:val="ro-RO"/>
        </w:rPr>
        <w:t xml:space="preserve"> încorporate, precum </w:t>
      </w:r>
      <w:proofErr w:type="spellStart"/>
      <w:r w:rsidRPr="00C26A9B">
        <w:rPr>
          <w:rFonts w:ascii="Times New Roman" w:hAnsi="Times New Roman" w:cs="Times New Roman"/>
          <w:sz w:val="24"/>
          <w:szCs w:val="24"/>
          <w:lang w:val="ro-RO"/>
        </w:rPr>
        <w:t>opţiunile</w:t>
      </w:r>
      <w:proofErr w:type="spellEnd"/>
      <w:r w:rsidRPr="00C26A9B">
        <w:rPr>
          <w:rFonts w:ascii="Times New Roman" w:hAnsi="Times New Roman" w:cs="Times New Roman"/>
          <w:sz w:val="24"/>
          <w:szCs w:val="24"/>
          <w:lang w:val="ro-RO"/>
        </w:rPr>
        <w:t xml:space="preserve"> de plată în avans sau </w:t>
      </w:r>
      <w:proofErr w:type="spellStart"/>
      <w:r w:rsidRPr="00C26A9B">
        <w:rPr>
          <w:rFonts w:ascii="Times New Roman" w:hAnsi="Times New Roman" w:cs="Times New Roman"/>
          <w:sz w:val="24"/>
          <w:szCs w:val="24"/>
          <w:lang w:val="ro-RO"/>
        </w:rPr>
        <w:t>opţiunile</w:t>
      </w:r>
      <w:proofErr w:type="spellEnd"/>
      <w:r w:rsidRPr="00C26A9B">
        <w:rPr>
          <w:rFonts w:ascii="Times New Roman" w:hAnsi="Times New Roman" w:cs="Times New Roman"/>
          <w:sz w:val="24"/>
          <w:szCs w:val="24"/>
          <w:lang w:val="ro-RO"/>
        </w:rPr>
        <w:t xml:space="preserve"> comportamentale, sunt considerate </w:t>
      </w:r>
      <w:proofErr w:type="spellStart"/>
      <w:r w:rsidRPr="00C26A9B">
        <w:rPr>
          <w:rFonts w:ascii="Times New Roman" w:hAnsi="Times New Roman" w:cs="Times New Roman"/>
          <w:sz w:val="24"/>
          <w:szCs w:val="24"/>
          <w:lang w:val="ro-RO"/>
        </w:rPr>
        <w:t>poziţii</w:t>
      </w:r>
      <w:proofErr w:type="spellEnd"/>
      <w:r w:rsidRPr="00C26A9B">
        <w:rPr>
          <w:rFonts w:ascii="Times New Roman" w:hAnsi="Times New Roman" w:cs="Times New Roman"/>
          <w:sz w:val="24"/>
          <w:szCs w:val="24"/>
          <w:lang w:val="ro-RO"/>
        </w:rPr>
        <w:t xml:space="preserve"> de sine stătătoare pe </w:t>
      </w:r>
      <w:proofErr w:type="spellStart"/>
      <w:r w:rsidRPr="00C26A9B">
        <w:rPr>
          <w:rFonts w:ascii="Times New Roman" w:hAnsi="Times New Roman" w:cs="Times New Roman"/>
          <w:sz w:val="24"/>
          <w:szCs w:val="24"/>
          <w:lang w:val="ro-RO"/>
        </w:rPr>
        <w:t>opţiuni</w:t>
      </w:r>
      <w:proofErr w:type="spellEnd"/>
      <w:r w:rsidRPr="00C26A9B">
        <w:rPr>
          <w:rFonts w:ascii="Times New Roman" w:hAnsi="Times New Roman" w:cs="Times New Roman"/>
          <w:sz w:val="24"/>
          <w:szCs w:val="24"/>
          <w:lang w:val="ro-RO"/>
        </w:rPr>
        <w:t xml:space="preserve"> în scopul calculării </w:t>
      </w:r>
      <w:proofErr w:type="spellStart"/>
      <w:r w:rsidRPr="00C26A9B">
        <w:rPr>
          <w:rFonts w:ascii="Times New Roman" w:hAnsi="Times New Roman" w:cs="Times New Roman"/>
          <w:sz w:val="24"/>
          <w:szCs w:val="24"/>
          <w:lang w:val="ro-RO"/>
        </w:rPr>
        <w:t>cerinţelor</w:t>
      </w:r>
      <w:proofErr w:type="spellEnd"/>
      <w:r w:rsidRPr="00C26A9B">
        <w:rPr>
          <w:rFonts w:ascii="Times New Roman" w:hAnsi="Times New Roman" w:cs="Times New Roman"/>
          <w:sz w:val="24"/>
          <w:szCs w:val="24"/>
          <w:lang w:val="ro-RO"/>
        </w:rPr>
        <w:t xml:space="preserve"> de fonduri proprii pentru riscul de </w:t>
      </w:r>
      <w:proofErr w:type="spellStart"/>
      <w:r w:rsidRPr="00C26A9B">
        <w:rPr>
          <w:rFonts w:ascii="Times New Roman" w:hAnsi="Times New Roman" w:cs="Times New Roman"/>
          <w:sz w:val="24"/>
          <w:szCs w:val="24"/>
          <w:lang w:val="ro-RO"/>
        </w:rPr>
        <w:t>piaţă</w:t>
      </w:r>
      <w:proofErr w:type="spellEnd"/>
      <w:r w:rsidRPr="00C26A9B">
        <w:rPr>
          <w:rFonts w:ascii="Times New Roman" w:hAnsi="Times New Roman" w:cs="Times New Roman"/>
          <w:sz w:val="24"/>
          <w:szCs w:val="24"/>
          <w:lang w:val="ro-RO"/>
        </w:rPr>
        <w:t>.</w:t>
      </w:r>
    </w:p>
    <w:p w14:paraId="1BCF0556" w14:textId="545F5022" w:rsidR="00D45276" w:rsidRPr="00C26A9B" w:rsidRDefault="00D45276" w:rsidP="00D45276">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107. În sensul prezentului capitol, instrumentele ale căror fluxuri de numerar pot fi reprezentate ca o </w:t>
      </w:r>
      <w:proofErr w:type="spellStart"/>
      <w:r w:rsidRPr="00C26A9B">
        <w:rPr>
          <w:rFonts w:ascii="Times New Roman" w:hAnsi="Times New Roman" w:cs="Times New Roman"/>
          <w:sz w:val="24"/>
          <w:szCs w:val="24"/>
          <w:lang w:val="ro-RO"/>
        </w:rPr>
        <w:t>funcţie</w:t>
      </w:r>
      <w:proofErr w:type="spellEnd"/>
      <w:r w:rsidRPr="00C26A9B">
        <w:rPr>
          <w:rFonts w:ascii="Times New Roman" w:hAnsi="Times New Roman" w:cs="Times New Roman"/>
          <w:sz w:val="24"/>
          <w:szCs w:val="24"/>
          <w:lang w:val="ro-RO"/>
        </w:rPr>
        <w:t xml:space="preserve"> liniară a valorii </w:t>
      </w:r>
      <w:proofErr w:type="spellStart"/>
      <w:r w:rsidRPr="00C26A9B">
        <w:rPr>
          <w:rFonts w:ascii="Times New Roman" w:hAnsi="Times New Roman" w:cs="Times New Roman"/>
          <w:sz w:val="24"/>
          <w:szCs w:val="24"/>
          <w:lang w:val="ro-RO"/>
        </w:rPr>
        <w:t>noţionale</w:t>
      </w:r>
      <w:proofErr w:type="spellEnd"/>
      <w:r w:rsidRPr="00C26A9B">
        <w:rPr>
          <w:rFonts w:ascii="Times New Roman" w:hAnsi="Times New Roman" w:cs="Times New Roman"/>
          <w:sz w:val="24"/>
          <w:szCs w:val="24"/>
          <w:lang w:val="ro-RO"/>
        </w:rPr>
        <w:t xml:space="preserve"> a instrumentului-suport sunt considerate instrumente fără </w:t>
      </w:r>
      <w:proofErr w:type="spellStart"/>
      <w:r w:rsidRPr="00C26A9B">
        <w:rPr>
          <w:rFonts w:ascii="Times New Roman" w:hAnsi="Times New Roman" w:cs="Times New Roman"/>
          <w:sz w:val="24"/>
          <w:szCs w:val="24"/>
          <w:lang w:val="ro-RO"/>
        </w:rPr>
        <w:t>opţionalitate</w:t>
      </w:r>
      <w:proofErr w:type="spellEnd"/>
      <w:r w:rsidRPr="00C26A9B">
        <w:rPr>
          <w:rFonts w:ascii="Times New Roman" w:hAnsi="Times New Roman" w:cs="Times New Roman"/>
          <w:sz w:val="24"/>
          <w:szCs w:val="24"/>
          <w:lang w:val="ro-RO"/>
        </w:rPr>
        <w:t>.</w:t>
      </w:r>
    </w:p>
    <w:p w14:paraId="39C78ECC" w14:textId="3421312F" w:rsidR="006A4204" w:rsidRPr="00C26A9B" w:rsidRDefault="006A4204" w:rsidP="006A4204">
      <w:pPr>
        <w:rPr>
          <w:rFonts w:ascii="Times New Roman" w:hAnsi="Times New Roman" w:cs="Times New Roman"/>
          <w:sz w:val="24"/>
          <w:szCs w:val="24"/>
          <w:lang w:val="ro-RO"/>
        </w:rPr>
      </w:pPr>
      <w:r w:rsidRPr="00C26A9B">
        <w:rPr>
          <w:rFonts w:ascii="Times New Roman" w:hAnsi="Times New Roman" w:cs="Times New Roman"/>
          <w:sz w:val="24"/>
          <w:szCs w:val="24"/>
          <w:lang w:val="ro-RO"/>
        </w:rPr>
        <w:t>108. Prin derogare de la</w:t>
      </w:r>
      <w:r w:rsidR="00993B0D">
        <w:rPr>
          <w:rFonts w:ascii="Times New Roman" w:hAnsi="Times New Roman" w:cs="Times New Roman"/>
          <w:sz w:val="24"/>
          <w:szCs w:val="24"/>
          <w:lang w:val="ro-RO"/>
        </w:rPr>
        <w:t xml:space="preserve"> </w:t>
      </w:r>
      <w:r w:rsidRPr="00C26A9B">
        <w:rPr>
          <w:rFonts w:ascii="Times New Roman" w:hAnsi="Times New Roman" w:cs="Times New Roman"/>
          <w:sz w:val="24"/>
          <w:szCs w:val="24"/>
          <w:lang w:val="ro-RO"/>
        </w:rPr>
        <w:t xml:space="preserve">subpct.105.2, o bancă poate alege să aplice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w:t>
      </w:r>
      <w:proofErr w:type="spellStart"/>
      <w:r w:rsidRPr="00C26A9B">
        <w:rPr>
          <w:rFonts w:ascii="Times New Roman" w:hAnsi="Times New Roman" w:cs="Times New Roman"/>
          <w:sz w:val="24"/>
          <w:szCs w:val="24"/>
          <w:lang w:val="ro-RO"/>
        </w:rPr>
        <w:t>menţionate</w:t>
      </w:r>
      <w:proofErr w:type="spellEnd"/>
      <w:r w:rsidRPr="00C26A9B">
        <w:rPr>
          <w:rFonts w:ascii="Times New Roman" w:hAnsi="Times New Roman" w:cs="Times New Roman"/>
          <w:sz w:val="24"/>
          <w:szCs w:val="24"/>
          <w:lang w:val="ro-RO"/>
        </w:rPr>
        <w:t xml:space="preserve"> la subpct.</w:t>
      </w:r>
      <w:r w:rsidR="005D2030">
        <w:rPr>
          <w:rFonts w:ascii="Times New Roman" w:hAnsi="Times New Roman" w:cs="Times New Roman"/>
          <w:sz w:val="24"/>
          <w:szCs w:val="24"/>
          <w:lang w:val="ro-RO"/>
        </w:rPr>
        <w:t>104.1</w:t>
      </w:r>
      <w:r w:rsidRPr="00C26A9B">
        <w:rPr>
          <w:rFonts w:ascii="Times New Roman" w:hAnsi="Times New Roman" w:cs="Times New Roman"/>
          <w:sz w:val="24"/>
          <w:szCs w:val="24"/>
          <w:lang w:val="ro-RO"/>
        </w:rPr>
        <w:t xml:space="preserve"> și </w:t>
      </w:r>
      <w:r w:rsidR="005D2030">
        <w:rPr>
          <w:rFonts w:ascii="Times New Roman" w:hAnsi="Times New Roman" w:cs="Times New Roman"/>
          <w:sz w:val="24"/>
          <w:szCs w:val="24"/>
          <w:lang w:val="ro-RO"/>
        </w:rPr>
        <w:t>104.3</w:t>
      </w:r>
      <w:r w:rsidRPr="00C26A9B">
        <w:rPr>
          <w:rFonts w:ascii="Times New Roman" w:hAnsi="Times New Roman" w:cs="Times New Roman"/>
          <w:sz w:val="24"/>
          <w:szCs w:val="24"/>
          <w:lang w:val="ro-RO"/>
        </w:rPr>
        <w:t xml:space="preserve"> tuturor </w:t>
      </w:r>
      <w:proofErr w:type="spellStart"/>
      <w:r w:rsidRPr="00C26A9B">
        <w:rPr>
          <w:rFonts w:ascii="Times New Roman" w:hAnsi="Times New Roman" w:cs="Times New Roman"/>
          <w:sz w:val="24"/>
          <w:szCs w:val="24"/>
          <w:lang w:val="ro-RO"/>
        </w:rPr>
        <w:t>poziţiilor</w:t>
      </w:r>
      <w:proofErr w:type="spellEnd"/>
      <w:r w:rsidRPr="00C26A9B">
        <w:rPr>
          <w:rFonts w:ascii="Times New Roman" w:hAnsi="Times New Roman" w:cs="Times New Roman"/>
          <w:sz w:val="24"/>
          <w:szCs w:val="24"/>
          <w:lang w:val="ro-RO"/>
        </w:rPr>
        <w:t xml:space="preserve"> aferente instrumentelor fără </w:t>
      </w:r>
      <w:proofErr w:type="spellStart"/>
      <w:r w:rsidRPr="00C26A9B">
        <w:rPr>
          <w:rFonts w:ascii="Times New Roman" w:hAnsi="Times New Roman" w:cs="Times New Roman"/>
          <w:sz w:val="24"/>
          <w:szCs w:val="24"/>
          <w:lang w:val="ro-RO"/>
        </w:rPr>
        <w:t>opţionalitate</w:t>
      </w:r>
      <w:proofErr w:type="spellEnd"/>
      <w:r w:rsidRPr="00C26A9B">
        <w:rPr>
          <w:rFonts w:ascii="Times New Roman" w:hAnsi="Times New Roman" w:cs="Times New Roman"/>
          <w:sz w:val="24"/>
          <w:szCs w:val="24"/>
          <w:lang w:val="ro-RO"/>
        </w:rPr>
        <w:t>.</w:t>
      </w:r>
    </w:p>
    <w:p w14:paraId="37BE00E6" w14:textId="77777777" w:rsidR="006A4204" w:rsidRPr="00C26A9B" w:rsidRDefault="006A4204" w:rsidP="006A4204">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109. O bancă care alege să utilizeze abordarea prevăzută la pct.108 notifică acest lucru BNM cu cel </w:t>
      </w:r>
      <w:proofErr w:type="spellStart"/>
      <w:r w:rsidRPr="00C26A9B">
        <w:rPr>
          <w:rFonts w:ascii="Times New Roman" w:hAnsi="Times New Roman" w:cs="Times New Roman"/>
          <w:sz w:val="24"/>
          <w:szCs w:val="24"/>
          <w:lang w:val="ro-RO"/>
        </w:rPr>
        <w:t>puţin</w:t>
      </w:r>
      <w:proofErr w:type="spellEnd"/>
      <w:r w:rsidRPr="00C26A9B">
        <w:rPr>
          <w:rFonts w:ascii="Times New Roman" w:hAnsi="Times New Roman" w:cs="Times New Roman"/>
          <w:sz w:val="24"/>
          <w:szCs w:val="24"/>
          <w:lang w:val="ro-RO"/>
        </w:rPr>
        <w:t xml:space="preserve"> trei luni înainte de prima utilizare. După ce au trecut cele trei luni și cu </w:t>
      </w:r>
      <w:proofErr w:type="spellStart"/>
      <w:r w:rsidRPr="00C26A9B">
        <w:rPr>
          <w:rFonts w:ascii="Times New Roman" w:hAnsi="Times New Roman" w:cs="Times New Roman"/>
          <w:sz w:val="24"/>
          <w:szCs w:val="24"/>
          <w:lang w:val="ro-RO"/>
        </w:rPr>
        <w:t>condiţia</w:t>
      </w:r>
      <w:proofErr w:type="spellEnd"/>
      <w:r w:rsidRPr="00C26A9B">
        <w:rPr>
          <w:rFonts w:ascii="Times New Roman" w:hAnsi="Times New Roman" w:cs="Times New Roman"/>
          <w:sz w:val="24"/>
          <w:szCs w:val="24"/>
          <w:lang w:val="ro-RO"/>
        </w:rPr>
        <w:t xml:space="preserve"> ca BNM să nu fi ridicat </w:t>
      </w:r>
      <w:proofErr w:type="spellStart"/>
      <w:r w:rsidRPr="00C26A9B">
        <w:rPr>
          <w:rFonts w:ascii="Times New Roman" w:hAnsi="Times New Roman" w:cs="Times New Roman"/>
          <w:sz w:val="24"/>
          <w:szCs w:val="24"/>
          <w:lang w:val="ro-RO"/>
        </w:rPr>
        <w:t>obiecţii</w:t>
      </w:r>
      <w:proofErr w:type="spellEnd"/>
      <w:r w:rsidRPr="00C26A9B">
        <w:rPr>
          <w:rFonts w:ascii="Times New Roman" w:hAnsi="Times New Roman" w:cs="Times New Roman"/>
          <w:sz w:val="24"/>
          <w:szCs w:val="24"/>
          <w:lang w:val="ro-RO"/>
        </w:rPr>
        <w:t>, banca poate utiliza această abordare până când BNM o informează că nu i se mai permite să facă acest lucru.</w:t>
      </w:r>
    </w:p>
    <w:p w14:paraId="2464BF79" w14:textId="0F355AC3" w:rsidR="006A4204" w:rsidRPr="00C26A9B" w:rsidRDefault="006A4204" w:rsidP="006A4204">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 xml:space="preserve">110. O bancă care dorește să nu mai utilizeze abordarea prevăzută la pct.108 trebuie să notifice acest lucru BNM cu cel </w:t>
      </w:r>
      <w:proofErr w:type="spellStart"/>
      <w:r w:rsidRPr="00C26A9B">
        <w:rPr>
          <w:rFonts w:ascii="Times New Roman" w:hAnsi="Times New Roman" w:cs="Times New Roman"/>
          <w:sz w:val="24"/>
          <w:szCs w:val="24"/>
          <w:lang w:val="ro-RO"/>
        </w:rPr>
        <w:t>puţin</w:t>
      </w:r>
      <w:proofErr w:type="spellEnd"/>
      <w:r w:rsidRPr="00C26A9B">
        <w:rPr>
          <w:rFonts w:ascii="Times New Roman" w:hAnsi="Times New Roman" w:cs="Times New Roman"/>
          <w:sz w:val="24"/>
          <w:szCs w:val="24"/>
          <w:lang w:val="ro-RO"/>
        </w:rPr>
        <w:t xml:space="preserve"> trei luni înainte de încetarea utilizării. Banca poate înceta să aplice această abordare dacă BNM nu a ridicat </w:t>
      </w:r>
      <w:proofErr w:type="spellStart"/>
      <w:r w:rsidRPr="00C26A9B">
        <w:rPr>
          <w:rFonts w:ascii="Times New Roman" w:hAnsi="Times New Roman" w:cs="Times New Roman"/>
          <w:sz w:val="24"/>
          <w:szCs w:val="24"/>
          <w:lang w:val="ro-RO"/>
        </w:rPr>
        <w:t>obiecţii</w:t>
      </w:r>
      <w:proofErr w:type="spellEnd"/>
      <w:r w:rsidRPr="00C26A9B">
        <w:rPr>
          <w:rFonts w:ascii="Times New Roman" w:hAnsi="Times New Roman" w:cs="Times New Roman"/>
          <w:sz w:val="24"/>
          <w:szCs w:val="24"/>
          <w:lang w:val="ro-RO"/>
        </w:rPr>
        <w:t xml:space="preserve"> în acest termen de trei luni.</w:t>
      </w:r>
    </w:p>
    <w:p w14:paraId="58E906FB" w14:textId="0FD57661" w:rsidR="006A4204" w:rsidRPr="00CC1E9B" w:rsidRDefault="006A4204" w:rsidP="006A4204">
      <w:pPr>
        <w:rPr>
          <w:rFonts w:ascii="Times New Roman" w:hAnsi="Times New Roman" w:cs="Times New Roman"/>
          <w:b/>
          <w:bCs/>
          <w:i/>
          <w:iCs/>
          <w:sz w:val="24"/>
          <w:szCs w:val="24"/>
          <w:lang w:val="ro-RO"/>
        </w:rPr>
      </w:pPr>
      <w:r w:rsidRPr="00C451D2">
        <w:rPr>
          <w:rFonts w:ascii="Times New Roman" w:hAnsi="Times New Roman" w:cs="Times New Roman"/>
          <w:b/>
          <w:bCs/>
          <w:i/>
          <w:iCs/>
          <w:sz w:val="24"/>
          <w:szCs w:val="24"/>
          <w:lang w:val="ro-RO"/>
        </w:rPr>
        <w:t>Subsecţiunea</w:t>
      </w:r>
      <w:r w:rsidRPr="00C451D2" w:rsidDel="004B5222">
        <w:rPr>
          <w:rFonts w:ascii="Times New Roman" w:hAnsi="Times New Roman" w:cs="Times New Roman"/>
          <w:b/>
          <w:bCs/>
          <w:i/>
          <w:iCs/>
          <w:sz w:val="24"/>
          <w:szCs w:val="24"/>
          <w:lang w:val="ro-RO"/>
        </w:rPr>
        <w:t xml:space="preserve"> </w:t>
      </w:r>
      <w:r w:rsidRPr="00C451D2">
        <w:rPr>
          <w:rFonts w:ascii="Times New Roman" w:hAnsi="Times New Roman" w:cs="Times New Roman"/>
          <w:b/>
          <w:bCs/>
          <w:i/>
          <w:iCs/>
          <w:sz w:val="24"/>
          <w:szCs w:val="24"/>
          <w:lang w:val="ro-RO"/>
        </w:rPr>
        <w:t>3</w:t>
      </w:r>
      <w:r w:rsidRPr="00C451D2">
        <w:rPr>
          <w:rFonts w:ascii="Times New Roman" w:hAnsi="Times New Roman" w:cs="Times New Roman"/>
          <w:i/>
          <w:iCs/>
          <w:sz w:val="24"/>
          <w:szCs w:val="24"/>
          <w:lang w:val="ro-RO"/>
        </w:rPr>
        <w:t>.</w:t>
      </w:r>
      <w:r w:rsidRPr="00CC1E9B">
        <w:rPr>
          <w:rFonts w:ascii="Times New Roman" w:hAnsi="Times New Roman" w:cs="Times New Roman"/>
          <w:b/>
          <w:bCs/>
          <w:i/>
          <w:iCs/>
          <w:sz w:val="24"/>
          <w:szCs w:val="24"/>
          <w:lang w:val="ro-RO"/>
        </w:rPr>
        <w:t xml:space="preserve">Cerinţele de fonduri proprii pentru riscurile delta și </w:t>
      </w:r>
      <w:proofErr w:type="spellStart"/>
      <w:r w:rsidRPr="00CC1E9B">
        <w:rPr>
          <w:rFonts w:ascii="Times New Roman" w:hAnsi="Times New Roman" w:cs="Times New Roman"/>
          <w:b/>
          <w:bCs/>
          <w:i/>
          <w:iCs/>
          <w:sz w:val="24"/>
          <w:szCs w:val="24"/>
          <w:lang w:val="ro-RO"/>
        </w:rPr>
        <w:t>vega</w:t>
      </w:r>
      <w:proofErr w:type="spellEnd"/>
    </w:p>
    <w:p w14:paraId="3835E00B" w14:textId="512B7900" w:rsidR="00C27050" w:rsidRPr="00C26A9B" w:rsidRDefault="00C27050" w:rsidP="006A4204">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111. Băncile aplică factorii de risc delta și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descriși în </w:t>
      </w:r>
      <w:proofErr w:type="spellStart"/>
      <w:r w:rsidRPr="00C26A9B">
        <w:rPr>
          <w:rFonts w:ascii="Times New Roman" w:hAnsi="Times New Roman" w:cs="Times New Roman"/>
          <w:sz w:val="24"/>
          <w:szCs w:val="24"/>
          <w:lang w:val="ro-RO"/>
        </w:rPr>
        <w:t>secţiunea</w:t>
      </w:r>
      <w:proofErr w:type="spellEnd"/>
      <w:r w:rsidRPr="00C26A9B">
        <w:rPr>
          <w:rFonts w:ascii="Times New Roman" w:hAnsi="Times New Roman" w:cs="Times New Roman"/>
          <w:sz w:val="24"/>
          <w:szCs w:val="24"/>
          <w:lang w:val="ro-RO"/>
        </w:rPr>
        <w:t xml:space="preserve"> 3 </w:t>
      </w:r>
      <w:proofErr w:type="spellStart"/>
      <w:r w:rsidRPr="00C26A9B">
        <w:rPr>
          <w:rFonts w:ascii="Times New Roman" w:hAnsi="Times New Roman" w:cs="Times New Roman"/>
          <w:sz w:val="24"/>
          <w:szCs w:val="24"/>
          <w:lang w:val="ro-RO"/>
        </w:rPr>
        <w:t>subsecţiunea</w:t>
      </w:r>
      <w:proofErr w:type="spellEnd"/>
      <w:r w:rsidRPr="00C26A9B">
        <w:rPr>
          <w:rFonts w:ascii="Times New Roman" w:hAnsi="Times New Roman" w:cs="Times New Roman"/>
          <w:sz w:val="24"/>
          <w:szCs w:val="24"/>
          <w:lang w:val="ro-RO"/>
        </w:rPr>
        <w:t xml:space="preserve"> 1 pentru a calcula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pentru riscurile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și delta.</w:t>
      </w:r>
    </w:p>
    <w:p w14:paraId="063BD836" w14:textId="677430D0" w:rsidR="00C27050" w:rsidRPr="00C26A9B" w:rsidRDefault="00C27050" w:rsidP="006A4204">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112. Băncile aplică procesul prevăzut la </w:t>
      </w:r>
      <w:r w:rsidR="009F1B38" w:rsidRPr="009F1B38">
        <w:rPr>
          <w:rFonts w:ascii="Times New Roman" w:hAnsi="Times New Roman" w:cs="Times New Roman"/>
          <w:sz w:val="24"/>
          <w:szCs w:val="24"/>
          <w:lang w:val="ro-RO"/>
        </w:rPr>
        <w:t xml:space="preserve">pct.113-119 </w:t>
      </w:r>
      <w:r w:rsidRPr="00C26A9B">
        <w:rPr>
          <w:rFonts w:ascii="Times New Roman" w:hAnsi="Times New Roman" w:cs="Times New Roman"/>
          <w:sz w:val="24"/>
          <w:szCs w:val="24"/>
          <w:lang w:val="ro-RO"/>
        </w:rPr>
        <w:t xml:space="preserve"> pentru a calcula </w:t>
      </w:r>
      <w:proofErr w:type="spellStart"/>
      <w:r w:rsidRPr="00C26A9B">
        <w:rPr>
          <w:rFonts w:ascii="Times New Roman" w:hAnsi="Times New Roman" w:cs="Times New Roman"/>
          <w:sz w:val="24"/>
          <w:szCs w:val="24"/>
          <w:lang w:val="ro-RO"/>
        </w:rPr>
        <w:t>cerinţele</w:t>
      </w:r>
      <w:proofErr w:type="spellEnd"/>
      <w:r w:rsidRPr="00C26A9B">
        <w:rPr>
          <w:rFonts w:ascii="Times New Roman" w:hAnsi="Times New Roman" w:cs="Times New Roman"/>
          <w:sz w:val="24"/>
          <w:szCs w:val="24"/>
          <w:lang w:val="ro-RO"/>
        </w:rPr>
        <w:t xml:space="preserve"> de fonduri proprii pentru riscurile delta și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w:t>
      </w:r>
    </w:p>
    <w:p w14:paraId="3CA85B0B" w14:textId="21B9950E" w:rsidR="00F332D3" w:rsidRPr="00C26A9B" w:rsidRDefault="00F332D3" w:rsidP="006A4204">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113. Pentru fiecare clasă de risc, sensibilitatea tuturor instrumentelor care fac obiectul </w:t>
      </w:r>
      <w:proofErr w:type="spellStart"/>
      <w:r w:rsidRPr="00C26A9B">
        <w:rPr>
          <w:rFonts w:ascii="Times New Roman" w:hAnsi="Times New Roman" w:cs="Times New Roman"/>
          <w:sz w:val="24"/>
          <w:szCs w:val="24"/>
          <w:lang w:val="ro-RO"/>
        </w:rPr>
        <w:t>cerinţelor</w:t>
      </w:r>
      <w:proofErr w:type="spellEnd"/>
      <w:r w:rsidRPr="00C26A9B">
        <w:rPr>
          <w:rFonts w:ascii="Times New Roman" w:hAnsi="Times New Roman" w:cs="Times New Roman"/>
          <w:sz w:val="24"/>
          <w:szCs w:val="24"/>
          <w:lang w:val="ro-RO"/>
        </w:rPr>
        <w:t xml:space="preserve"> de fonduri proprii pentru riscurile delta sau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faţă</w:t>
      </w:r>
      <w:proofErr w:type="spellEnd"/>
      <w:r w:rsidRPr="00C26A9B">
        <w:rPr>
          <w:rFonts w:ascii="Times New Roman" w:hAnsi="Times New Roman" w:cs="Times New Roman"/>
          <w:sz w:val="24"/>
          <w:szCs w:val="24"/>
          <w:lang w:val="ro-RO"/>
        </w:rPr>
        <w:t xml:space="preserve"> de fiecare dintre factorii de risc delta sau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aplicabili incluși în clasa de risc respectivă se calculează utilizând formulele corespunzătoare din </w:t>
      </w:r>
      <w:proofErr w:type="spellStart"/>
      <w:r w:rsidRPr="00C26A9B">
        <w:rPr>
          <w:rFonts w:ascii="Times New Roman" w:hAnsi="Times New Roman" w:cs="Times New Roman"/>
          <w:sz w:val="24"/>
          <w:szCs w:val="24"/>
          <w:lang w:val="ro-RO"/>
        </w:rPr>
        <w:t>secţiunea</w:t>
      </w:r>
      <w:proofErr w:type="spellEnd"/>
      <w:r w:rsidRPr="00C26A9B">
        <w:rPr>
          <w:rFonts w:ascii="Times New Roman" w:hAnsi="Times New Roman" w:cs="Times New Roman"/>
          <w:sz w:val="24"/>
          <w:szCs w:val="24"/>
          <w:lang w:val="ro-RO"/>
        </w:rPr>
        <w:t xml:space="preserve"> 3 </w:t>
      </w:r>
      <w:proofErr w:type="spellStart"/>
      <w:r w:rsidRPr="00C26A9B">
        <w:rPr>
          <w:rFonts w:ascii="Times New Roman" w:hAnsi="Times New Roman" w:cs="Times New Roman"/>
          <w:sz w:val="24"/>
          <w:szCs w:val="24"/>
          <w:lang w:val="ro-RO"/>
        </w:rPr>
        <w:t>subsecţiunea</w:t>
      </w:r>
      <w:proofErr w:type="spellEnd"/>
      <w:r w:rsidRPr="00C26A9B">
        <w:rPr>
          <w:rFonts w:ascii="Times New Roman" w:hAnsi="Times New Roman" w:cs="Times New Roman"/>
          <w:sz w:val="24"/>
          <w:szCs w:val="24"/>
          <w:lang w:val="ro-RO"/>
        </w:rPr>
        <w:t xml:space="preserve"> 2. În cazul în care valoarea unui instrument depinde de mai </w:t>
      </w:r>
      <w:proofErr w:type="spellStart"/>
      <w:r w:rsidRPr="00C26A9B">
        <w:rPr>
          <w:rFonts w:ascii="Times New Roman" w:hAnsi="Times New Roman" w:cs="Times New Roman"/>
          <w:sz w:val="24"/>
          <w:szCs w:val="24"/>
          <w:lang w:val="ro-RO"/>
        </w:rPr>
        <w:t>mulţi</w:t>
      </w:r>
      <w:proofErr w:type="spellEnd"/>
      <w:r w:rsidRPr="00C26A9B">
        <w:rPr>
          <w:rFonts w:ascii="Times New Roman" w:hAnsi="Times New Roman" w:cs="Times New Roman"/>
          <w:sz w:val="24"/>
          <w:szCs w:val="24"/>
          <w:lang w:val="ro-RO"/>
        </w:rPr>
        <w:t xml:space="preserve"> factori de risc, sensibilitatea se determină separat pentru fiecare factor de risc.</w:t>
      </w:r>
    </w:p>
    <w:p w14:paraId="6991BD33" w14:textId="5212BB66" w:rsidR="00F332D3" w:rsidRPr="00C26A9B" w:rsidRDefault="00F332D3" w:rsidP="006A4204">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114. </w:t>
      </w:r>
      <w:proofErr w:type="spellStart"/>
      <w:r w:rsidRPr="00C26A9B">
        <w:rPr>
          <w:rFonts w:ascii="Times New Roman" w:hAnsi="Times New Roman" w:cs="Times New Roman"/>
          <w:sz w:val="24"/>
          <w:szCs w:val="24"/>
          <w:lang w:val="ro-RO"/>
        </w:rPr>
        <w:t>Sensibilităţile</w:t>
      </w:r>
      <w:proofErr w:type="spellEnd"/>
      <w:r w:rsidRPr="00C26A9B">
        <w:rPr>
          <w:rFonts w:ascii="Times New Roman" w:hAnsi="Times New Roman" w:cs="Times New Roman"/>
          <w:sz w:val="24"/>
          <w:szCs w:val="24"/>
          <w:lang w:val="ro-RO"/>
        </w:rPr>
        <w:t xml:space="preserve"> sunt încadrate într-una dintre benzile „b”</w:t>
      </w:r>
      <w:r w:rsidR="00E82B3E">
        <w:rPr>
          <w:rFonts w:ascii="Times New Roman" w:hAnsi="Times New Roman" w:cs="Times New Roman"/>
          <w:sz w:val="24"/>
          <w:szCs w:val="24"/>
          <w:lang w:val="ro-RO"/>
        </w:rPr>
        <w:t xml:space="preserve"> </w:t>
      </w:r>
      <w:r w:rsidRPr="00C26A9B">
        <w:rPr>
          <w:rFonts w:ascii="Times New Roman" w:hAnsi="Times New Roman" w:cs="Times New Roman"/>
          <w:sz w:val="24"/>
          <w:szCs w:val="24"/>
          <w:lang w:val="ro-RO"/>
        </w:rPr>
        <w:t>din cadrul fiecărei clase de risc.</w:t>
      </w:r>
    </w:p>
    <w:p w14:paraId="26A3DACB" w14:textId="481E3213" w:rsidR="009112A5" w:rsidRPr="00C26A9B" w:rsidRDefault="009112A5" w:rsidP="006A4204">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115. În fiecare bandă „b”, </w:t>
      </w:r>
      <w:proofErr w:type="spellStart"/>
      <w:r w:rsidRPr="00C26A9B">
        <w:rPr>
          <w:rFonts w:ascii="Times New Roman" w:hAnsi="Times New Roman" w:cs="Times New Roman"/>
          <w:sz w:val="24"/>
          <w:szCs w:val="24"/>
          <w:lang w:val="ro-RO"/>
        </w:rPr>
        <w:t>sensibilităţile</w:t>
      </w:r>
      <w:proofErr w:type="spellEnd"/>
      <w:r w:rsidRPr="00C26A9B">
        <w:rPr>
          <w:rFonts w:ascii="Times New Roman" w:hAnsi="Times New Roman" w:cs="Times New Roman"/>
          <w:sz w:val="24"/>
          <w:szCs w:val="24"/>
          <w:lang w:val="ro-RO"/>
        </w:rPr>
        <w:t xml:space="preserve"> pozitive și negative la același factor de risc se compensează, </w:t>
      </w:r>
      <w:proofErr w:type="spellStart"/>
      <w:r w:rsidRPr="00C26A9B">
        <w:rPr>
          <w:rFonts w:ascii="Times New Roman" w:hAnsi="Times New Roman" w:cs="Times New Roman"/>
          <w:sz w:val="24"/>
          <w:szCs w:val="24"/>
          <w:lang w:val="ro-RO"/>
        </w:rPr>
        <w:t>obţinându</w:t>
      </w:r>
      <w:proofErr w:type="spellEnd"/>
      <w:r w:rsidRPr="00C26A9B">
        <w:rPr>
          <w:rFonts w:ascii="Times New Roman" w:hAnsi="Times New Roman" w:cs="Times New Roman"/>
          <w:sz w:val="24"/>
          <w:szCs w:val="24"/>
          <w:lang w:val="ro-RO"/>
        </w:rPr>
        <w:t xml:space="preserve">-se </w:t>
      </w:r>
      <w:proofErr w:type="spellStart"/>
      <w:r w:rsidRPr="00C26A9B">
        <w:rPr>
          <w:rFonts w:ascii="Times New Roman" w:hAnsi="Times New Roman" w:cs="Times New Roman"/>
          <w:sz w:val="24"/>
          <w:szCs w:val="24"/>
          <w:lang w:val="ro-RO"/>
        </w:rPr>
        <w:t>sensibilităţile</w:t>
      </w:r>
      <w:proofErr w:type="spellEnd"/>
      <w:r w:rsidRPr="00C26A9B">
        <w:rPr>
          <w:rFonts w:ascii="Times New Roman" w:hAnsi="Times New Roman" w:cs="Times New Roman"/>
          <w:sz w:val="24"/>
          <w:szCs w:val="24"/>
          <w:lang w:val="ro-RO"/>
        </w:rPr>
        <w:t xml:space="preserve"> nete (s k ) la fiecare factor de risc „k” din cadrul unei benzi.</w:t>
      </w:r>
    </w:p>
    <w:p w14:paraId="7AEAFD02"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116. </w:t>
      </w:r>
      <w:proofErr w:type="spellStart"/>
      <w:r w:rsidRPr="00C26A9B">
        <w:rPr>
          <w:rFonts w:ascii="Times New Roman" w:hAnsi="Times New Roman" w:cs="Times New Roman"/>
          <w:sz w:val="24"/>
          <w:szCs w:val="24"/>
          <w:lang w:val="ro-RO"/>
        </w:rPr>
        <w:t>Sensibilităţile</w:t>
      </w:r>
      <w:proofErr w:type="spellEnd"/>
      <w:r w:rsidRPr="00C26A9B">
        <w:rPr>
          <w:rFonts w:ascii="Times New Roman" w:hAnsi="Times New Roman" w:cs="Times New Roman"/>
          <w:sz w:val="24"/>
          <w:szCs w:val="24"/>
          <w:lang w:val="ro-RO"/>
        </w:rPr>
        <w:t xml:space="preserve"> nete la fiecare factor de risc din fiecare bandă se </w:t>
      </w:r>
      <w:proofErr w:type="spellStart"/>
      <w:r w:rsidRPr="00C26A9B">
        <w:rPr>
          <w:rFonts w:ascii="Times New Roman" w:hAnsi="Times New Roman" w:cs="Times New Roman"/>
          <w:sz w:val="24"/>
          <w:szCs w:val="24"/>
          <w:lang w:val="ro-RO"/>
        </w:rPr>
        <w:t>înmulţesc</w:t>
      </w:r>
      <w:proofErr w:type="spellEnd"/>
      <w:r w:rsidRPr="00C26A9B">
        <w:rPr>
          <w:rFonts w:ascii="Times New Roman" w:hAnsi="Times New Roman" w:cs="Times New Roman"/>
          <w:sz w:val="24"/>
          <w:szCs w:val="24"/>
          <w:lang w:val="ro-RO"/>
        </w:rPr>
        <w:t xml:space="preserve"> cu ponderile de risc corespunzătoare prevăzute în </w:t>
      </w:r>
      <w:proofErr w:type="spellStart"/>
      <w:r w:rsidRPr="00C26A9B">
        <w:rPr>
          <w:rFonts w:ascii="Times New Roman" w:hAnsi="Times New Roman" w:cs="Times New Roman"/>
          <w:sz w:val="24"/>
          <w:szCs w:val="24"/>
          <w:lang w:val="ro-RO"/>
        </w:rPr>
        <w:t>secţiunea</w:t>
      </w:r>
      <w:proofErr w:type="spellEnd"/>
      <w:r w:rsidRPr="00C26A9B">
        <w:rPr>
          <w:rFonts w:ascii="Times New Roman" w:hAnsi="Times New Roman" w:cs="Times New Roman"/>
          <w:sz w:val="24"/>
          <w:szCs w:val="24"/>
          <w:lang w:val="ro-RO"/>
        </w:rPr>
        <w:t xml:space="preserve"> 6, </w:t>
      </w:r>
      <w:proofErr w:type="spellStart"/>
      <w:r w:rsidRPr="00C26A9B">
        <w:rPr>
          <w:rFonts w:ascii="Times New Roman" w:hAnsi="Times New Roman" w:cs="Times New Roman"/>
          <w:sz w:val="24"/>
          <w:szCs w:val="24"/>
          <w:lang w:val="ro-RO"/>
        </w:rPr>
        <w:t>obţinându</w:t>
      </w:r>
      <w:proofErr w:type="spellEnd"/>
      <w:r w:rsidRPr="00C26A9B">
        <w:rPr>
          <w:rFonts w:ascii="Times New Roman" w:hAnsi="Times New Roman" w:cs="Times New Roman"/>
          <w:sz w:val="24"/>
          <w:szCs w:val="24"/>
          <w:lang w:val="ro-RO"/>
        </w:rPr>
        <w:t xml:space="preserve">-se </w:t>
      </w:r>
      <w:proofErr w:type="spellStart"/>
      <w:r w:rsidRPr="00C26A9B">
        <w:rPr>
          <w:rFonts w:ascii="Times New Roman" w:hAnsi="Times New Roman" w:cs="Times New Roman"/>
          <w:sz w:val="24"/>
          <w:szCs w:val="24"/>
          <w:lang w:val="ro-RO"/>
        </w:rPr>
        <w:t>sensibilităţile</w:t>
      </w:r>
      <w:proofErr w:type="spellEnd"/>
      <w:r w:rsidRPr="00C26A9B">
        <w:rPr>
          <w:rFonts w:ascii="Times New Roman" w:hAnsi="Times New Roman" w:cs="Times New Roman"/>
          <w:sz w:val="24"/>
          <w:szCs w:val="24"/>
          <w:lang w:val="ro-RO"/>
        </w:rPr>
        <w:t xml:space="preserve"> ponderate la fiecare factor de risc din cadrul benzii respective în conformitate cu următoarea formulă:</w:t>
      </w:r>
    </w:p>
    <w:p w14:paraId="23F92FA3" w14:textId="77777777" w:rsidR="009112A5" w:rsidRPr="00C26A9B" w:rsidRDefault="009112A5" w:rsidP="009112A5">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k</w:t>
      </w:r>
      <w:proofErr w:type="spellEnd"/>
      <w:r w:rsidRPr="00C26A9B">
        <w:rPr>
          <w:rFonts w:ascii="Times New Roman" w:hAnsi="Times New Roman" w:cs="Times New Roman"/>
          <w:sz w:val="24"/>
          <w:szCs w:val="24"/>
          <w:lang w:val="ro-RO"/>
        </w:rPr>
        <w:t xml:space="preserve"> = </w:t>
      </w:r>
      <w:proofErr w:type="spellStart"/>
      <w:r w:rsidRPr="00C26A9B">
        <w:rPr>
          <w:rFonts w:ascii="Times New Roman" w:hAnsi="Times New Roman" w:cs="Times New Roman"/>
          <w:sz w:val="24"/>
          <w:szCs w:val="24"/>
          <w:lang w:val="ro-RO"/>
        </w:rPr>
        <w:t>RW</w:t>
      </w:r>
      <w:r w:rsidRPr="00C26A9B">
        <w:rPr>
          <w:rFonts w:ascii="Times New Roman" w:hAnsi="Times New Roman" w:cs="Times New Roman"/>
          <w:sz w:val="24"/>
          <w:szCs w:val="24"/>
          <w:vertAlign w:val="subscript"/>
          <w:lang w:val="ro-RO"/>
        </w:rPr>
        <w:t>k</w:t>
      </w:r>
      <w:proofErr w:type="spellEnd"/>
      <w:r w:rsidRPr="00C26A9B">
        <w:rPr>
          <w:rFonts w:ascii="Times New Roman" w:hAnsi="Times New Roman" w:cs="Times New Roman"/>
          <w:sz w:val="24"/>
          <w:szCs w:val="24"/>
          <w:lang w:val="ro-RO"/>
        </w:rPr>
        <w:t xml:space="preserve"> · </w:t>
      </w:r>
      <w:proofErr w:type="spellStart"/>
      <w:r w:rsidRPr="00C26A9B">
        <w:rPr>
          <w:rFonts w:ascii="Times New Roman" w:hAnsi="Times New Roman" w:cs="Times New Roman"/>
          <w:sz w:val="24"/>
          <w:szCs w:val="24"/>
          <w:lang w:val="ro-RO"/>
        </w:rPr>
        <w:t>s</w:t>
      </w:r>
      <w:r w:rsidRPr="00C26A9B">
        <w:rPr>
          <w:rFonts w:ascii="Times New Roman" w:hAnsi="Times New Roman" w:cs="Times New Roman"/>
          <w:sz w:val="24"/>
          <w:szCs w:val="24"/>
          <w:vertAlign w:val="subscript"/>
          <w:lang w:val="ro-RO"/>
        </w:rPr>
        <w:t>k</w:t>
      </w:r>
      <w:proofErr w:type="spellEnd"/>
    </w:p>
    <w:p w14:paraId="29A54813"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tbl>
      <w:tblPr>
        <w:tblW w:w="5000" w:type="pct"/>
        <w:tblLayout w:type="fixed"/>
        <w:tblCellMar>
          <w:left w:w="0" w:type="dxa"/>
          <w:right w:w="0" w:type="dxa"/>
        </w:tblCellMar>
        <w:tblLook w:val="04A0" w:firstRow="1" w:lastRow="0" w:firstColumn="1" w:lastColumn="0" w:noHBand="0" w:noVBand="1"/>
      </w:tblPr>
      <w:tblGrid>
        <w:gridCol w:w="1349"/>
        <w:gridCol w:w="450"/>
        <w:gridCol w:w="8667"/>
      </w:tblGrid>
      <w:tr w:rsidR="009112A5" w:rsidRPr="00C26A9B" w14:paraId="09848D92" w14:textId="77777777" w:rsidTr="00D0779B">
        <w:tc>
          <w:tcPr>
            <w:tcW w:w="1248" w:type="dxa"/>
            <w:hideMark/>
          </w:tcPr>
          <w:p w14:paraId="44CABBCC" w14:textId="77777777" w:rsidR="009112A5" w:rsidRPr="00C26A9B" w:rsidRDefault="009112A5" w:rsidP="009112A5">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k</w:t>
            </w:r>
            <w:proofErr w:type="spellEnd"/>
          </w:p>
        </w:tc>
        <w:tc>
          <w:tcPr>
            <w:tcW w:w="417" w:type="dxa"/>
            <w:hideMark/>
          </w:tcPr>
          <w:p w14:paraId="3093521C"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024" w:type="dxa"/>
            <w:hideMark/>
          </w:tcPr>
          <w:p w14:paraId="1EC1BD36"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sz w:val="24"/>
                <w:szCs w:val="24"/>
                <w:lang w:val="ro-RO"/>
              </w:rPr>
              <w:t>sensibilitățile ponderate;</w:t>
            </w:r>
          </w:p>
        </w:tc>
      </w:tr>
    </w:tbl>
    <w:p w14:paraId="3D37E26C" w14:textId="77777777" w:rsidR="009112A5" w:rsidRPr="00C26A9B" w:rsidRDefault="009112A5" w:rsidP="009112A5">
      <w:pPr>
        <w:rPr>
          <w:rFonts w:ascii="Times New Roman" w:hAnsi="Times New Roman" w:cs="Times New Roman"/>
          <w:vanish/>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1743"/>
        <w:gridCol w:w="541"/>
        <w:gridCol w:w="8182"/>
      </w:tblGrid>
      <w:tr w:rsidR="009112A5" w:rsidRPr="00C26A9B" w14:paraId="1A5DEB6A" w14:textId="77777777" w:rsidTr="00D0779B">
        <w:tc>
          <w:tcPr>
            <w:tcW w:w="1613" w:type="dxa"/>
            <w:hideMark/>
          </w:tcPr>
          <w:p w14:paraId="23F60E8C" w14:textId="77777777" w:rsidR="009112A5" w:rsidRPr="00C26A9B" w:rsidRDefault="009112A5" w:rsidP="009112A5">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RW</w:t>
            </w:r>
            <w:r w:rsidRPr="00C26A9B">
              <w:rPr>
                <w:rFonts w:ascii="Times New Roman" w:hAnsi="Times New Roman" w:cs="Times New Roman"/>
                <w:sz w:val="24"/>
                <w:szCs w:val="24"/>
                <w:vertAlign w:val="subscript"/>
                <w:lang w:val="ro-RO"/>
              </w:rPr>
              <w:t>k</w:t>
            </w:r>
            <w:proofErr w:type="spellEnd"/>
          </w:p>
        </w:tc>
        <w:tc>
          <w:tcPr>
            <w:tcW w:w="501" w:type="dxa"/>
            <w:hideMark/>
          </w:tcPr>
          <w:p w14:paraId="3198C503"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7575" w:type="dxa"/>
            <w:hideMark/>
          </w:tcPr>
          <w:p w14:paraId="4CCAC7C0"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sz w:val="24"/>
                <w:szCs w:val="24"/>
                <w:lang w:val="ro-RO"/>
              </w:rPr>
              <w:t>ponderile de risc; și</w:t>
            </w:r>
          </w:p>
        </w:tc>
      </w:tr>
    </w:tbl>
    <w:p w14:paraId="201D131B" w14:textId="77777777" w:rsidR="009112A5" w:rsidRPr="00C26A9B" w:rsidRDefault="009112A5" w:rsidP="009112A5">
      <w:pPr>
        <w:rPr>
          <w:rFonts w:ascii="Times New Roman" w:hAnsi="Times New Roman" w:cs="Times New Roman"/>
          <w:vanish/>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931"/>
        <w:gridCol w:w="770"/>
        <w:gridCol w:w="8765"/>
      </w:tblGrid>
      <w:tr w:rsidR="009112A5" w:rsidRPr="00C26A9B" w14:paraId="249BE6C5" w14:textId="77777777" w:rsidTr="009112A5">
        <w:tc>
          <w:tcPr>
            <w:tcW w:w="832" w:type="dxa"/>
            <w:hideMark/>
          </w:tcPr>
          <w:p w14:paraId="1672C53C" w14:textId="77777777" w:rsidR="009112A5" w:rsidRPr="00C26A9B" w:rsidRDefault="009112A5" w:rsidP="009112A5">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s</w:t>
            </w:r>
            <w:r w:rsidRPr="00C26A9B">
              <w:rPr>
                <w:rFonts w:ascii="Times New Roman" w:hAnsi="Times New Roman" w:cs="Times New Roman"/>
                <w:sz w:val="24"/>
                <w:szCs w:val="24"/>
                <w:vertAlign w:val="subscript"/>
                <w:lang w:val="ro-RO"/>
              </w:rPr>
              <w:t>k</w:t>
            </w:r>
            <w:proofErr w:type="spellEnd"/>
          </w:p>
        </w:tc>
        <w:tc>
          <w:tcPr>
            <w:tcW w:w="688" w:type="dxa"/>
            <w:hideMark/>
          </w:tcPr>
          <w:p w14:paraId="4C053AC8"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7835" w:type="dxa"/>
            <w:hideMark/>
          </w:tcPr>
          <w:p w14:paraId="7FACD608"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sz w:val="24"/>
                <w:szCs w:val="24"/>
                <w:lang w:val="ro-RO"/>
              </w:rPr>
              <w:t>factorii de risc.</w:t>
            </w:r>
          </w:p>
        </w:tc>
      </w:tr>
    </w:tbl>
    <w:p w14:paraId="7FDF26B9"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sz w:val="24"/>
          <w:szCs w:val="24"/>
          <w:lang w:val="ro-RO"/>
        </w:rPr>
        <w:t>117.   Sensibilitățile ponderate la diferiții factori de risc din cadrul fiecărei benzi sunt agregate în conformitate cu formula de mai jos, unde cantitatea din funcția de rădăcină pătrată are un prag de zero, obținându-se sensibilitatea specifică benzii. Se utilizează corelațiile corespunzătoare pentru sensibilitățile ponderate din cadrul aceleiași benzi (</w:t>
      </w: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prevăzute în secțiunea 6.</w:t>
      </w:r>
    </w:p>
    <w:p w14:paraId="2EDD8038"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3300DA78" wp14:editId="42C9FBBE">
            <wp:extent cx="3055620" cy="608330"/>
            <wp:effectExtent l="0" t="0" r="0" b="1270"/>
            <wp:docPr id="126" name="Picture 1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5620" cy="608330"/>
                    </a:xfrm>
                    <a:prstGeom prst="rect">
                      <a:avLst/>
                    </a:prstGeom>
                    <a:noFill/>
                    <a:ln>
                      <a:noFill/>
                    </a:ln>
                  </pic:spPr>
                </pic:pic>
              </a:graphicData>
            </a:graphic>
          </wp:inline>
        </w:drawing>
      </w:r>
    </w:p>
    <w:p w14:paraId="028CA550"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tbl>
      <w:tblPr>
        <w:tblW w:w="5000" w:type="pct"/>
        <w:tblLayout w:type="fixed"/>
        <w:tblCellMar>
          <w:left w:w="0" w:type="dxa"/>
          <w:right w:w="0" w:type="dxa"/>
        </w:tblCellMar>
        <w:tblLook w:val="04A0" w:firstRow="1" w:lastRow="0" w:firstColumn="1" w:lastColumn="0" w:noHBand="0" w:noVBand="1"/>
      </w:tblPr>
      <w:tblGrid>
        <w:gridCol w:w="613"/>
        <w:gridCol w:w="385"/>
        <w:gridCol w:w="9468"/>
      </w:tblGrid>
      <w:tr w:rsidR="009112A5" w:rsidRPr="00C26A9B" w14:paraId="05FBA5DD" w14:textId="77777777" w:rsidTr="00D0779B">
        <w:tc>
          <w:tcPr>
            <w:tcW w:w="568" w:type="dxa"/>
            <w:hideMark/>
          </w:tcPr>
          <w:p w14:paraId="68AE8DAE" w14:textId="77777777" w:rsidR="009112A5" w:rsidRPr="00C26A9B" w:rsidRDefault="009112A5" w:rsidP="009112A5">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K</w:t>
            </w:r>
            <w:r w:rsidRPr="00C26A9B">
              <w:rPr>
                <w:rFonts w:ascii="Times New Roman" w:hAnsi="Times New Roman" w:cs="Times New Roman"/>
                <w:sz w:val="24"/>
                <w:szCs w:val="24"/>
                <w:vertAlign w:val="subscript"/>
                <w:lang w:val="ro-RO"/>
              </w:rPr>
              <w:t>b</w:t>
            </w:r>
            <w:proofErr w:type="spellEnd"/>
          </w:p>
        </w:tc>
        <w:tc>
          <w:tcPr>
            <w:tcW w:w="356" w:type="dxa"/>
            <w:hideMark/>
          </w:tcPr>
          <w:p w14:paraId="0B7E3F15"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765" w:type="dxa"/>
            <w:hideMark/>
          </w:tcPr>
          <w:p w14:paraId="0546BE35"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sz w:val="24"/>
                <w:szCs w:val="24"/>
                <w:lang w:val="ro-RO"/>
              </w:rPr>
              <w:t>sensibilitatea specifică benzii; și</w:t>
            </w:r>
          </w:p>
        </w:tc>
      </w:tr>
    </w:tbl>
    <w:p w14:paraId="2216C204" w14:textId="77777777" w:rsidR="009112A5" w:rsidRPr="00C26A9B" w:rsidRDefault="009112A5" w:rsidP="009112A5">
      <w:pPr>
        <w:rPr>
          <w:rFonts w:ascii="Times New Roman" w:hAnsi="Times New Roman" w:cs="Times New Roman"/>
          <w:vanish/>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1183"/>
        <w:gridCol w:w="462"/>
        <w:gridCol w:w="8821"/>
      </w:tblGrid>
      <w:tr w:rsidR="009112A5" w:rsidRPr="00C26A9B" w14:paraId="5CDD5B35" w14:textId="77777777" w:rsidTr="009112A5">
        <w:tc>
          <w:tcPr>
            <w:tcW w:w="1057" w:type="dxa"/>
            <w:hideMark/>
          </w:tcPr>
          <w:p w14:paraId="5E1DC5CE"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sz w:val="24"/>
                <w:szCs w:val="24"/>
                <w:lang w:val="ro-RO"/>
              </w:rPr>
              <w:t>WS</w:t>
            </w:r>
          </w:p>
        </w:tc>
        <w:tc>
          <w:tcPr>
            <w:tcW w:w="413" w:type="dxa"/>
            <w:hideMark/>
          </w:tcPr>
          <w:p w14:paraId="373A4C13"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7885" w:type="dxa"/>
            <w:hideMark/>
          </w:tcPr>
          <w:p w14:paraId="52853F61"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sz w:val="24"/>
                <w:szCs w:val="24"/>
                <w:lang w:val="ro-RO"/>
              </w:rPr>
              <w:t>sensibilitățile ponderate.</w:t>
            </w:r>
          </w:p>
        </w:tc>
      </w:tr>
    </w:tbl>
    <w:p w14:paraId="35F3364A"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118. Sensibilitatea specifică benzii se calculează pentru fiecare bandă din cadrul unei clase de risc în conformitate cu pct.115, 116 și 117. După ce sensibilitatea specifică benzii a fost calculată în cazul tuturor benzilor, sensibilitățile ponderate la toți factorii de risc din toate benzile sunt agregate în conformitate cu formula de mai jos, utilizând corelațiile corespunzătoare </w:t>
      </w:r>
      <w:proofErr w:type="spellStart"/>
      <w:r w:rsidRPr="00C26A9B">
        <w:rPr>
          <w:rFonts w:ascii="Times New Roman" w:hAnsi="Times New Roman" w:cs="Times New Roman"/>
          <w:sz w:val="24"/>
          <w:szCs w:val="24"/>
          <w:lang w:val="ro-RO"/>
        </w:rPr>
        <w:t>γ</w:t>
      </w:r>
      <w:r w:rsidRPr="00C26A9B">
        <w:rPr>
          <w:rFonts w:ascii="Times New Roman" w:hAnsi="Times New Roman" w:cs="Times New Roman"/>
          <w:sz w:val="24"/>
          <w:szCs w:val="24"/>
          <w:vertAlign w:val="subscript"/>
          <w:lang w:val="ro-RO"/>
        </w:rPr>
        <w:t>bc</w:t>
      </w:r>
      <w:proofErr w:type="spellEnd"/>
      <w:r w:rsidRPr="00C26A9B">
        <w:rPr>
          <w:rFonts w:ascii="Times New Roman" w:hAnsi="Times New Roman" w:cs="Times New Roman"/>
          <w:sz w:val="24"/>
          <w:szCs w:val="24"/>
          <w:lang w:val="ro-RO"/>
        </w:rPr>
        <w:t xml:space="preserve"> pentru sensibilitățile ponderate din diferitele benzi prevăzute în secțiunea 6, obținându-se cerința de fonduri proprii specifică unei clase de risc pentru riscul delta sau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w:t>
      </w:r>
    </w:p>
    <w:p w14:paraId="4E768834"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lastRenderedPageBreak/>
        <w:drawing>
          <wp:inline distT="0" distB="0" distL="0" distR="0" wp14:anchorId="05FB484F" wp14:editId="6906F870">
            <wp:extent cx="5104738" cy="580325"/>
            <wp:effectExtent l="0" t="0" r="1270" b="0"/>
            <wp:docPr id="127" name="Picture 12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31997" cy="594792"/>
                    </a:xfrm>
                    <a:prstGeom prst="rect">
                      <a:avLst/>
                    </a:prstGeom>
                    <a:noFill/>
                    <a:ln>
                      <a:noFill/>
                    </a:ln>
                  </pic:spPr>
                </pic:pic>
              </a:graphicData>
            </a:graphic>
          </wp:inline>
        </w:drawing>
      </w:r>
    </w:p>
    <w:p w14:paraId="176234A5" w14:textId="7F8E048E" w:rsidR="009112A5" w:rsidRPr="00C26A9B" w:rsidRDefault="009112A5" w:rsidP="009112A5">
      <w:pPr>
        <w:rPr>
          <w:rFonts w:ascii="Times New Roman" w:hAnsi="Times New Roman" w:cs="Times New Roman"/>
          <w:b/>
          <w:bCs/>
          <w:sz w:val="24"/>
          <w:szCs w:val="24"/>
          <w:lang w:val="ro-RO"/>
        </w:rPr>
      </w:pPr>
      <w:r w:rsidRPr="00C26A9B">
        <w:rPr>
          <w:rFonts w:ascii="Times New Roman" w:hAnsi="Times New Roman" w:cs="Times New Roman"/>
          <w:sz w:val="24"/>
          <w:szCs w:val="24"/>
          <w:lang w:val="ro-RO"/>
        </w:rPr>
        <w:t>unde:</w:t>
      </w:r>
    </w:p>
    <w:tbl>
      <w:tblPr>
        <w:tblW w:w="5124" w:type="pct"/>
        <w:tblLayout w:type="fixed"/>
        <w:tblCellMar>
          <w:left w:w="0" w:type="dxa"/>
          <w:right w:w="0" w:type="dxa"/>
        </w:tblCellMar>
        <w:tblLook w:val="04A0" w:firstRow="1" w:lastRow="0" w:firstColumn="1" w:lastColumn="0" w:noHBand="0" w:noVBand="1"/>
      </w:tblPr>
      <w:tblGrid>
        <w:gridCol w:w="318"/>
        <w:gridCol w:w="281"/>
        <w:gridCol w:w="10127"/>
      </w:tblGrid>
      <w:tr w:rsidR="009112A5" w:rsidRPr="00C26A9B" w14:paraId="676CFADF" w14:textId="77777777" w:rsidTr="00550378">
        <w:tc>
          <w:tcPr>
            <w:tcW w:w="284" w:type="dxa"/>
            <w:hideMark/>
          </w:tcPr>
          <w:p w14:paraId="2D8A4B93"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sz w:val="24"/>
                <w:szCs w:val="24"/>
                <w:lang w:val="ro-RO"/>
              </w:rPr>
              <w:t>S</w:t>
            </w:r>
            <w:r w:rsidRPr="00C26A9B">
              <w:rPr>
                <w:rFonts w:ascii="Times New Roman" w:hAnsi="Times New Roman" w:cs="Times New Roman"/>
                <w:sz w:val="24"/>
                <w:szCs w:val="24"/>
                <w:vertAlign w:val="subscript"/>
                <w:lang w:val="ro-RO"/>
              </w:rPr>
              <w:t>b</w:t>
            </w:r>
          </w:p>
        </w:tc>
        <w:tc>
          <w:tcPr>
            <w:tcW w:w="251" w:type="dxa"/>
            <w:hideMark/>
          </w:tcPr>
          <w:p w14:paraId="2D8211A2"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9052" w:type="dxa"/>
            <w:hideMark/>
          </w:tcPr>
          <w:p w14:paraId="71EB3569" w14:textId="77777777" w:rsidR="009112A5" w:rsidRPr="00C26A9B" w:rsidRDefault="009112A5" w:rsidP="009112A5">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Σ</w:t>
            </w:r>
            <w:r w:rsidRPr="00C26A9B">
              <w:rPr>
                <w:rFonts w:ascii="Times New Roman" w:hAnsi="Times New Roman" w:cs="Times New Roman"/>
                <w:sz w:val="24"/>
                <w:szCs w:val="24"/>
                <w:vertAlign w:val="subscript"/>
                <w:lang w:val="ro-RO"/>
              </w:rPr>
              <w:t>k</w:t>
            </w:r>
            <w:proofErr w:type="spellEnd"/>
            <w:r w:rsidRPr="00C26A9B">
              <w:rPr>
                <w:rFonts w:ascii="Times New Roman" w:hAnsi="Times New Roman" w:cs="Times New Roman"/>
                <w:sz w:val="24"/>
                <w:szCs w:val="24"/>
                <w:lang w:val="ro-RO"/>
              </w:rPr>
              <w:t> </w:t>
            </w:r>
            <w:proofErr w:type="spellStart"/>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k</w:t>
            </w:r>
            <w:proofErr w:type="spellEnd"/>
            <w:r w:rsidRPr="00C26A9B">
              <w:rPr>
                <w:rFonts w:ascii="Times New Roman" w:hAnsi="Times New Roman" w:cs="Times New Roman"/>
                <w:sz w:val="24"/>
                <w:szCs w:val="24"/>
                <w:lang w:val="ro-RO"/>
              </w:rPr>
              <w:t> pentru toți factorii de risc din banda b și S</w:t>
            </w:r>
            <w:r w:rsidRPr="00C26A9B">
              <w:rPr>
                <w:rFonts w:ascii="Times New Roman" w:hAnsi="Times New Roman" w:cs="Times New Roman"/>
                <w:sz w:val="24"/>
                <w:szCs w:val="24"/>
                <w:vertAlign w:val="subscript"/>
                <w:lang w:val="ro-RO"/>
              </w:rPr>
              <w:t>c</w:t>
            </w:r>
            <w:r w:rsidRPr="00C26A9B">
              <w:rPr>
                <w:rFonts w:ascii="Times New Roman" w:hAnsi="Times New Roman" w:cs="Times New Roman"/>
                <w:sz w:val="24"/>
                <w:szCs w:val="24"/>
                <w:lang w:val="ro-RO"/>
              </w:rPr>
              <w:t xml:space="preserve"> = </w:t>
            </w:r>
            <w:proofErr w:type="spellStart"/>
            <w:r w:rsidRPr="00C26A9B">
              <w:rPr>
                <w:rFonts w:ascii="Times New Roman" w:hAnsi="Times New Roman" w:cs="Times New Roman"/>
                <w:sz w:val="24"/>
                <w:szCs w:val="24"/>
                <w:lang w:val="ro-RO"/>
              </w:rPr>
              <w:t>Σ</w:t>
            </w:r>
            <w:r w:rsidRPr="00C26A9B">
              <w:rPr>
                <w:rFonts w:ascii="Times New Roman" w:hAnsi="Times New Roman" w:cs="Times New Roman"/>
                <w:sz w:val="24"/>
                <w:szCs w:val="24"/>
                <w:vertAlign w:val="subscript"/>
                <w:lang w:val="ro-RO"/>
              </w:rPr>
              <w:t>k</w:t>
            </w:r>
            <w:proofErr w:type="spellEnd"/>
            <w:r w:rsidRPr="00C26A9B">
              <w:rPr>
                <w:rFonts w:ascii="Times New Roman" w:hAnsi="Times New Roman" w:cs="Times New Roman"/>
                <w:sz w:val="24"/>
                <w:szCs w:val="24"/>
                <w:lang w:val="ro-RO"/>
              </w:rPr>
              <w:t> </w:t>
            </w:r>
            <w:proofErr w:type="spellStart"/>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k</w:t>
            </w:r>
            <w:proofErr w:type="spellEnd"/>
            <w:r w:rsidRPr="00C26A9B">
              <w:rPr>
                <w:rFonts w:ascii="Times New Roman" w:hAnsi="Times New Roman" w:cs="Times New Roman"/>
                <w:sz w:val="24"/>
                <w:szCs w:val="24"/>
                <w:lang w:val="ro-RO"/>
              </w:rPr>
              <w:t> pentru toți factorii de risc din banda c; în cazul în care valorile respective pentru S</w:t>
            </w:r>
            <w:r w:rsidRPr="00C26A9B">
              <w:rPr>
                <w:rFonts w:ascii="Times New Roman" w:hAnsi="Times New Roman" w:cs="Times New Roman"/>
                <w:sz w:val="24"/>
                <w:szCs w:val="24"/>
                <w:vertAlign w:val="subscript"/>
                <w:lang w:val="ro-RO"/>
              </w:rPr>
              <w:t>b</w:t>
            </w:r>
            <w:r w:rsidRPr="00C26A9B">
              <w:rPr>
                <w:rFonts w:ascii="Times New Roman" w:hAnsi="Times New Roman" w:cs="Times New Roman"/>
                <w:sz w:val="24"/>
                <w:szCs w:val="24"/>
                <w:lang w:val="ro-RO"/>
              </w:rPr>
              <w:t> și S</w:t>
            </w:r>
            <w:r w:rsidRPr="00C26A9B">
              <w:rPr>
                <w:rFonts w:ascii="Times New Roman" w:hAnsi="Times New Roman" w:cs="Times New Roman"/>
                <w:sz w:val="24"/>
                <w:szCs w:val="24"/>
                <w:vertAlign w:val="subscript"/>
                <w:lang w:val="ro-RO"/>
              </w:rPr>
              <w:t>c</w:t>
            </w:r>
            <w:r w:rsidRPr="00C26A9B">
              <w:rPr>
                <w:rFonts w:ascii="Times New Roman" w:hAnsi="Times New Roman" w:cs="Times New Roman"/>
                <w:sz w:val="24"/>
                <w:szCs w:val="24"/>
                <w:lang w:val="ro-RO"/>
              </w:rPr>
              <w:t> conduc la un număr negativ al sumei globale dintre </w:t>
            </w:r>
            <w:r w:rsidRPr="00C26A9B">
              <w:rPr>
                <w:rFonts w:ascii="Times New Roman" w:hAnsi="Times New Roman" w:cs="Times New Roman"/>
                <w:noProof/>
                <w:sz w:val="24"/>
                <w:szCs w:val="24"/>
                <w:lang w:val="ro-RO"/>
              </w:rPr>
              <w:drawing>
                <wp:inline distT="0" distB="0" distL="0" distR="0" wp14:anchorId="08573E38" wp14:editId="15FA99B4">
                  <wp:extent cx="1308100" cy="330200"/>
                  <wp:effectExtent l="0" t="0" r="6350" b="0"/>
                  <wp:docPr id="128" name="Picture 12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8100" cy="330200"/>
                          </a:xfrm>
                          <a:prstGeom prst="rect">
                            <a:avLst/>
                          </a:prstGeom>
                          <a:noFill/>
                          <a:ln>
                            <a:noFill/>
                          </a:ln>
                        </pic:spPr>
                      </pic:pic>
                    </a:graphicData>
                  </a:graphic>
                </wp:inline>
              </w:drawing>
            </w:r>
            <w:r w:rsidRPr="00C26A9B">
              <w:rPr>
                <w:rFonts w:ascii="Times New Roman" w:hAnsi="Times New Roman" w:cs="Times New Roman"/>
                <w:sz w:val="24"/>
                <w:szCs w:val="24"/>
                <w:lang w:val="ro-RO"/>
              </w:rPr>
              <w:t xml:space="preserve"> banca calculează cerințele de fonduri proprii specifice unei clase de risc pentru riscul delta sau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utilizând o metodă alternativă în care</w:t>
            </w:r>
          </w:p>
        </w:tc>
      </w:tr>
    </w:tbl>
    <w:p w14:paraId="5AE1356C" w14:textId="77777777" w:rsidR="009112A5" w:rsidRPr="00C26A9B" w:rsidRDefault="009112A5" w:rsidP="009112A5">
      <w:pPr>
        <w:rPr>
          <w:rFonts w:ascii="Times New Roman" w:hAnsi="Times New Roman" w:cs="Times New Roman"/>
          <w:b/>
          <w:bCs/>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263"/>
        <w:gridCol w:w="194"/>
        <w:gridCol w:w="10009"/>
      </w:tblGrid>
      <w:tr w:rsidR="009112A5" w:rsidRPr="00C26A9B" w14:paraId="2AE0EB3A" w14:textId="77777777" w:rsidTr="00D0779B">
        <w:tc>
          <w:tcPr>
            <w:tcW w:w="243" w:type="dxa"/>
            <w:hideMark/>
          </w:tcPr>
          <w:p w14:paraId="0CCB461B"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sz w:val="24"/>
                <w:szCs w:val="24"/>
                <w:lang w:val="ro-RO"/>
              </w:rPr>
              <w:t>S</w:t>
            </w:r>
            <w:r w:rsidRPr="00C26A9B">
              <w:rPr>
                <w:rFonts w:ascii="Times New Roman" w:hAnsi="Times New Roman" w:cs="Times New Roman"/>
                <w:sz w:val="24"/>
                <w:szCs w:val="24"/>
                <w:vertAlign w:val="subscript"/>
                <w:lang w:val="ro-RO"/>
              </w:rPr>
              <w:t>b</w:t>
            </w:r>
          </w:p>
        </w:tc>
        <w:tc>
          <w:tcPr>
            <w:tcW w:w="180" w:type="dxa"/>
            <w:hideMark/>
          </w:tcPr>
          <w:p w14:paraId="6D4D336D"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9266" w:type="dxa"/>
            <w:hideMark/>
          </w:tcPr>
          <w:p w14:paraId="45BAD096" w14:textId="77777777" w:rsidR="009112A5" w:rsidRPr="00C26A9B" w:rsidRDefault="009112A5" w:rsidP="009112A5">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max</w:t>
            </w:r>
            <w:proofErr w:type="spellEnd"/>
            <w:r w:rsidRPr="00C26A9B">
              <w:rPr>
                <w:rFonts w:ascii="Times New Roman" w:hAnsi="Times New Roman" w:cs="Times New Roman"/>
                <w:sz w:val="24"/>
                <w:szCs w:val="24"/>
                <w:lang w:val="ro-RO"/>
              </w:rPr>
              <w:t xml:space="preserve"> [min (</w:t>
            </w:r>
            <w:proofErr w:type="spellStart"/>
            <w:r w:rsidRPr="00C26A9B">
              <w:rPr>
                <w:rFonts w:ascii="Times New Roman" w:hAnsi="Times New Roman" w:cs="Times New Roman"/>
                <w:sz w:val="24"/>
                <w:szCs w:val="24"/>
                <w:lang w:val="ro-RO"/>
              </w:rPr>
              <w:t>Σ</w:t>
            </w:r>
            <w:r w:rsidRPr="00C26A9B">
              <w:rPr>
                <w:rFonts w:ascii="Times New Roman" w:hAnsi="Times New Roman" w:cs="Times New Roman"/>
                <w:sz w:val="24"/>
                <w:szCs w:val="24"/>
                <w:vertAlign w:val="subscript"/>
                <w:lang w:val="ro-RO"/>
              </w:rPr>
              <w:t>k</w:t>
            </w:r>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k</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K</w:t>
            </w:r>
            <w:r w:rsidRPr="00C26A9B">
              <w:rPr>
                <w:rFonts w:ascii="Times New Roman" w:hAnsi="Times New Roman" w:cs="Times New Roman"/>
                <w:sz w:val="24"/>
                <w:szCs w:val="24"/>
                <w:vertAlign w:val="subscript"/>
                <w:lang w:val="ro-RO"/>
              </w:rPr>
              <w:t>b</w:t>
            </w:r>
            <w:proofErr w:type="spellEnd"/>
            <w:r w:rsidRPr="00C26A9B">
              <w:rPr>
                <w:rFonts w:ascii="Times New Roman" w:hAnsi="Times New Roman" w:cs="Times New Roman"/>
                <w:sz w:val="24"/>
                <w:szCs w:val="24"/>
                <w:lang w:val="ro-RO"/>
              </w:rPr>
              <w:t xml:space="preserve">), – </w:t>
            </w:r>
            <w:proofErr w:type="spellStart"/>
            <w:r w:rsidRPr="00C26A9B">
              <w:rPr>
                <w:rFonts w:ascii="Times New Roman" w:hAnsi="Times New Roman" w:cs="Times New Roman"/>
                <w:sz w:val="24"/>
                <w:szCs w:val="24"/>
                <w:lang w:val="ro-RO"/>
              </w:rPr>
              <w:t>K</w:t>
            </w:r>
            <w:r w:rsidRPr="00C26A9B">
              <w:rPr>
                <w:rFonts w:ascii="Times New Roman" w:hAnsi="Times New Roman" w:cs="Times New Roman"/>
                <w:sz w:val="24"/>
                <w:szCs w:val="24"/>
                <w:vertAlign w:val="subscript"/>
                <w:lang w:val="ro-RO"/>
              </w:rPr>
              <w:t>b</w:t>
            </w:r>
            <w:proofErr w:type="spellEnd"/>
            <w:r w:rsidRPr="00C26A9B">
              <w:rPr>
                <w:rFonts w:ascii="Times New Roman" w:hAnsi="Times New Roman" w:cs="Times New Roman"/>
                <w:sz w:val="24"/>
                <w:szCs w:val="24"/>
                <w:lang w:val="ro-RO"/>
              </w:rPr>
              <w:t>] pentru toți factorii de risc din banda „b”;</w:t>
            </w:r>
          </w:p>
        </w:tc>
      </w:tr>
    </w:tbl>
    <w:p w14:paraId="11ACD6A8" w14:textId="77777777" w:rsidR="009112A5" w:rsidRPr="00C26A9B" w:rsidRDefault="009112A5" w:rsidP="009112A5">
      <w:pPr>
        <w:rPr>
          <w:rFonts w:ascii="Times New Roman" w:hAnsi="Times New Roman" w:cs="Times New Roman"/>
          <w:vanish/>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251"/>
        <w:gridCol w:w="199"/>
        <w:gridCol w:w="10016"/>
      </w:tblGrid>
      <w:tr w:rsidR="009112A5" w:rsidRPr="00C26A9B" w14:paraId="02C3CF18" w14:textId="77777777" w:rsidTr="00D0779B">
        <w:tc>
          <w:tcPr>
            <w:tcW w:w="233" w:type="dxa"/>
            <w:hideMark/>
          </w:tcPr>
          <w:p w14:paraId="2EB3A28E"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sz w:val="24"/>
                <w:szCs w:val="24"/>
                <w:lang w:val="ro-RO"/>
              </w:rPr>
              <w:t>S</w:t>
            </w:r>
            <w:r w:rsidRPr="00C26A9B">
              <w:rPr>
                <w:rFonts w:ascii="Times New Roman" w:hAnsi="Times New Roman" w:cs="Times New Roman"/>
                <w:sz w:val="24"/>
                <w:szCs w:val="24"/>
                <w:vertAlign w:val="subscript"/>
                <w:lang w:val="ro-RO"/>
              </w:rPr>
              <w:t>c</w:t>
            </w:r>
          </w:p>
        </w:tc>
        <w:tc>
          <w:tcPr>
            <w:tcW w:w="184" w:type="dxa"/>
            <w:hideMark/>
          </w:tcPr>
          <w:p w14:paraId="3C6FEBEA" w14:textId="77777777" w:rsidR="009112A5" w:rsidRPr="00C26A9B" w:rsidRDefault="009112A5" w:rsidP="009112A5">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9272" w:type="dxa"/>
            <w:hideMark/>
          </w:tcPr>
          <w:p w14:paraId="2CBA510B" w14:textId="77777777" w:rsidR="009112A5" w:rsidRPr="00C26A9B" w:rsidRDefault="009112A5" w:rsidP="009112A5">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max</w:t>
            </w:r>
            <w:proofErr w:type="spellEnd"/>
            <w:r w:rsidRPr="00C26A9B">
              <w:rPr>
                <w:rFonts w:ascii="Times New Roman" w:hAnsi="Times New Roman" w:cs="Times New Roman"/>
                <w:sz w:val="24"/>
                <w:szCs w:val="24"/>
                <w:lang w:val="ro-RO"/>
              </w:rPr>
              <w:t xml:space="preserve"> [min (</w:t>
            </w:r>
            <w:proofErr w:type="spellStart"/>
            <w:r w:rsidRPr="00C26A9B">
              <w:rPr>
                <w:rFonts w:ascii="Times New Roman" w:hAnsi="Times New Roman" w:cs="Times New Roman"/>
                <w:sz w:val="24"/>
                <w:szCs w:val="24"/>
                <w:lang w:val="ro-RO"/>
              </w:rPr>
              <w:t>Σ</w:t>
            </w:r>
            <w:r w:rsidRPr="00C26A9B">
              <w:rPr>
                <w:rFonts w:ascii="Times New Roman" w:hAnsi="Times New Roman" w:cs="Times New Roman"/>
                <w:sz w:val="24"/>
                <w:szCs w:val="24"/>
                <w:vertAlign w:val="subscript"/>
                <w:lang w:val="ro-RO"/>
              </w:rPr>
              <w:t>k</w:t>
            </w:r>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k</w:t>
            </w:r>
            <w:proofErr w:type="spellEnd"/>
            <w:r w:rsidRPr="00C26A9B">
              <w:rPr>
                <w:rFonts w:ascii="Times New Roman" w:hAnsi="Times New Roman" w:cs="Times New Roman"/>
                <w:sz w:val="24"/>
                <w:szCs w:val="24"/>
                <w:lang w:val="ro-RO"/>
              </w:rPr>
              <w:t>, K</w:t>
            </w:r>
            <w:r w:rsidRPr="00C26A9B">
              <w:rPr>
                <w:rFonts w:ascii="Times New Roman" w:hAnsi="Times New Roman" w:cs="Times New Roman"/>
                <w:sz w:val="24"/>
                <w:szCs w:val="24"/>
                <w:vertAlign w:val="subscript"/>
                <w:lang w:val="ro-RO"/>
              </w:rPr>
              <w:t>c</w:t>
            </w:r>
            <w:r w:rsidRPr="00C26A9B">
              <w:rPr>
                <w:rFonts w:ascii="Times New Roman" w:hAnsi="Times New Roman" w:cs="Times New Roman"/>
                <w:sz w:val="24"/>
                <w:szCs w:val="24"/>
                <w:lang w:val="ro-RO"/>
              </w:rPr>
              <w:t>), –K</w:t>
            </w:r>
            <w:r w:rsidRPr="00C26A9B">
              <w:rPr>
                <w:rFonts w:ascii="Times New Roman" w:hAnsi="Times New Roman" w:cs="Times New Roman"/>
                <w:sz w:val="24"/>
                <w:szCs w:val="24"/>
                <w:vertAlign w:val="subscript"/>
                <w:lang w:val="ro-RO"/>
              </w:rPr>
              <w:t>c</w:t>
            </w:r>
            <w:r w:rsidRPr="00C26A9B">
              <w:rPr>
                <w:rFonts w:ascii="Times New Roman" w:hAnsi="Times New Roman" w:cs="Times New Roman"/>
                <w:sz w:val="24"/>
                <w:szCs w:val="24"/>
                <w:lang w:val="ro-RO"/>
              </w:rPr>
              <w:t>]pentru toți factorii de risc din banda „c”.</w:t>
            </w:r>
          </w:p>
        </w:tc>
      </w:tr>
    </w:tbl>
    <w:p w14:paraId="0DF7B7F4" w14:textId="74A208E5" w:rsidR="009112A5" w:rsidRPr="00C26A9B" w:rsidRDefault="009112A5" w:rsidP="006A4204">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119. Cerințele de fonduri proprii specifice unei clase de risc pentru riscul delta sau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se calculează pentru fiecare clasă de risc în conformitate cu pct.111-118.</w:t>
      </w:r>
    </w:p>
    <w:p w14:paraId="75FB8E2E" w14:textId="2C39E1C5" w:rsidR="00550378" w:rsidRPr="00CC1E9B" w:rsidRDefault="00550378" w:rsidP="006A4204">
      <w:pPr>
        <w:rPr>
          <w:rFonts w:ascii="Times New Roman" w:hAnsi="Times New Roman" w:cs="Times New Roman"/>
          <w:b/>
          <w:bCs/>
          <w:i/>
          <w:iCs/>
          <w:sz w:val="24"/>
          <w:szCs w:val="24"/>
          <w:lang w:val="ro-RO"/>
        </w:rPr>
      </w:pPr>
      <w:bookmarkStart w:id="8" w:name="_Hlk195090762"/>
      <w:r w:rsidRPr="00C451D2">
        <w:rPr>
          <w:rFonts w:ascii="Times New Roman" w:hAnsi="Times New Roman" w:cs="Times New Roman"/>
          <w:b/>
          <w:bCs/>
          <w:i/>
          <w:iCs/>
          <w:sz w:val="24"/>
          <w:szCs w:val="24"/>
          <w:lang w:val="ro-RO"/>
        </w:rPr>
        <w:t>Subsecţiunea</w:t>
      </w:r>
      <w:r w:rsidRPr="00C451D2" w:rsidDel="004B5222">
        <w:rPr>
          <w:rFonts w:ascii="Times New Roman" w:hAnsi="Times New Roman" w:cs="Times New Roman"/>
          <w:b/>
          <w:bCs/>
          <w:i/>
          <w:iCs/>
          <w:sz w:val="24"/>
          <w:szCs w:val="24"/>
          <w:lang w:val="ro-RO"/>
        </w:rPr>
        <w:t xml:space="preserve"> </w:t>
      </w:r>
      <w:r w:rsidRPr="00C451D2">
        <w:rPr>
          <w:rFonts w:ascii="Times New Roman" w:hAnsi="Times New Roman" w:cs="Times New Roman"/>
          <w:b/>
          <w:bCs/>
          <w:i/>
          <w:iCs/>
          <w:sz w:val="24"/>
          <w:szCs w:val="24"/>
          <w:lang w:val="ro-RO"/>
        </w:rPr>
        <w:t xml:space="preserve">4. </w:t>
      </w:r>
      <w:proofErr w:type="spellStart"/>
      <w:r w:rsidRPr="00CC1E9B">
        <w:rPr>
          <w:rFonts w:ascii="Times New Roman" w:hAnsi="Times New Roman" w:cs="Times New Roman"/>
          <w:b/>
          <w:bCs/>
          <w:i/>
          <w:iCs/>
          <w:sz w:val="24"/>
          <w:szCs w:val="24"/>
          <w:lang w:val="ro-RO"/>
        </w:rPr>
        <w:t>Cerinţele</w:t>
      </w:r>
      <w:proofErr w:type="spellEnd"/>
      <w:r w:rsidRPr="00CC1E9B">
        <w:rPr>
          <w:rFonts w:ascii="Times New Roman" w:hAnsi="Times New Roman" w:cs="Times New Roman"/>
          <w:b/>
          <w:bCs/>
          <w:i/>
          <w:iCs/>
          <w:sz w:val="24"/>
          <w:szCs w:val="24"/>
          <w:lang w:val="ro-RO"/>
        </w:rPr>
        <w:t xml:space="preserve"> de fonduri proprii pentru riscul de curbură</w:t>
      </w:r>
      <w:bookmarkEnd w:id="8"/>
    </w:p>
    <w:p w14:paraId="4B796424" w14:textId="0BDF2224"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120. Băncile realizează calculele prevăzute la pct.122 pentru fiecare factor de risc al instrumentelor care fac obiectul </w:t>
      </w:r>
      <w:proofErr w:type="spellStart"/>
      <w:r w:rsidRPr="00C26A9B">
        <w:rPr>
          <w:rFonts w:ascii="Times New Roman" w:hAnsi="Times New Roman" w:cs="Times New Roman"/>
          <w:sz w:val="24"/>
          <w:szCs w:val="24"/>
          <w:lang w:val="ro-RO"/>
        </w:rPr>
        <w:t>cerinţei</w:t>
      </w:r>
      <w:proofErr w:type="spellEnd"/>
      <w:r w:rsidRPr="00C26A9B">
        <w:rPr>
          <w:rFonts w:ascii="Times New Roman" w:hAnsi="Times New Roman" w:cs="Times New Roman"/>
          <w:sz w:val="24"/>
          <w:szCs w:val="24"/>
          <w:lang w:val="ro-RO"/>
        </w:rPr>
        <w:t xml:space="preserve"> de fonduri proprii pentru riscul de curbură, cu excepţia factorilor de risc </w:t>
      </w:r>
      <w:proofErr w:type="spellStart"/>
      <w:r w:rsidRPr="00C26A9B">
        <w:rPr>
          <w:rFonts w:ascii="Times New Roman" w:hAnsi="Times New Roman" w:cs="Times New Roman"/>
          <w:sz w:val="24"/>
          <w:szCs w:val="24"/>
          <w:lang w:val="ro-RO"/>
        </w:rPr>
        <w:t>menţionaţi</w:t>
      </w:r>
      <w:proofErr w:type="spellEnd"/>
      <w:r w:rsidRPr="00C26A9B">
        <w:rPr>
          <w:rFonts w:ascii="Times New Roman" w:hAnsi="Times New Roman" w:cs="Times New Roman"/>
          <w:sz w:val="24"/>
          <w:szCs w:val="24"/>
          <w:lang w:val="ro-RO"/>
        </w:rPr>
        <w:t xml:space="preserve"> la</w:t>
      </w:r>
      <w:r w:rsidR="00993B0D">
        <w:rPr>
          <w:rFonts w:ascii="Times New Roman" w:hAnsi="Times New Roman" w:cs="Times New Roman"/>
          <w:sz w:val="24"/>
          <w:szCs w:val="24"/>
          <w:lang w:val="ro-RO"/>
        </w:rPr>
        <w:t xml:space="preserve"> </w:t>
      </w:r>
      <w:r w:rsidRPr="00C26A9B">
        <w:rPr>
          <w:rFonts w:ascii="Times New Roman" w:hAnsi="Times New Roman" w:cs="Times New Roman"/>
          <w:sz w:val="24"/>
          <w:szCs w:val="24"/>
          <w:lang w:val="ro-RO"/>
        </w:rPr>
        <w:t>pct.123-124.</w:t>
      </w:r>
    </w:p>
    <w:p w14:paraId="7F913659" w14:textId="00DEF6F0"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121. Pentru un anumit factor de risc, băncile realizează calculele pe bază netă pentru toate </w:t>
      </w:r>
      <w:proofErr w:type="spellStart"/>
      <w:r w:rsidRPr="00C26A9B">
        <w:rPr>
          <w:rFonts w:ascii="Times New Roman" w:hAnsi="Times New Roman" w:cs="Times New Roman"/>
          <w:sz w:val="24"/>
          <w:szCs w:val="24"/>
          <w:lang w:val="ro-RO"/>
        </w:rPr>
        <w:t>poziţiile</w:t>
      </w:r>
      <w:proofErr w:type="spellEnd"/>
      <w:r w:rsidRPr="00C26A9B">
        <w:rPr>
          <w:rFonts w:ascii="Times New Roman" w:hAnsi="Times New Roman" w:cs="Times New Roman"/>
          <w:sz w:val="24"/>
          <w:szCs w:val="24"/>
          <w:lang w:val="ro-RO"/>
        </w:rPr>
        <w:t xml:space="preserve"> aferente instrumentelor care fac obiectul </w:t>
      </w:r>
      <w:proofErr w:type="spellStart"/>
      <w:r w:rsidRPr="00C26A9B">
        <w:rPr>
          <w:rFonts w:ascii="Times New Roman" w:hAnsi="Times New Roman" w:cs="Times New Roman"/>
          <w:sz w:val="24"/>
          <w:szCs w:val="24"/>
          <w:lang w:val="ro-RO"/>
        </w:rPr>
        <w:t>cerinţei</w:t>
      </w:r>
      <w:proofErr w:type="spellEnd"/>
      <w:r w:rsidRPr="00C26A9B">
        <w:rPr>
          <w:rFonts w:ascii="Times New Roman" w:hAnsi="Times New Roman" w:cs="Times New Roman"/>
          <w:sz w:val="24"/>
          <w:szCs w:val="24"/>
          <w:lang w:val="ro-RO"/>
        </w:rPr>
        <w:t xml:space="preserve"> de fonduri proprii pentru riscul de curbură care </w:t>
      </w:r>
      <w:proofErr w:type="spellStart"/>
      <w:r w:rsidRPr="00C26A9B">
        <w:rPr>
          <w:rFonts w:ascii="Times New Roman" w:hAnsi="Times New Roman" w:cs="Times New Roman"/>
          <w:sz w:val="24"/>
          <w:szCs w:val="24"/>
          <w:lang w:val="ro-RO"/>
        </w:rPr>
        <w:t>conţin</w:t>
      </w:r>
      <w:proofErr w:type="spellEnd"/>
      <w:r w:rsidRPr="00C26A9B">
        <w:rPr>
          <w:rFonts w:ascii="Times New Roman" w:hAnsi="Times New Roman" w:cs="Times New Roman"/>
          <w:sz w:val="24"/>
          <w:szCs w:val="24"/>
          <w:lang w:val="ro-RO"/>
        </w:rPr>
        <w:t xml:space="preserve"> factorul de risc respectiv.</w:t>
      </w:r>
    </w:p>
    <w:p w14:paraId="3A63A8EE" w14:textId="4765528F"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122.   Pentru un anumit factor de risc k inclus </w:t>
      </w:r>
      <w:proofErr w:type="spellStart"/>
      <w:r w:rsidRPr="00C26A9B">
        <w:rPr>
          <w:rFonts w:ascii="Times New Roman" w:hAnsi="Times New Roman" w:cs="Times New Roman"/>
          <w:sz w:val="24"/>
          <w:szCs w:val="24"/>
          <w:lang w:val="ro-RO"/>
        </w:rPr>
        <w:t>într</w:t>
      </w:r>
      <w:proofErr w:type="spellEnd"/>
      <w:r w:rsidRPr="00C26A9B">
        <w:rPr>
          <w:rFonts w:ascii="Times New Roman" w:hAnsi="Times New Roman" w:cs="Times New Roman"/>
          <w:sz w:val="24"/>
          <w:szCs w:val="24"/>
          <w:lang w:val="ro-RO"/>
        </w:rPr>
        <w:t>-unul sau mai multe instrumente menționate la</w:t>
      </w:r>
      <w:r w:rsidR="00C149A2" w:rsidRPr="00C26A9B">
        <w:rPr>
          <w:rFonts w:ascii="Times New Roman" w:hAnsi="Times New Roman" w:cs="Times New Roman"/>
          <w:sz w:val="24"/>
          <w:szCs w:val="24"/>
          <w:lang w:val="ro-RO"/>
        </w:rPr>
        <w:t xml:space="preserve"> </w:t>
      </w:r>
      <w:r w:rsidRPr="00C26A9B">
        <w:rPr>
          <w:rFonts w:ascii="Times New Roman" w:hAnsi="Times New Roman" w:cs="Times New Roman"/>
          <w:sz w:val="24"/>
          <w:szCs w:val="24"/>
          <w:lang w:val="ro-RO"/>
        </w:rPr>
        <w:t>pct.120, băncile calculează poziția netă de risc de curbură ascendent a factorului de risc respectiv (</w:t>
      </w:r>
      <w:r w:rsidRPr="00C26A9B">
        <w:rPr>
          <w:rFonts w:ascii="Times New Roman" w:hAnsi="Times New Roman" w:cs="Times New Roman"/>
          <w:noProof/>
          <w:sz w:val="24"/>
          <w:szCs w:val="24"/>
          <w:lang w:val="ro-RO"/>
        </w:rPr>
        <w:drawing>
          <wp:inline distT="0" distB="0" distL="0" distR="0" wp14:anchorId="2D2CCFE7" wp14:editId="324FD921">
            <wp:extent cx="292100" cy="139700"/>
            <wp:effectExtent l="0" t="0" r="0" b="0"/>
            <wp:docPr id="129" name="Picture 12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100" cy="139700"/>
                    </a:xfrm>
                    <a:prstGeom prst="rect">
                      <a:avLst/>
                    </a:prstGeom>
                    <a:noFill/>
                    <a:ln>
                      <a:noFill/>
                    </a:ln>
                  </pic:spPr>
                </pic:pic>
              </a:graphicData>
            </a:graphic>
          </wp:inline>
        </w:drawing>
      </w:r>
      <w:r w:rsidRPr="00C26A9B">
        <w:rPr>
          <w:rFonts w:ascii="Times New Roman" w:hAnsi="Times New Roman" w:cs="Times New Roman"/>
          <w:sz w:val="24"/>
          <w:szCs w:val="24"/>
          <w:lang w:val="ro-RO"/>
        </w:rPr>
        <w:t>) și poziția netă de risc de curbură descendent a factorului de risc respectiv (</w:t>
      </w:r>
      <w:r w:rsidRPr="00C26A9B">
        <w:rPr>
          <w:rFonts w:ascii="Times New Roman" w:hAnsi="Times New Roman" w:cs="Times New Roman"/>
          <w:noProof/>
          <w:sz w:val="24"/>
          <w:szCs w:val="24"/>
          <w:lang w:val="ro-RO"/>
        </w:rPr>
        <w:drawing>
          <wp:inline distT="0" distB="0" distL="0" distR="0" wp14:anchorId="04BD6A08" wp14:editId="2E8152BD">
            <wp:extent cx="292100" cy="127000"/>
            <wp:effectExtent l="0" t="0" r="0" b="6350"/>
            <wp:docPr id="130" name="Picture 13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100" cy="127000"/>
                    </a:xfrm>
                    <a:prstGeom prst="rect">
                      <a:avLst/>
                    </a:prstGeom>
                    <a:noFill/>
                    <a:ln>
                      <a:noFill/>
                    </a:ln>
                  </pic:spPr>
                </pic:pic>
              </a:graphicData>
            </a:graphic>
          </wp:inline>
        </w:drawing>
      </w:r>
      <w:r w:rsidRPr="00C26A9B">
        <w:rPr>
          <w:rFonts w:ascii="Times New Roman" w:hAnsi="Times New Roman" w:cs="Times New Roman"/>
          <w:sz w:val="24"/>
          <w:szCs w:val="24"/>
          <w:lang w:val="ro-RO"/>
        </w:rPr>
        <w:t>) după cum urmează:</w:t>
      </w:r>
    </w:p>
    <w:p w14:paraId="1C549777" w14:textId="77777777"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267CBB4F" wp14:editId="1A2A882A">
            <wp:extent cx="1092200" cy="330200"/>
            <wp:effectExtent l="0" t="0" r="0" b="0"/>
            <wp:docPr id="131" name="Picture 13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2200" cy="330200"/>
                    </a:xfrm>
                    <a:prstGeom prst="rect">
                      <a:avLst/>
                    </a:prstGeom>
                    <a:noFill/>
                    <a:ln>
                      <a:noFill/>
                    </a:ln>
                  </pic:spPr>
                </pic:pic>
              </a:graphicData>
            </a:graphic>
          </wp:inline>
        </w:drawing>
      </w:r>
    </w:p>
    <w:p w14:paraId="7443845F" w14:textId="77777777"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6CB66B27" wp14:editId="2D39A457">
            <wp:extent cx="1092200" cy="330200"/>
            <wp:effectExtent l="0" t="0" r="0" b="0"/>
            <wp:docPr id="110" name="Picture 1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2200" cy="330200"/>
                    </a:xfrm>
                    <a:prstGeom prst="rect">
                      <a:avLst/>
                    </a:prstGeom>
                    <a:noFill/>
                    <a:ln>
                      <a:noFill/>
                    </a:ln>
                  </pic:spPr>
                </pic:pic>
              </a:graphicData>
            </a:graphic>
          </wp:inline>
        </w:drawing>
      </w:r>
    </w:p>
    <w:p w14:paraId="5D3A300A" w14:textId="77777777"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17626A1C" wp14:editId="358D791B">
            <wp:extent cx="2933700" cy="222250"/>
            <wp:effectExtent l="0" t="0" r="0" b="6350"/>
            <wp:docPr id="111" name="Picture 1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33700" cy="222250"/>
                    </a:xfrm>
                    <a:prstGeom prst="rect">
                      <a:avLst/>
                    </a:prstGeom>
                    <a:noFill/>
                    <a:ln>
                      <a:noFill/>
                    </a:ln>
                  </pic:spPr>
                </pic:pic>
              </a:graphicData>
            </a:graphic>
          </wp:inline>
        </w:drawing>
      </w:r>
    </w:p>
    <w:p w14:paraId="1C51CF78" w14:textId="77777777"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0F6BDED9" wp14:editId="7C74F8FF">
            <wp:extent cx="2895600" cy="177800"/>
            <wp:effectExtent l="0" t="0" r="0" b="0"/>
            <wp:docPr id="112" name="Picture 1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95600" cy="177800"/>
                    </a:xfrm>
                    <a:prstGeom prst="rect">
                      <a:avLst/>
                    </a:prstGeom>
                    <a:noFill/>
                    <a:ln>
                      <a:noFill/>
                    </a:ln>
                  </pic:spPr>
                </pic:pic>
              </a:graphicData>
            </a:graphic>
          </wp:inline>
        </w:drawing>
      </w:r>
    </w:p>
    <w:p w14:paraId="0990EE49" w14:textId="77777777"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72"/>
        <w:gridCol w:w="144"/>
        <w:gridCol w:w="10250"/>
      </w:tblGrid>
      <w:tr w:rsidR="00783EE5" w:rsidRPr="00C26A9B" w14:paraId="6E3B3E89" w14:textId="77777777" w:rsidTr="00D0779B">
        <w:tc>
          <w:tcPr>
            <w:tcW w:w="67" w:type="dxa"/>
            <w:shd w:val="clear" w:color="auto" w:fill="FFFFFF"/>
            <w:hideMark/>
          </w:tcPr>
          <w:p w14:paraId="18122922" w14:textId="77777777"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sz w:val="24"/>
                <w:szCs w:val="24"/>
                <w:lang w:val="ro-RO"/>
              </w:rPr>
              <w:t>i</w:t>
            </w:r>
          </w:p>
        </w:tc>
        <w:tc>
          <w:tcPr>
            <w:tcW w:w="133" w:type="dxa"/>
            <w:shd w:val="clear" w:color="auto" w:fill="FFFFFF"/>
            <w:hideMark/>
          </w:tcPr>
          <w:p w14:paraId="0BC0C330" w14:textId="77777777"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9489" w:type="dxa"/>
            <w:shd w:val="clear" w:color="auto" w:fill="FFFFFF"/>
            <w:hideMark/>
          </w:tcPr>
          <w:p w14:paraId="7D0CC700" w14:textId="77777777"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sz w:val="24"/>
                <w:szCs w:val="24"/>
                <w:lang w:val="ro-RO"/>
              </w:rPr>
              <w:t>indicele care desemnează toate pozițiile aferente instrumentelor menționate la pct.120 care includ factorul de risc k;</w:t>
            </w:r>
          </w:p>
        </w:tc>
      </w:tr>
    </w:tbl>
    <w:p w14:paraId="71DB1191" w14:textId="77777777" w:rsidR="00783EE5" w:rsidRPr="00C26A9B" w:rsidRDefault="00783EE5" w:rsidP="00783EE5">
      <w:pPr>
        <w:rPr>
          <w:rFonts w:ascii="Times New Roman" w:hAnsi="Times New Roman" w:cs="Times New Roman"/>
          <w:vanish/>
          <w:sz w:val="24"/>
          <w:szCs w:val="24"/>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5"/>
        <w:gridCol w:w="331"/>
        <w:gridCol w:w="9730"/>
      </w:tblGrid>
      <w:tr w:rsidR="00783EE5" w:rsidRPr="00C26A9B" w14:paraId="7A27E1BB" w14:textId="77777777" w:rsidTr="00D0779B">
        <w:tc>
          <w:tcPr>
            <w:tcW w:w="375" w:type="dxa"/>
            <w:shd w:val="clear" w:color="auto" w:fill="FFFFFF"/>
            <w:hideMark/>
          </w:tcPr>
          <w:p w14:paraId="7C3DD4FE" w14:textId="77777777" w:rsidR="00783EE5" w:rsidRPr="00C26A9B" w:rsidRDefault="00783EE5" w:rsidP="00783EE5">
            <w:pPr>
              <w:rPr>
                <w:rFonts w:ascii="Times New Roman" w:hAnsi="Times New Roman" w:cs="Times New Roman"/>
                <w:sz w:val="24"/>
                <w:szCs w:val="24"/>
                <w:lang w:val="ro-RO"/>
              </w:rPr>
            </w:pPr>
            <w:proofErr w:type="spellStart"/>
            <w:r w:rsidRPr="00C26A9B">
              <w:rPr>
                <w:rFonts w:ascii="Times New Roman" w:hAnsi="Times New Roman" w:cs="Times New Roman"/>
                <w:i/>
                <w:iCs/>
                <w:sz w:val="24"/>
                <w:szCs w:val="24"/>
                <w:lang w:val="ro-RO"/>
              </w:rPr>
              <w:t>x</w:t>
            </w:r>
            <w:r w:rsidRPr="00C26A9B">
              <w:rPr>
                <w:rFonts w:ascii="Times New Roman" w:hAnsi="Times New Roman" w:cs="Times New Roman"/>
                <w:i/>
                <w:iCs/>
                <w:sz w:val="24"/>
                <w:szCs w:val="24"/>
                <w:vertAlign w:val="subscript"/>
                <w:lang w:val="ro-RO"/>
              </w:rPr>
              <w:t>k</w:t>
            </w:r>
            <w:proofErr w:type="spellEnd"/>
          </w:p>
        </w:tc>
        <w:tc>
          <w:tcPr>
            <w:tcW w:w="306" w:type="dxa"/>
            <w:shd w:val="clear" w:color="auto" w:fill="FFFFFF"/>
            <w:hideMark/>
          </w:tcPr>
          <w:p w14:paraId="6B211513" w14:textId="77777777"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9008" w:type="dxa"/>
            <w:shd w:val="clear" w:color="auto" w:fill="FFFFFF"/>
            <w:hideMark/>
          </w:tcPr>
          <w:p w14:paraId="6F325D08" w14:textId="77777777"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sz w:val="24"/>
                <w:szCs w:val="24"/>
                <w:lang w:val="ro-RO"/>
              </w:rPr>
              <w:t>valoarea curentă a factorului de risc k;</w:t>
            </w:r>
          </w:p>
        </w:tc>
      </w:tr>
    </w:tbl>
    <w:p w14:paraId="670BBD70" w14:textId="77777777" w:rsidR="00783EE5" w:rsidRPr="00C26A9B" w:rsidRDefault="00783EE5" w:rsidP="00783EE5">
      <w:pPr>
        <w:rPr>
          <w:rFonts w:ascii="Times New Roman" w:hAnsi="Times New Roman" w:cs="Times New Roman"/>
          <w:vanish/>
          <w:sz w:val="24"/>
          <w:szCs w:val="24"/>
          <w:lang w:val="ro-RO"/>
        </w:rPr>
      </w:pPr>
    </w:p>
    <w:tbl>
      <w:tblPr>
        <w:tblW w:w="8931" w:type="dxa"/>
        <w:shd w:val="clear" w:color="auto" w:fill="FFFFFF"/>
        <w:tblLayout w:type="fixed"/>
        <w:tblCellMar>
          <w:left w:w="0" w:type="dxa"/>
          <w:right w:w="0" w:type="dxa"/>
        </w:tblCellMar>
        <w:tblLook w:val="04A0" w:firstRow="1" w:lastRow="0" w:firstColumn="1" w:lastColumn="0" w:noHBand="0" w:noVBand="1"/>
      </w:tblPr>
      <w:tblGrid>
        <w:gridCol w:w="709"/>
        <w:gridCol w:w="76"/>
        <w:gridCol w:w="8146"/>
      </w:tblGrid>
      <w:tr w:rsidR="00783EE5" w:rsidRPr="00C26A9B" w14:paraId="45DE1382" w14:textId="77777777" w:rsidTr="00C149A2">
        <w:tc>
          <w:tcPr>
            <w:tcW w:w="709" w:type="dxa"/>
            <w:shd w:val="clear" w:color="auto" w:fill="FFFFFF"/>
            <w:hideMark/>
          </w:tcPr>
          <w:p w14:paraId="486F714A" w14:textId="77777777"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i/>
                <w:iCs/>
                <w:sz w:val="24"/>
                <w:szCs w:val="24"/>
                <w:lang w:val="ro-RO"/>
              </w:rPr>
              <w:t>V</w:t>
            </w:r>
            <w:r w:rsidRPr="00C26A9B">
              <w:rPr>
                <w:rFonts w:ascii="Times New Roman" w:hAnsi="Times New Roman" w:cs="Times New Roman"/>
                <w:i/>
                <w:iCs/>
                <w:sz w:val="24"/>
                <w:szCs w:val="24"/>
                <w:vertAlign w:val="subscript"/>
                <w:lang w:val="ro-RO"/>
              </w:rPr>
              <w:t>i</w:t>
            </w:r>
            <w:r w:rsidRPr="00C26A9B">
              <w:rPr>
                <w:rFonts w:ascii="Times New Roman" w:hAnsi="Times New Roman" w:cs="Times New Roman"/>
                <w:i/>
                <w:iCs/>
                <w:sz w:val="24"/>
                <w:szCs w:val="24"/>
                <w:lang w:val="ro-RO"/>
              </w:rPr>
              <w:t> </w:t>
            </w:r>
            <w:r w:rsidRPr="00C26A9B">
              <w:rPr>
                <w:rFonts w:ascii="Times New Roman" w:hAnsi="Times New Roman" w:cs="Times New Roman"/>
                <w:sz w:val="24"/>
                <w:szCs w:val="24"/>
                <w:lang w:val="ro-RO"/>
              </w:rPr>
              <w:t>(</w:t>
            </w:r>
            <w:proofErr w:type="spellStart"/>
            <w:r w:rsidRPr="00C26A9B">
              <w:rPr>
                <w:rFonts w:ascii="Times New Roman" w:hAnsi="Times New Roman" w:cs="Times New Roman"/>
                <w:i/>
                <w:iCs/>
                <w:sz w:val="24"/>
                <w:szCs w:val="24"/>
                <w:lang w:val="ro-RO"/>
              </w:rPr>
              <w:t>x</w:t>
            </w:r>
            <w:r w:rsidRPr="00C26A9B">
              <w:rPr>
                <w:rFonts w:ascii="Times New Roman" w:hAnsi="Times New Roman" w:cs="Times New Roman"/>
                <w:i/>
                <w:iCs/>
                <w:sz w:val="24"/>
                <w:szCs w:val="24"/>
                <w:vertAlign w:val="subscript"/>
                <w:lang w:val="ro-RO"/>
              </w:rPr>
              <w:t>k</w:t>
            </w:r>
            <w:proofErr w:type="spellEnd"/>
            <w:r w:rsidRPr="00C26A9B">
              <w:rPr>
                <w:rFonts w:ascii="Times New Roman" w:hAnsi="Times New Roman" w:cs="Times New Roman"/>
                <w:i/>
                <w:iCs/>
                <w:sz w:val="24"/>
                <w:szCs w:val="24"/>
                <w:lang w:val="ro-RO"/>
              </w:rPr>
              <w:t> </w:t>
            </w:r>
            <w:r w:rsidRPr="00C26A9B">
              <w:rPr>
                <w:rFonts w:ascii="Times New Roman" w:hAnsi="Times New Roman" w:cs="Times New Roman"/>
                <w:sz w:val="24"/>
                <w:szCs w:val="24"/>
                <w:lang w:val="ro-RO"/>
              </w:rPr>
              <w:t>)</w:t>
            </w:r>
          </w:p>
        </w:tc>
        <w:tc>
          <w:tcPr>
            <w:tcW w:w="76" w:type="dxa"/>
            <w:shd w:val="clear" w:color="auto" w:fill="FFFFFF"/>
            <w:hideMark/>
          </w:tcPr>
          <w:p w14:paraId="765A0A88" w14:textId="77777777"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146" w:type="dxa"/>
            <w:shd w:val="clear" w:color="auto" w:fill="FFFFFF"/>
            <w:hideMark/>
          </w:tcPr>
          <w:p w14:paraId="7752FDC3" w14:textId="4C5806C2"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valoarea instrumentului i, estimată prin modelul de evaluare al </w:t>
            </w:r>
            <w:r w:rsidR="006A3F23" w:rsidRPr="006A3F23">
              <w:rPr>
                <w:rFonts w:ascii="Times New Roman" w:hAnsi="Times New Roman" w:cs="Times New Roman"/>
                <w:sz w:val="24"/>
                <w:szCs w:val="24"/>
              </w:rPr>
              <w:t xml:space="preserve">băncii </w:t>
            </w:r>
            <w:r w:rsidRPr="00C26A9B">
              <w:rPr>
                <w:rFonts w:ascii="Times New Roman" w:hAnsi="Times New Roman" w:cs="Times New Roman"/>
                <w:sz w:val="24"/>
                <w:szCs w:val="24"/>
                <w:lang w:val="ro-RO"/>
              </w:rPr>
              <w:t>pe baza valorii curente a factorului de risc k;</w:t>
            </w:r>
          </w:p>
        </w:tc>
      </w:tr>
    </w:tbl>
    <w:p w14:paraId="739F2AD4" w14:textId="77777777" w:rsidR="00783EE5" w:rsidRPr="00C26A9B" w:rsidRDefault="00783EE5" w:rsidP="00783EE5">
      <w:pPr>
        <w:rPr>
          <w:rFonts w:ascii="Times New Roman" w:hAnsi="Times New Roman" w:cs="Times New Roman"/>
          <w:vanish/>
          <w:sz w:val="24"/>
          <w:szCs w:val="24"/>
          <w:lang w:val="ro-RO"/>
        </w:rPr>
      </w:pPr>
    </w:p>
    <w:tbl>
      <w:tblPr>
        <w:tblW w:w="8931" w:type="dxa"/>
        <w:shd w:val="clear" w:color="auto" w:fill="FFFFFF"/>
        <w:tblLayout w:type="fixed"/>
        <w:tblCellMar>
          <w:left w:w="0" w:type="dxa"/>
          <w:right w:w="0" w:type="dxa"/>
        </w:tblCellMar>
        <w:tblLook w:val="04A0" w:firstRow="1" w:lastRow="0" w:firstColumn="1" w:lastColumn="0" w:noHBand="0" w:noVBand="1"/>
      </w:tblPr>
      <w:tblGrid>
        <w:gridCol w:w="1604"/>
        <w:gridCol w:w="76"/>
        <w:gridCol w:w="7251"/>
      </w:tblGrid>
      <w:tr w:rsidR="00783EE5" w:rsidRPr="00C26A9B" w14:paraId="449DB0B5" w14:textId="77777777" w:rsidTr="00C149A2">
        <w:tc>
          <w:tcPr>
            <w:tcW w:w="1604" w:type="dxa"/>
            <w:shd w:val="clear" w:color="auto" w:fill="FFFFFF"/>
            <w:hideMark/>
          </w:tcPr>
          <w:p w14:paraId="3C3B0798" w14:textId="77777777"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1130F117" wp14:editId="66F5BD88">
                  <wp:extent cx="946150" cy="222250"/>
                  <wp:effectExtent l="0" t="0" r="6350" b="6350"/>
                  <wp:docPr id="113" name="Picture 1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46150" cy="222250"/>
                          </a:xfrm>
                          <a:prstGeom prst="rect">
                            <a:avLst/>
                          </a:prstGeom>
                          <a:noFill/>
                          <a:ln>
                            <a:noFill/>
                          </a:ln>
                        </pic:spPr>
                      </pic:pic>
                    </a:graphicData>
                  </a:graphic>
                </wp:inline>
              </w:drawing>
            </w:r>
          </w:p>
        </w:tc>
        <w:tc>
          <w:tcPr>
            <w:tcW w:w="76" w:type="dxa"/>
            <w:shd w:val="clear" w:color="auto" w:fill="FFFFFF"/>
            <w:hideMark/>
          </w:tcPr>
          <w:p w14:paraId="3F9F205F" w14:textId="77777777"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7251" w:type="dxa"/>
            <w:shd w:val="clear" w:color="auto" w:fill="FFFFFF"/>
            <w:hideMark/>
          </w:tcPr>
          <w:p w14:paraId="56A9A14B" w14:textId="68082BD9"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valoarea instrumentului i, estimată prin modelul de evaluare al </w:t>
            </w:r>
            <w:r w:rsidR="006A3F23" w:rsidRPr="006A3F23">
              <w:rPr>
                <w:rFonts w:ascii="Times New Roman" w:hAnsi="Times New Roman" w:cs="Times New Roman"/>
                <w:sz w:val="24"/>
                <w:szCs w:val="24"/>
              </w:rPr>
              <w:t xml:space="preserve">băncii </w:t>
            </w:r>
            <w:r w:rsidRPr="00C26A9B">
              <w:rPr>
                <w:rFonts w:ascii="Times New Roman" w:hAnsi="Times New Roman" w:cs="Times New Roman"/>
                <w:sz w:val="24"/>
                <w:szCs w:val="24"/>
                <w:lang w:val="ro-RO"/>
              </w:rPr>
              <w:t>pe baza unei variații ascendente a valorii factorului de risc k;</w:t>
            </w:r>
          </w:p>
        </w:tc>
      </w:tr>
    </w:tbl>
    <w:p w14:paraId="7090F042" w14:textId="77777777" w:rsidR="00783EE5" w:rsidRPr="00C26A9B" w:rsidRDefault="00783EE5" w:rsidP="00783EE5">
      <w:pPr>
        <w:rPr>
          <w:rFonts w:ascii="Times New Roman" w:hAnsi="Times New Roman" w:cs="Times New Roman"/>
          <w:vanish/>
          <w:sz w:val="24"/>
          <w:szCs w:val="24"/>
          <w:lang w:val="ro-RO"/>
        </w:rPr>
      </w:pPr>
    </w:p>
    <w:tbl>
      <w:tblPr>
        <w:tblW w:w="8931" w:type="dxa"/>
        <w:shd w:val="clear" w:color="auto" w:fill="FFFFFF"/>
        <w:tblLayout w:type="fixed"/>
        <w:tblCellMar>
          <w:left w:w="0" w:type="dxa"/>
          <w:right w:w="0" w:type="dxa"/>
        </w:tblCellMar>
        <w:tblLook w:val="04A0" w:firstRow="1" w:lastRow="0" w:firstColumn="1" w:lastColumn="0" w:noHBand="0" w:noVBand="1"/>
      </w:tblPr>
      <w:tblGrid>
        <w:gridCol w:w="1463"/>
        <w:gridCol w:w="76"/>
        <w:gridCol w:w="7392"/>
      </w:tblGrid>
      <w:tr w:rsidR="00783EE5" w:rsidRPr="00C26A9B" w14:paraId="4FD07586" w14:textId="77777777" w:rsidTr="00C149A2">
        <w:tc>
          <w:tcPr>
            <w:tcW w:w="1463" w:type="dxa"/>
            <w:shd w:val="clear" w:color="auto" w:fill="FFFFFF"/>
            <w:hideMark/>
          </w:tcPr>
          <w:p w14:paraId="035E1262" w14:textId="77777777"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lastRenderedPageBreak/>
              <w:drawing>
                <wp:inline distT="0" distB="0" distL="0" distR="0" wp14:anchorId="4749B6E3" wp14:editId="393FFDBB">
                  <wp:extent cx="914400" cy="177800"/>
                  <wp:effectExtent l="0" t="0" r="0" b="0"/>
                  <wp:docPr id="114" name="Picture 1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177800"/>
                          </a:xfrm>
                          <a:prstGeom prst="rect">
                            <a:avLst/>
                          </a:prstGeom>
                          <a:noFill/>
                          <a:ln>
                            <a:noFill/>
                          </a:ln>
                        </pic:spPr>
                      </pic:pic>
                    </a:graphicData>
                  </a:graphic>
                </wp:inline>
              </w:drawing>
            </w:r>
          </w:p>
        </w:tc>
        <w:tc>
          <w:tcPr>
            <w:tcW w:w="76" w:type="dxa"/>
            <w:shd w:val="clear" w:color="auto" w:fill="FFFFFF"/>
            <w:hideMark/>
          </w:tcPr>
          <w:p w14:paraId="4AF3FD90" w14:textId="77777777"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7392" w:type="dxa"/>
            <w:shd w:val="clear" w:color="auto" w:fill="FFFFFF"/>
            <w:hideMark/>
          </w:tcPr>
          <w:p w14:paraId="0D534D7D" w14:textId="1C8708D6"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valoarea instrumentului i, estimată prin modelul de evaluare al </w:t>
            </w:r>
            <w:r w:rsidR="006A3F23" w:rsidRPr="006A3F23">
              <w:rPr>
                <w:rFonts w:ascii="Times New Roman" w:hAnsi="Times New Roman" w:cs="Times New Roman"/>
                <w:sz w:val="24"/>
                <w:szCs w:val="24"/>
              </w:rPr>
              <w:t xml:space="preserve">băncii </w:t>
            </w:r>
            <w:r w:rsidRPr="00C26A9B">
              <w:rPr>
                <w:rFonts w:ascii="Times New Roman" w:hAnsi="Times New Roman" w:cs="Times New Roman"/>
                <w:sz w:val="24"/>
                <w:szCs w:val="24"/>
                <w:lang w:val="ro-RO"/>
              </w:rPr>
              <w:t>pe baza unei variații descendente a valorii factorului de risc k;</w:t>
            </w:r>
          </w:p>
        </w:tc>
      </w:tr>
    </w:tbl>
    <w:p w14:paraId="0B39699A" w14:textId="77777777" w:rsidR="00783EE5" w:rsidRPr="00C26A9B" w:rsidRDefault="00783EE5" w:rsidP="00783EE5">
      <w:pPr>
        <w:rPr>
          <w:rFonts w:ascii="Times New Roman" w:hAnsi="Times New Roman" w:cs="Times New Roman"/>
          <w:vanish/>
          <w:sz w:val="24"/>
          <w:szCs w:val="24"/>
          <w:lang w:val="ro-RO"/>
        </w:rPr>
      </w:pPr>
    </w:p>
    <w:tbl>
      <w:tblPr>
        <w:tblW w:w="8931" w:type="dxa"/>
        <w:shd w:val="clear" w:color="auto" w:fill="FFFFFF"/>
        <w:tblLayout w:type="fixed"/>
        <w:tblCellMar>
          <w:left w:w="0" w:type="dxa"/>
          <w:right w:w="0" w:type="dxa"/>
        </w:tblCellMar>
        <w:tblLook w:val="04A0" w:firstRow="1" w:lastRow="0" w:firstColumn="1" w:lastColumn="0" w:noHBand="0" w:noVBand="1"/>
      </w:tblPr>
      <w:tblGrid>
        <w:gridCol w:w="1179"/>
        <w:gridCol w:w="76"/>
        <w:gridCol w:w="7676"/>
      </w:tblGrid>
      <w:tr w:rsidR="00783EE5" w:rsidRPr="00C26A9B" w14:paraId="05946722" w14:textId="77777777" w:rsidTr="00C149A2">
        <w:tc>
          <w:tcPr>
            <w:tcW w:w="1179" w:type="dxa"/>
            <w:shd w:val="clear" w:color="auto" w:fill="FFFFFF"/>
            <w:hideMark/>
          </w:tcPr>
          <w:p w14:paraId="3494FD35" w14:textId="77777777"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1BCA4B1C" wp14:editId="629996ED">
                  <wp:extent cx="571500" cy="152400"/>
                  <wp:effectExtent l="0" t="0" r="0" b="0"/>
                  <wp:docPr id="115" name="Picture 1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1500" cy="152400"/>
                          </a:xfrm>
                          <a:prstGeom prst="rect">
                            <a:avLst/>
                          </a:prstGeom>
                          <a:noFill/>
                          <a:ln>
                            <a:noFill/>
                          </a:ln>
                        </pic:spPr>
                      </pic:pic>
                    </a:graphicData>
                  </a:graphic>
                </wp:inline>
              </w:drawing>
            </w:r>
          </w:p>
        </w:tc>
        <w:tc>
          <w:tcPr>
            <w:tcW w:w="76" w:type="dxa"/>
            <w:shd w:val="clear" w:color="auto" w:fill="FFFFFF"/>
            <w:hideMark/>
          </w:tcPr>
          <w:p w14:paraId="52C29FF0" w14:textId="77777777"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7676" w:type="dxa"/>
            <w:shd w:val="clear" w:color="auto" w:fill="FFFFFF"/>
            <w:hideMark/>
          </w:tcPr>
          <w:p w14:paraId="0F7E912F" w14:textId="77777777"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sz w:val="24"/>
                <w:szCs w:val="24"/>
                <w:lang w:val="ro-RO"/>
              </w:rPr>
              <w:t>ponderea de risc aplicabilă factorului de risc k, determinată în conformitate cu secțiunea 6;</w:t>
            </w:r>
          </w:p>
        </w:tc>
      </w:tr>
    </w:tbl>
    <w:p w14:paraId="29453987" w14:textId="77777777" w:rsidR="00783EE5" w:rsidRPr="00C26A9B" w:rsidRDefault="00783EE5" w:rsidP="00783EE5">
      <w:pPr>
        <w:rPr>
          <w:rFonts w:ascii="Times New Roman" w:hAnsi="Times New Roman" w:cs="Times New Roman"/>
          <w:vanish/>
          <w:sz w:val="24"/>
          <w:szCs w:val="24"/>
          <w:lang w:val="ro-RO"/>
        </w:rPr>
      </w:pPr>
    </w:p>
    <w:tbl>
      <w:tblPr>
        <w:tblW w:w="8931" w:type="dxa"/>
        <w:shd w:val="clear" w:color="auto" w:fill="FFFFFF"/>
        <w:tblLayout w:type="fixed"/>
        <w:tblCellMar>
          <w:left w:w="0" w:type="dxa"/>
          <w:right w:w="0" w:type="dxa"/>
        </w:tblCellMar>
        <w:tblLook w:val="04A0" w:firstRow="1" w:lastRow="0" w:firstColumn="1" w:lastColumn="0" w:noHBand="0" w:noVBand="1"/>
      </w:tblPr>
      <w:tblGrid>
        <w:gridCol w:w="470"/>
        <w:gridCol w:w="76"/>
        <w:gridCol w:w="8385"/>
      </w:tblGrid>
      <w:tr w:rsidR="00783EE5" w:rsidRPr="00C26A9B" w14:paraId="3E03A70F" w14:textId="77777777" w:rsidTr="00C149A2">
        <w:tc>
          <w:tcPr>
            <w:tcW w:w="470" w:type="dxa"/>
            <w:shd w:val="clear" w:color="auto" w:fill="FFFFFF"/>
            <w:hideMark/>
          </w:tcPr>
          <w:p w14:paraId="5FBCB008" w14:textId="77777777" w:rsidR="00783EE5" w:rsidRPr="00C26A9B" w:rsidRDefault="00783EE5" w:rsidP="00783EE5">
            <w:pPr>
              <w:rPr>
                <w:rFonts w:ascii="Times New Roman" w:hAnsi="Times New Roman" w:cs="Times New Roman"/>
                <w:sz w:val="24"/>
                <w:szCs w:val="24"/>
                <w:lang w:val="ro-RO"/>
              </w:rPr>
            </w:pPr>
            <w:proofErr w:type="spellStart"/>
            <w:r w:rsidRPr="00C26A9B">
              <w:rPr>
                <w:rFonts w:ascii="Times New Roman" w:hAnsi="Times New Roman" w:cs="Times New Roman"/>
                <w:i/>
                <w:iCs/>
                <w:sz w:val="24"/>
                <w:szCs w:val="24"/>
                <w:lang w:val="ro-RO"/>
              </w:rPr>
              <w:t>s</w:t>
            </w:r>
            <w:r w:rsidRPr="00C26A9B">
              <w:rPr>
                <w:rFonts w:ascii="Times New Roman" w:hAnsi="Times New Roman" w:cs="Times New Roman"/>
                <w:i/>
                <w:iCs/>
                <w:sz w:val="24"/>
                <w:szCs w:val="24"/>
                <w:vertAlign w:val="subscript"/>
                <w:lang w:val="ro-RO"/>
              </w:rPr>
              <w:t>ik</w:t>
            </w:r>
            <w:proofErr w:type="spellEnd"/>
          </w:p>
        </w:tc>
        <w:tc>
          <w:tcPr>
            <w:tcW w:w="76" w:type="dxa"/>
            <w:shd w:val="clear" w:color="auto" w:fill="FFFFFF"/>
            <w:hideMark/>
          </w:tcPr>
          <w:p w14:paraId="64BA0164" w14:textId="77777777"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385" w:type="dxa"/>
            <w:shd w:val="clear" w:color="auto" w:fill="FFFFFF"/>
            <w:hideMark/>
          </w:tcPr>
          <w:p w14:paraId="4ED4350A" w14:textId="77777777" w:rsidR="00783EE5" w:rsidRPr="00C26A9B" w:rsidRDefault="00783EE5" w:rsidP="00783EE5">
            <w:pPr>
              <w:rPr>
                <w:rFonts w:ascii="Times New Roman" w:hAnsi="Times New Roman" w:cs="Times New Roman"/>
                <w:sz w:val="24"/>
                <w:szCs w:val="24"/>
                <w:lang w:val="ro-RO"/>
              </w:rPr>
            </w:pPr>
            <w:r w:rsidRPr="00C26A9B">
              <w:rPr>
                <w:rFonts w:ascii="Times New Roman" w:hAnsi="Times New Roman" w:cs="Times New Roman"/>
                <w:sz w:val="24"/>
                <w:szCs w:val="24"/>
                <w:lang w:val="ro-RO"/>
              </w:rPr>
              <w:t>sensibilitatea delta a instrumentului i la factorul de risc k, calculată în conformitate cu para.1, subsecțiunea 2, secțiunea 3.</w:t>
            </w:r>
          </w:p>
        </w:tc>
      </w:tr>
    </w:tbl>
    <w:p w14:paraId="456750C9" w14:textId="08DE7262"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sz w:val="24"/>
          <w:szCs w:val="24"/>
          <w:lang w:val="ro-RO"/>
        </w:rPr>
        <w:t>123.   Prin derogare de la</w:t>
      </w:r>
      <w:r w:rsidR="00D91324">
        <w:rPr>
          <w:rFonts w:ascii="Times New Roman" w:hAnsi="Times New Roman" w:cs="Times New Roman"/>
          <w:sz w:val="24"/>
          <w:szCs w:val="24"/>
          <w:lang w:val="ro-RO"/>
        </w:rPr>
        <w:t xml:space="preserve"> </w:t>
      </w:r>
      <w:r w:rsidRPr="00C26A9B">
        <w:rPr>
          <w:rFonts w:ascii="Times New Roman" w:hAnsi="Times New Roman" w:cs="Times New Roman"/>
          <w:sz w:val="24"/>
          <w:szCs w:val="24"/>
          <w:lang w:val="ro-RO"/>
        </w:rPr>
        <w:t>pct.122, pentru curbele factorilor de risc aparținând claselor de risc general de rată a dobânzii (GIRR), de risc de marjă de credit (CSR) și de risc de marfă, băncile realizează calculele prevăzute la pct.127 la nivelul întregii curbe, și nu la nivelul fiecărui factor de risc care aparține curbei.</w:t>
      </w:r>
    </w:p>
    <w:p w14:paraId="1C4ED77E" w14:textId="3D324C1C" w:rsidR="00783EE5"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sz w:val="24"/>
          <w:szCs w:val="24"/>
          <w:lang w:val="ro-RO"/>
        </w:rPr>
        <w:t>124. În scopul calculului menționat la</w:t>
      </w:r>
      <w:r w:rsidR="00D91324">
        <w:rPr>
          <w:rFonts w:ascii="Times New Roman" w:hAnsi="Times New Roman" w:cs="Times New Roman"/>
          <w:sz w:val="24"/>
          <w:szCs w:val="24"/>
          <w:lang w:val="ro-RO"/>
        </w:rPr>
        <w:t xml:space="preserve"> </w:t>
      </w:r>
      <w:r w:rsidRPr="00C26A9B">
        <w:rPr>
          <w:rFonts w:ascii="Times New Roman" w:hAnsi="Times New Roman" w:cs="Times New Roman"/>
          <w:sz w:val="24"/>
          <w:szCs w:val="24"/>
          <w:lang w:val="ro-RO"/>
        </w:rPr>
        <w:t>pct.122, în cazul în care </w:t>
      </w:r>
      <w:proofErr w:type="spellStart"/>
      <w:r w:rsidRPr="00C26A9B">
        <w:rPr>
          <w:rFonts w:ascii="Times New Roman" w:hAnsi="Times New Roman" w:cs="Times New Roman"/>
          <w:i/>
          <w:iCs/>
          <w:sz w:val="24"/>
          <w:szCs w:val="24"/>
          <w:lang w:val="ro-RO"/>
        </w:rPr>
        <w:t>x</w:t>
      </w:r>
      <w:r w:rsidRPr="00C26A9B">
        <w:rPr>
          <w:rFonts w:ascii="Times New Roman" w:hAnsi="Times New Roman" w:cs="Times New Roman"/>
          <w:i/>
          <w:iCs/>
          <w:sz w:val="24"/>
          <w:szCs w:val="24"/>
          <w:vertAlign w:val="subscript"/>
          <w:lang w:val="ro-RO"/>
        </w:rPr>
        <w:t>k</w:t>
      </w:r>
      <w:proofErr w:type="spellEnd"/>
      <w:r w:rsidRPr="00C26A9B">
        <w:rPr>
          <w:rFonts w:ascii="Times New Roman" w:hAnsi="Times New Roman" w:cs="Times New Roman"/>
          <w:i/>
          <w:iCs/>
          <w:sz w:val="24"/>
          <w:szCs w:val="24"/>
          <w:lang w:val="ro-RO"/>
        </w:rPr>
        <w:t> </w:t>
      </w:r>
      <w:r w:rsidRPr="00C26A9B">
        <w:rPr>
          <w:rFonts w:ascii="Times New Roman" w:hAnsi="Times New Roman" w:cs="Times New Roman"/>
          <w:sz w:val="24"/>
          <w:szCs w:val="24"/>
          <w:lang w:val="ro-RO"/>
        </w:rPr>
        <w:t>este o curbă a factorilor de risc atribuiți claselor de risc general de rată a dobânzii, de risc de marjă de credit și de risc de marfă, </w:t>
      </w:r>
      <w:proofErr w:type="spellStart"/>
      <w:r w:rsidRPr="00C26A9B">
        <w:rPr>
          <w:rFonts w:ascii="Times New Roman" w:hAnsi="Times New Roman" w:cs="Times New Roman"/>
          <w:i/>
          <w:iCs/>
          <w:sz w:val="24"/>
          <w:szCs w:val="24"/>
          <w:lang w:val="ro-RO"/>
        </w:rPr>
        <w:t>s</w:t>
      </w:r>
      <w:r w:rsidRPr="00C26A9B">
        <w:rPr>
          <w:rFonts w:ascii="Times New Roman" w:hAnsi="Times New Roman" w:cs="Times New Roman"/>
          <w:i/>
          <w:iCs/>
          <w:sz w:val="24"/>
          <w:szCs w:val="24"/>
          <w:vertAlign w:val="subscript"/>
          <w:lang w:val="ro-RO"/>
        </w:rPr>
        <w:t>ik</w:t>
      </w:r>
      <w:proofErr w:type="spellEnd"/>
      <w:r w:rsidRPr="00C26A9B">
        <w:rPr>
          <w:rFonts w:ascii="Times New Roman" w:hAnsi="Times New Roman" w:cs="Times New Roman"/>
          <w:i/>
          <w:iCs/>
          <w:sz w:val="24"/>
          <w:szCs w:val="24"/>
          <w:lang w:val="ro-RO"/>
        </w:rPr>
        <w:t> </w:t>
      </w:r>
      <w:r w:rsidRPr="00C26A9B">
        <w:rPr>
          <w:rFonts w:ascii="Times New Roman" w:hAnsi="Times New Roman" w:cs="Times New Roman"/>
          <w:sz w:val="24"/>
          <w:szCs w:val="24"/>
          <w:lang w:val="ro-RO"/>
        </w:rPr>
        <w:t>este suma sensibilităților delta la factorul de risc al curbei pentru toate scadențele curbei.</w:t>
      </w:r>
    </w:p>
    <w:p w14:paraId="0FF6FC2D" w14:textId="77777777"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sz w:val="24"/>
          <w:szCs w:val="24"/>
          <w:lang w:val="ro-RO"/>
        </w:rPr>
        <w:t>125. Pentru a determina cerința de fonduri proprii pentru riscul de curbură la nivel de bandă, băncile agregă, aplicând formula de mai jos, pozițiile nete de risc de curbură ascendent și descendent, calculate în conformitatepct.122, ale tuturor factorilor de risc atribuiți benzii respective în conformitate cu subsecțiunea 1 din secțiunea 3:</w:t>
      </w:r>
    </w:p>
    <w:p w14:paraId="1134FB5B" w14:textId="77777777"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090C9EB4" wp14:editId="2B3578CE">
            <wp:extent cx="4423693" cy="604299"/>
            <wp:effectExtent l="0" t="0" r="0" b="5715"/>
            <wp:docPr id="116" name="Picture 1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67960" cy="610346"/>
                    </a:xfrm>
                    <a:prstGeom prst="rect">
                      <a:avLst/>
                    </a:prstGeom>
                    <a:noFill/>
                    <a:ln>
                      <a:noFill/>
                    </a:ln>
                  </pic:spPr>
                </pic:pic>
              </a:graphicData>
            </a:graphic>
          </wp:inline>
        </w:drawing>
      </w:r>
    </w:p>
    <w:p w14:paraId="389B7D98" w14:textId="77777777"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71"/>
        <w:gridCol w:w="181"/>
        <w:gridCol w:w="10114"/>
      </w:tblGrid>
      <w:tr w:rsidR="00AA1F51" w:rsidRPr="00C26A9B" w14:paraId="790D456E" w14:textId="77777777" w:rsidTr="00D0779B">
        <w:tc>
          <w:tcPr>
            <w:tcW w:w="158" w:type="dxa"/>
            <w:shd w:val="clear" w:color="auto" w:fill="FFFFFF"/>
            <w:hideMark/>
          </w:tcPr>
          <w:p w14:paraId="402DF826" w14:textId="77777777"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i/>
                <w:iCs/>
                <w:sz w:val="24"/>
                <w:szCs w:val="24"/>
                <w:lang w:val="ro-RO"/>
              </w:rPr>
              <w:t>b</w:t>
            </w:r>
          </w:p>
        </w:tc>
        <w:tc>
          <w:tcPr>
            <w:tcW w:w="168" w:type="dxa"/>
            <w:shd w:val="clear" w:color="auto" w:fill="FFFFFF"/>
            <w:hideMark/>
          </w:tcPr>
          <w:p w14:paraId="3E95B208" w14:textId="77777777"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9363" w:type="dxa"/>
            <w:shd w:val="clear" w:color="auto" w:fill="FFFFFF"/>
            <w:hideMark/>
          </w:tcPr>
          <w:p w14:paraId="0FDBA9C9" w14:textId="77777777"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sz w:val="24"/>
                <w:szCs w:val="24"/>
                <w:lang w:val="ro-RO"/>
              </w:rPr>
              <w:t>indicele care desemnează o bandă aparținând unei anumite clase de risc;</w:t>
            </w:r>
          </w:p>
        </w:tc>
      </w:tr>
    </w:tbl>
    <w:p w14:paraId="0D2D7CC2" w14:textId="77777777" w:rsidR="00AA1F51" w:rsidRPr="00C26A9B" w:rsidRDefault="00AA1F51" w:rsidP="00AA1F51">
      <w:pPr>
        <w:rPr>
          <w:rFonts w:ascii="Times New Roman" w:hAnsi="Times New Roman" w:cs="Times New Roman"/>
          <w:vanish/>
          <w:sz w:val="24"/>
          <w:szCs w:val="24"/>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96"/>
        <w:gridCol w:w="193"/>
        <w:gridCol w:w="9977"/>
      </w:tblGrid>
      <w:tr w:rsidR="00AA1F51" w:rsidRPr="00C26A9B" w14:paraId="34F8362E" w14:textId="77777777" w:rsidTr="00D0779B">
        <w:tc>
          <w:tcPr>
            <w:tcW w:w="274" w:type="dxa"/>
            <w:shd w:val="clear" w:color="auto" w:fill="FFFFFF"/>
            <w:hideMark/>
          </w:tcPr>
          <w:p w14:paraId="2517D241" w14:textId="77777777" w:rsidR="00AA1F51" w:rsidRPr="00C26A9B" w:rsidRDefault="00AA1F51" w:rsidP="00AA1F51">
            <w:pPr>
              <w:rPr>
                <w:rFonts w:ascii="Times New Roman" w:hAnsi="Times New Roman" w:cs="Times New Roman"/>
                <w:sz w:val="24"/>
                <w:szCs w:val="24"/>
                <w:lang w:val="ro-RO"/>
              </w:rPr>
            </w:pPr>
            <w:proofErr w:type="spellStart"/>
            <w:r w:rsidRPr="00C26A9B">
              <w:rPr>
                <w:rFonts w:ascii="Times New Roman" w:hAnsi="Times New Roman" w:cs="Times New Roman"/>
                <w:i/>
                <w:iCs/>
                <w:sz w:val="24"/>
                <w:szCs w:val="24"/>
                <w:lang w:val="ro-RO"/>
              </w:rPr>
              <w:t>K</w:t>
            </w:r>
            <w:r w:rsidRPr="00C26A9B">
              <w:rPr>
                <w:rFonts w:ascii="Times New Roman" w:hAnsi="Times New Roman" w:cs="Times New Roman"/>
                <w:i/>
                <w:iCs/>
                <w:sz w:val="24"/>
                <w:szCs w:val="24"/>
                <w:vertAlign w:val="subscript"/>
                <w:lang w:val="ro-RO"/>
              </w:rPr>
              <w:t>b</w:t>
            </w:r>
            <w:proofErr w:type="spellEnd"/>
          </w:p>
        </w:tc>
        <w:tc>
          <w:tcPr>
            <w:tcW w:w="179" w:type="dxa"/>
            <w:shd w:val="clear" w:color="auto" w:fill="FFFFFF"/>
            <w:hideMark/>
          </w:tcPr>
          <w:p w14:paraId="1DE9CECC" w14:textId="77777777"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9236" w:type="dxa"/>
            <w:shd w:val="clear" w:color="auto" w:fill="FFFFFF"/>
            <w:hideMark/>
          </w:tcPr>
          <w:p w14:paraId="2DAF3104" w14:textId="77777777"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sz w:val="24"/>
                <w:szCs w:val="24"/>
                <w:lang w:val="ro-RO"/>
              </w:rPr>
              <w:t>cerința de fonduri proprii pentru riscul de curbură pentru banda b;</w:t>
            </w:r>
          </w:p>
        </w:tc>
      </w:tr>
    </w:tbl>
    <w:p w14:paraId="31434061" w14:textId="77777777"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2CD83BDA" wp14:editId="4375DD62">
            <wp:extent cx="3983355" cy="771276"/>
            <wp:effectExtent l="0" t="0" r="0" b="0"/>
            <wp:docPr id="117" name="Picture 1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21443" cy="778651"/>
                    </a:xfrm>
                    <a:prstGeom prst="rect">
                      <a:avLst/>
                    </a:prstGeom>
                    <a:noFill/>
                    <a:ln>
                      <a:noFill/>
                    </a:ln>
                  </pic:spPr>
                </pic:pic>
              </a:graphicData>
            </a:graphic>
          </wp:inline>
        </w:drawing>
      </w:r>
      <w:r w:rsidRPr="00C26A9B">
        <w:rPr>
          <w:rFonts w:ascii="Times New Roman" w:hAnsi="Times New Roman" w:cs="Times New Roman"/>
          <w:sz w:val="24"/>
          <w:szCs w:val="24"/>
          <w:lang w:val="ro-RO"/>
        </w:rPr>
        <w:t>;</w:t>
      </w:r>
    </w:p>
    <w:p w14:paraId="7C098F85" w14:textId="77777777"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18EA631E" wp14:editId="4FE1105D">
            <wp:extent cx="3935730" cy="707666"/>
            <wp:effectExtent l="0" t="0" r="7620" b="0"/>
            <wp:docPr id="118" name="Picture 11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960411" cy="712104"/>
                    </a:xfrm>
                    <a:prstGeom prst="rect">
                      <a:avLst/>
                    </a:prstGeom>
                    <a:noFill/>
                    <a:ln>
                      <a:noFill/>
                    </a:ln>
                  </pic:spPr>
                </pic:pic>
              </a:graphicData>
            </a:graphic>
          </wp:inline>
        </w:drawing>
      </w:r>
      <w:r w:rsidRPr="00C26A9B">
        <w:rPr>
          <w:rFonts w:ascii="Times New Roman" w:hAnsi="Times New Roman" w:cs="Times New Roman"/>
          <w:sz w:val="24"/>
          <w:szCs w:val="24"/>
          <w:lang w:val="ro-RO"/>
        </w:rPr>
        <w:t>;</w:t>
      </w:r>
    </w:p>
    <w:p w14:paraId="15D3C9B2" w14:textId="77777777"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7A34E7E2" wp14:editId="3701FED2">
            <wp:extent cx="2816481" cy="349857"/>
            <wp:effectExtent l="0" t="0" r="3175" b="0"/>
            <wp:docPr id="119" name="Picture 1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88076" cy="358750"/>
                    </a:xfrm>
                    <a:prstGeom prst="rect">
                      <a:avLst/>
                    </a:prstGeom>
                    <a:noFill/>
                    <a:ln>
                      <a:noFill/>
                    </a:ln>
                  </pic:spPr>
                </pic:pic>
              </a:graphicData>
            </a:graphic>
          </wp:inline>
        </w:drawing>
      </w:r>
      <w:r w:rsidRPr="00C26A9B">
        <w:rPr>
          <w:rFonts w:ascii="Times New Roman" w:hAnsi="Times New Roman" w:cs="Times New Roman"/>
          <w:sz w:val="24"/>
          <w:szCs w:val="24"/>
          <w:lang w:val="ro-RO"/>
        </w:rPr>
        <w:t>;</w:t>
      </w:r>
    </w:p>
    <w:tbl>
      <w:tblPr>
        <w:tblW w:w="5031" w:type="pct"/>
        <w:shd w:val="clear" w:color="auto" w:fill="FFFFFF"/>
        <w:tblLayout w:type="fixed"/>
        <w:tblCellMar>
          <w:left w:w="0" w:type="dxa"/>
          <w:right w:w="0" w:type="dxa"/>
        </w:tblCellMar>
        <w:tblLook w:val="04A0" w:firstRow="1" w:lastRow="0" w:firstColumn="1" w:lastColumn="0" w:noHBand="0" w:noVBand="1"/>
      </w:tblPr>
      <w:tblGrid>
        <w:gridCol w:w="318"/>
        <w:gridCol w:w="160"/>
        <w:gridCol w:w="10053"/>
      </w:tblGrid>
      <w:tr w:rsidR="00AA1F51" w:rsidRPr="00C26A9B" w14:paraId="64ACB824" w14:textId="77777777" w:rsidTr="00AA1F51">
        <w:tc>
          <w:tcPr>
            <w:tcW w:w="284" w:type="dxa"/>
            <w:shd w:val="clear" w:color="auto" w:fill="FFFFFF"/>
            <w:hideMark/>
          </w:tcPr>
          <w:p w14:paraId="78ED6630" w14:textId="77777777" w:rsidR="00AA1F51" w:rsidRPr="00C26A9B" w:rsidRDefault="00AA1F51" w:rsidP="00AA1F51">
            <w:pPr>
              <w:rPr>
                <w:rFonts w:ascii="Times New Roman" w:hAnsi="Times New Roman" w:cs="Times New Roman"/>
                <w:sz w:val="24"/>
                <w:szCs w:val="24"/>
                <w:lang w:val="ro-RO"/>
              </w:rPr>
            </w:pPr>
            <w:proofErr w:type="spellStart"/>
            <w:r w:rsidRPr="00C26A9B">
              <w:rPr>
                <w:rFonts w:ascii="Times New Roman" w:hAnsi="Times New Roman" w:cs="Times New Roman"/>
                <w:i/>
                <w:iCs/>
                <w:sz w:val="24"/>
                <w:szCs w:val="24"/>
                <w:lang w:val="ro-RO"/>
              </w:rPr>
              <w:t>p</w:t>
            </w:r>
            <w:r w:rsidRPr="00C26A9B">
              <w:rPr>
                <w:rFonts w:ascii="Times New Roman" w:hAnsi="Times New Roman" w:cs="Times New Roman"/>
                <w:i/>
                <w:iCs/>
                <w:sz w:val="24"/>
                <w:szCs w:val="24"/>
                <w:vertAlign w:val="subscript"/>
                <w:lang w:val="ro-RO"/>
              </w:rPr>
              <w:t>kl</w:t>
            </w:r>
            <w:proofErr w:type="spellEnd"/>
          </w:p>
        </w:tc>
        <w:tc>
          <w:tcPr>
            <w:tcW w:w="143" w:type="dxa"/>
            <w:shd w:val="clear" w:color="auto" w:fill="FFFFFF"/>
            <w:hideMark/>
          </w:tcPr>
          <w:p w14:paraId="467625F0" w14:textId="77777777"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986" w:type="dxa"/>
            <w:shd w:val="clear" w:color="auto" w:fill="FFFFFF"/>
            <w:hideMark/>
          </w:tcPr>
          <w:p w14:paraId="3D9A549C" w14:textId="77777777"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sz w:val="24"/>
                <w:szCs w:val="24"/>
                <w:lang w:val="ro-RO"/>
              </w:rPr>
              <w:t>corelațiile din cadrul unei benzi dintre factorii de risc k și l, indicate în secțiunea 6;</w:t>
            </w:r>
          </w:p>
        </w:tc>
      </w:tr>
    </w:tbl>
    <w:p w14:paraId="51212441" w14:textId="77777777" w:rsidR="00AA1F51" w:rsidRPr="00C26A9B" w:rsidRDefault="00AA1F51" w:rsidP="00AA1F51">
      <w:pPr>
        <w:rPr>
          <w:rFonts w:ascii="Times New Roman" w:hAnsi="Times New Roman" w:cs="Times New Roman"/>
          <w:vanish/>
          <w:sz w:val="24"/>
          <w:szCs w:val="24"/>
          <w:lang w:val="ro-RO"/>
        </w:rPr>
      </w:pPr>
    </w:p>
    <w:tbl>
      <w:tblPr>
        <w:tblW w:w="5096" w:type="pct"/>
        <w:shd w:val="clear" w:color="auto" w:fill="FFFFFF"/>
        <w:tblLayout w:type="fixed"/>
        <w:tblCellMar>
          <w:left w:w="0" w:type="dxa"/>
          <w:right w:w="0" w:type="dxa"/>
        </w:tblCellMar>
        <w:tblLook w:val="04A0" w:firstRow="1" w:lastRow="0" w:firstColumn="1" w:lastColumn="0" w:noHBand="0" w:noVBand="1"/>
      </w:tblPr>
      <w:tblGrid>
        <w:gridCol w:w="477"/>
        <w:gridCol w:w="144"/>
        <w:gridCol w:w="10046"/>
      </w:tblGrid>
      <w:tr w:rsidR="00AA1F51" w:rsidRPr="00C26A9B" w14:paraId="2349311B" w14:textId="77777777" w:rsidTr="00AA1F51">
        <w:tc>
          <w:tcPr>
            <w:tcW w:w="426" w:type="dxa"/>
            <w:shd w:val="clear" w:color="auto" w:fill="FFFFFF"/>
            <w:hideMark/>
          </w:tcPr>
          <w:p w14:paraId="7F78B005" w14:textId="77777777"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i/>
                <w:iCs/>
                <w:sz w:val="24"/>
                <w:szCs w:val="24"/>
                <w:lang w:val="ro-RO"/>
              </w:rPr>
              <w:t>k, l</w:t>
            </w:r>
          </w:p>
        </w:tc>
        <w:tc>
          <w:tcPr>
            <w:tcW w:w="129" w:type="dxa"/>
            <w:shd w:val="clear" w:color="auto" w:fill="FFFFFF"/>
            <w:hideMark/>
          </w:tcPr>
          <w:p w14:paraId="5405AAEC" w14:textId="77777777"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979" w:type="dxa"/>
            <w:shd w:val="clear" w:color="auto" w:fill="FFFFFF"/>
            <w:hideMark/>
          </w:tcPr>
          <w:p w14:paraId="787B0A5B" w14:textId="036ACDE4"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sz w:val="24"/>
                <w:szCs w:val="24"/>
                <w:lang w:val="ro-RO"/>
              </w:rPr>
              <w:t>indicii care desemnează toți factorii de risc ai instrumentelor menționate la</w:t>
            </w:r>
            <w:r w:rsidR="007C7A1E">
              <w:rPr>
                <w:rFonts w:ascii="Times New Roman" w:hAnsi="Times New Roman" w:cs="Times New Roman"/>
                <w:sz w:val="24"/>
                <w:szCs w:val="24"/>
                <w:lang w:val="ro-RO"/>
              </w:rPr>
              <w:t xml:space="preserve"> pct.120-121</w:t>
            </w:r>
            <w:r w:rsidRPr="00C26A9B">
              <w:rPr>
                <w:rFonts w:ascii="Times New Roman" w:hAnsi="Times New Roman" w:cs="Times New Roman"/>
                <w:sz w:val="24"/>
                <w:szCs w:val="24"/>
                <w:lang w:val="ro-RO"/>
              </w:rPr>
              <w:t xml:space="preserve"> care sunt atribuiți benzii b;</w:t>
            </w:r>
          </w:p>
        </w:tc>
      </w:tr>
    </w:tbl>
    <w:p w14:paraId="49EDAFF3" w14:textId="77777777" w:rsidR="00AA1F51" w:rsidRPr="00C26A9B" w:rsidRDefault="00AA1F51" w:rsidP="00AA1F51">
      <w:pPr>
        <w:rPr>
          <w:rFonts w:ascii="Times New Roman" w:hAnsi="Times New Roman" w:cs="Times New Roman"/>
          <w:vanish/>
          <w:sz w:val="24"/>
          <w:szCs w:val="24"/>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45"/>
        <w:gridCol w:w="275"/>
        <w:gridCol w:w="8846"/>
      </w:tblGrid>
      <w:tr w:rsidR="00AA1F51" w:rsidRPr="00C26A9B" w14:paraId="6765A8EF" w14:textId="77777777" w:rsidTr="00D0779B">
        <w:tc>
          <w:tcPr>
            <w:tcW w:w="1245" w:type="dxa"/>
            <w:shd w:val="clear" w:color="auto" w:fill="FFFFFF"/>
            <w:hideMark/>
          </w:tcPr>
          <w:p w14:paraId="3E83E0A2" w14:textId="77777777"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r w:rsidRPr="00C26A9B">
              <w:rPr>
                <w:rFonts w:ascii="Times New Roman" w:hAnsi="Times New Roman" w:cs="Times New Roman"/>
                <w:noProof/>
                <w:sz w:val="24"/>
                <w:szCs w:val="24"/>
                <w:lang w:val="ro-RO"/>
              </w:rPr>
              <w:drawing>
                <wp:inline distT="0" distB="0" distL="0" distR="0" wp14:anchorId="49AC1827" wp14:editId="31131509">
                  <wp:extent cx="435610" cy="182880"/>
                  <wp:effectExtent l="0" t="0" r="2540" b="7620"/>
                  <wp:docPr id="120" name="Picture 12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4790" cy="186734"/>
                          </a:xfrm>
                          <a:prstGeom prst="rect">
                            <a:avLst/>
                          </a:prstGeom>
                          <a:noFill/>
                          <a:ln>
                            <a:noFill/>
                          </a:ln>
                        </pic:spPr>
                      </pic:pic>
                    </a:graphicData>
                  </a:graphic>
                </wp:inline>
              </w:drawing>
            </w:r>
            <w:r w:rsidRPr="00C26A9B">
              <w:rPr>
                <w:rFonts w:ascii="Times New Roman" w:hAnsi="Times New Roman" w:cs="Times New Roman"/>
                <w:sz w:val="24"/>
                <w:szCs w:val="24"/>
                <w:lang w:val="ro-RO"/>
              </w:rPr>
              <w:t>)</w:t>
            </w:r>
          </w:p>
        </w:tc>
        <w:tc>
          <w:tcPr>
            <w:tcW w:w="255" w:type="dxa"/>
            <w:shd w:val="clear" w:color="auto" w:fill="FFFFFF"/>
            <w:hideMark/>
          </w:tcPr>
          <w:p w14:paraId="644D7B25" w14:textId="77777777"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189" w:type="dxa"/>
            <w:shd w:val="clear" w:color="auto" w:fill="FFFFFF"/>
            <w:hideMark/>
          </w:tcPr>
          <w:p w14:paraId="0B7A218C" w14:textId="77777777"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sz w:val="24"/>
                <w:szCs w:val="24"/>
                <w:lang w:val="ro-RO"/>
              </w:rPr>
              <w:t>poziția netă de risc de curbură ascendent;</w:t>
            </w:r>
          </w:p>
        </w:tc>
      </w:tr>
    </w:tbl>
    <w:p w14:paraId="420ED80D" w14:textId="77777777" w:rsidR="00AA1F51" w:rsidRPr="00C26A9B" w:rsidRDefault="00AA1F51" w:rsidP="00AA1F51">
      <w:pPr>
        <w:rPr>
          <w:rFonts w:ascii="Times New Roman" w:hAnsi="Times New Roman" w:cs="Times New Roman"/>
          <w:vanish/>
          <w:sz w:val="24"/>
          <w:szCs w:val="24"/>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15"/>
        <w:gridCol w:w="270"/>
        <w:gridCol w:w="8881"/>
      </w:tblGrid>
      <w:tr w:rsidR="00AA1F51" w:rsidRPr="00C26A9B" w14:paraId="7DFA5E9D" w14:textId="77777777" w:rsidTr="006F6914">
        <w:tc>
          <w:tcPr>
            <w:tcW w:w="1176" w:type="dxa"/>
            <w:shd w:val="clear" w:color="auto" w:fill="FFFFFF"/>
            <w:hideMark/>
          </w:tcPr>
          <w:p w14:paraId="4E8354E5" w14:textId="77777777"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r w:rsidRPr="00C26A9B">
              <w:rPr>
                <w:rFonts w:ascii="Times New Roman" w:hAnsi="Times New Roman" w:cs="Times New Roman"/>
                <w:noProof/>
                <w:sz w:val="24"/>
                <w:szCs w:val="24"/>
                <w:lang w:val="ro-RO"/>
              </w:rPr>
              <w:drawing>
                <wp:inline distT="0" distB="0" distL="0" distR="0" wp14:anchorId="071D2941" wp14:editId="7C52F6F6">
                  <wp:extent cx="481965" cy="151075"/>
                  <wp:effectExtent l="0" t="0" r="0" b="1905"/>
                  <wp:docPr id="121" name="Picture 1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2684" cy="154435"/>
                          </a:xfrm>
                          <a:prstGeom prst="rect">
                            <a:avLst/>
                          </a:prstGeom>
                          <a:noFill/>
                          <a:ln>
                            <a:noFill/>
                          </a:ln>
                        </pic:spPr>
                      </pic:pic>
                    </a:graphicData>
                  </a:graphic>
                </wp:inline>
              </w:drawing>
            </w:r>
            <w:r w:rsidRPr="00C26A9B">
              <w:rPr>
                <w:rFonts w:ascii="Times New Roman" w:hAnsi="Times New Roman" w:cs="Times New Roman"/>
                <w:sz w:val="24"/>
                <w:szCs w:val="24"/>
                <w:lang w:val="ro-RO"/>
              </w:rPr>
              <w:t>)</w:t>
            </w:r>
          </w:p>
        </w:tc>
        <w:tc>
          <w:tcPr>
            <w:tcW w:w="241" w:type="dxa"/>
            <w:shd w:val="clear" w:color="auto" w:fill="FFFFFF"/>
            <w:hideMark/>
          </w:tcPr>
          <w:p w14:paraId="1F5CBDCB" w14:textId="77777777"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7938" w:type="dxa"/>
            <w:shd w:val="clear" w:color="auto" w:fill="FFFFFF"/>
            <w:hideMark/>
          </w:tcPr>
          <w:p w14:paraId="43E9DE1A" w14:textId="77777777" w:rsidR="00AA1F51" w:rsidRPr="00C26A9B" w:rsidRDefault="00AA1F51" w:rsidP="00AA1F51">
            <w:pPr>
              <w:rPr>
                <w:rFonts w:ascii="Times New Roman" w:hAnsi="Times New Roman" w:cs="Times New Roman"/>
                <w:sz w:val="24"/>
                <w:szCs w:val="24"/>
                <w:lang w:val="ro-RO"/>
              </w:rPr>
            </w:pPr>
            <w:r w:rsidRPr="00C26A9B">
              <w:rPr>
                <w:rFonts w:ascii="Times New Roman" w:hAnsi="Times New Roman" w:cs="Times New Roman"/>
                <w:sz w:val="24"/>
                <w:szCs w:val="24"/>
                <w:lang w:val="ro-RO"/>
              </w:rPr>
              <w:t>poziția netă de risc de curbură descendent.</w:t>
            </w:r>
          </w:p>
        </w:tc>
      </w:tr>
    </w:tbl>
    <w:p w14:paraId="12744848" w14:textId="77777777" w:rsidR="006F6914" w:rsidRPr="00C26A9B" w:rsidRDefault="006F6914" w:rsidP="006F6914">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126.   Prin derogare de la pct.125, pentru calcularea cerințelor de fonduri proprii la nivel de bandă pentru riscul de curbură al benzii 18 de la para.4 subsecțiunea 1, secțiunea 6, al benzii 18 de la para.7 subsecțiunea </w:t>
      </w:r>
      <w:r w:rsidRPr="00C26A9B">
        <w:rPr>
          <w:rFonts w:ascii="Times New Roman" w:hAnsi="Times New Roman" w:cs="Times New Roman"/>
          <w:sz w:val="24"/>
          <w:szCs w:val="24"/>
          <w:lang w:val="ro-RO"/>
        </w:rPr>
        <w:lastRenderedPageBreak/>
        <w:t>1, secțiunea 6 , al benzii 25 de la para.9 subsecțiunea 1, secțiunea 6 și al benzii 11 de la para.12 subsecțiunea 1, secțiunea 6 se utilizează următoarea formulă:</w:t>
      </w:r>
    </w:p>
    <w:p w14:paraId="2FDEC34C" w14:textId="12059C6B" w:rsidR="00AA1F51" w:rsidRPr="00C26A9B" w:rsidRDefault="006F6914" w:rsidP="006F6914">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7C4E796D" wp14:editId="69955284">
            <wp:extent cx="2736850" cy="400050"/>
            <wp:effectExtent l="0" t="0" r="6350" b="0"/>
            <wp:docPr id="122" name="Picture 1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36850" cy="400050"/>
                    </a:xfrm>
                    <a:prstGeom prst="rect">
                      <a:avLst/>
                    </a:prstGeom>
                    <a:noFill/>
                    <a:ln>
                      <a:noFill/>
                    </a:ln>
                  </pic:spPr>
                </pic:pic>
              </a:graphicData>
            </a:graphic>
          </wp:inline>
        </w:drawing>
      </w:r>
    </w:p>
    <w:p w14:paraId="40548204" w14:textId="77777777" w:rsidR="006F6914" w:rsidRPr="00C26A9B" w:rsidRDefault="006F6914" w:rsidP="006F6914">
      <w:pPr>
        <w:rPr>
          <w:rFonts w:ascii="Times New Roman" w:hAnsi="Times New Roman" w:cs="Times New Roman"/>
          <w:sz w:val="24"/>
          <w:szCs w:val="24"/>
          <w:lang w:val="ro-RO"/>
        </w:rPr>
      </w:pPr>
      <w:r w:rsidRPr="00C26A9B">
        <w:rPr>
          <w:rFonts w:ascii="Times New Roman" w:hAnsi="Times New Roman" w:cs="Times New Roman"/>
          <w:sz w:val="24"/>
          <w:szCs w:val="24"/>
          <w:lang w:val="ro-RO"/>
        </w:rPr>
        <w:t>127.  Băncile calculează cerințele de fonduri proprii aferente clasei de risc pentru riscul de curbură (</w:t>
      </w:r>
      <w:r w:rsidRPr="00C26A9B">
        <w:rPr>
          <w:rFonts w:ascii="Times New Roman" w:hAnsi="Times New Roman" w:cs="Times New Roman"/>
          <w:i/>
          <w:iCs/>
          <w:sz w:val="24"/>
          <w:szCs w:val="24"/>
          <w:lang w:val="ro-RO"/>
        </w:rPr>
        <w:t>RCCR)</w:t>
      </w:r>
      <w:r w:rsidRPr="00C26A9B">
        <w:rPr>
          <w:rFonts w:ascii="Times New Roman" w:hAnsi="Times New Roman" w:cs="Times New Roman"/>
          <w:sz w:val="24"/>
          <w:szCs w:val="24"/>
          <w:lang w:val="ro-RO"/>
        </w:rPr>
        <w:t> prin agregarea tuturor cerințelor de fonduri proprii pentru riscul de curbură la nivel de bandă dintr-o anumită clasă de risc după cum urmează:</w:t>
      </w:r>
    </w:p>
    <w:p w14:paraId="050CA654" w14:textId="77777777" w:rsidR="006F6914" w:rsidRPr="00C26A9B" w:rsidRDefault="006F6914" w:rsidP="006F6914">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1DC0960B" wp14:editId="0048E82F">
            <wp:extent cx="3028950" cy="571500"/>
            <wp:effectExtent l="0" t="0" r="0" b="0"/>
            <wp:docPr id="123" name="Picture 12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28950" cy="571500"/>
                    </a:xfrm>
                    <a:prstGeom prst="rect">
                      <a:avLst/>
                    </a:prstGeom>
                    <a:noFill/>
                    <a:ln>
                      <a:noFill/>
                    </a:ln>
                  </pic:spPr>
                </pic:pic>
              </a:graphicData>
            </a:graphic>
          </wp:inline>
        </w:drawing>
      </w:r>
    </w:p>
    <w:p w14:paraId="515593F2" w14:textId="77777777" w:rsidR="006F6914" w:rsidRPr="00C26A9B" w:rsidRDefault="006F6914" w:rsidP="006F6914">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01"/>
        <w:gridCol w:w="144"/>
        <w:gridCol w:w="10021"/>
      </w:tblGrid>
      <w:tr w:rsidR="006F6914" w:rsidRPr="00C26A9B" w14:paraId="602F294A" w14:textId="77777777" w:rsidTr="00D0779B">
        <w:tc>
          <w:tcPr>
            <w:tcW w:w="279" w:type="dxa"/>
            <w:shd w:val="clear" w:color="auto" w:fill="FFFFFF"/>
            <w:hideMark/>
          </w:tcPr>
          <w:p w14:paraId="5B1983ED" w14:textId="77777777" w:rsidR="006F6914" w:rsidRPr="00C26A9B" w:rsidRDefault="006F6914" w:rsidP="006F6914">
            <w:pPr>
              <w:rPr>
                <w:rFonts w:ascii="Times New Roman" w:hAnsi="Times New Roman" w:cs="Times New Roman"/>
                <w:sz w:val="24"/>
                <w:szCs w:val="24"/>
                <w:lang w:val="ro-RO"/>
              </w:rPr>
            </w:pPr>
            <w:r w:rsidRPr="00C26A9B">
              <w:rPr>
                <w:rFonts w:ascii="Times New Roman" w:hAnsi="Times New Roman" w:cs="Times New Roman"/>
                <w:i/>
                <w:iCs/>
                <w:sz w:val="24"/>
                <w:szCs w:val="24"/>
                <w:lang w:val="ro-RO"/>
              </w:rPr>
              <w:t>b, c</w:t>
            </w:r>
          </w:p>
        </w:tc>
        <w:tc>
          <w:tcPr>
            <w:tcW w:w="133" w:type="dxa"/>
            <w:shd w:val="clear" w:color="auto" w:fill="FFFFFF"/>
            <w:hideMark/>
          </w:tcPr>
          <w:p w14:paraId="7CE71334" w14:textId="77777777" w:rsidR="006F6914" w:rsidRPr="00C26A9B" w:rsidRDefault="006F6914" w:rsidP="006F6914">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9277" w:type="dxa"/>
            <w:shd w:val="clear" w:color="auto" w:fill="FFFFFF"/>
            <w:hideMark/>
          </w:tcPr>
          <w:p w14:paraId="47D8B89D" w14:textId="77777777" w:rsidR="006F6914" w:rsidRPr="00C26A9B" w:rsidRDefault="006F6914" w:rsidP="006F6914">
            <w:pPr>
              <w:rPr>
                <w:rFonts w:ascii="Times New Roman" w:hAnsi="Times New Roman" w:cs="Times New Roman"/>
                <w:sz w:val="24"/>
                <w:szCs w:val="24"/>
                <w:lang w:val="ro-RO"/>
              </w:rPr>
            </w:pPr>
            <w:r w:rsidRPr="00C26A9B">
              <w:rPr>
                <w:rFonts w:ascii="Times New Roman" w:hAnsi="Times New Roman" w:cs="Times New Roman"/>
                <w:sz w:val="24"/>
                <w:szCs w:val="24"/>
                <w:lang w:val="ro-RO"/>
              </w:rPr>
              <w:t>indicii care desemnează toate benzile dintr-o anumită clasă de risc care corespunde instrumentelor menționate lapct.120;</w:t>
            </w:r>
          </w:p>
        </w:tc>
      </w:tr>
    </w:tbl>
    <w:p w14:paraId="0C4FD5F3" w14:textId="77777777" w:rsidR="006F6914" w:rsidRPr="00C26A9B" w:rsidRDefault="006F6914" w:rsidP="006F6914">
      <w:pPr>
        <w:rPr>
          <w:rFonts w:ascii="Times New Roman" w:hAnsi="Times New Roman" w:cs="Times New Roman"/>
          <w:vanish/>
          <w:sz w:val="24"/>
          <w:szCs w:val="24"/>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96"/>
        <w:gridCol w:w="193"/>
        <w:gridCol w:w="9977"/>
      </w:tblGrid>
      <w:tr w:rsidR="006F6914" w:rsidRPr="00C26A9B" w14:paraId="4C01BFD7" w14:textId="77777777" w:rsidTr="00A527D3">
        <w:tc>
          <w:tcPr>
            <w:tcW w:w="296" w:type="dxa"/>
            <w:shd w:val="clear" w:color="auto" w:fill="FFFFFF"/>
            <w:hideMark/>
          </w:tcPr>
          <w:p w14:paraId="6DCF8B7D" w14:textId="77777777" w:rsidR="006F6914" w:rsidRPr="00C26A9B" w:rsidRDefault="006F6914" w:rsidP="006F6914">
            <w:pPr>
              <w:rPr>
                <w:rFonts w:ascii="Times New Roman" w:hAnsi="Times New Roman" w:cs="Times New Roman"/>
                <w:sz w:val="24"/>
                <w:szCs w:val="24"/>
                <w:lang w:val="ro-RO"/>
              </w:rPr>
            </w:pPr>
            <w:proofErr w:type="spellStart"/>
            <w:r w:rsidRPr="00C26A9B">
              <w:rPr>
                <w:rFonts w:ascii="Times New Roman" w:hAnsi="Times New Roman" w:cs="Times New Roman"/>
                <w:i/>
                <w:iCs/>
                <w:sz w:val="24"/>
                <w:szCs w:val="24"/>
                <w:lang w:val="ro-RO"/>
              </w:rPr>
              <w:t>K</w:t>
            </w:r>
            <w:r w:rsidRPr="00C26A9B">
              <w:rPr>
                <w:rFonts w:ascii="Times New Roman" w:hAnsi="Times New Roman" w:cs="Times New Roman"/>
                <w:i/>
                <w:iCs/>
                <w:sz w:val="24"/>
                <w:szCs w:val="24"/>
                <w:vertAlign w:val="subscript"/>
                <w:lang w:val="ro-RO"/>
              </w:rPr>
              <w:t>b</w:t>
            </w:r>
            <w:proofErr w:type="spellEnd"/>
          </w:p>
        </w:tc>
        <w:tc>
          <w:tcPr>
            <w:tcW w:w="193" w:type="dxa"/>
            <w:shd w:val="clear" w:color="auto" w:fill="FFFFFF"/>
            <w:hideMark/>
          </w:tcPr>
          <w:p w14:paraId="4E272DCD" w14:textId="77777777" w:rsidR="006F6914" w:rsidRPr="00C26A9B" w:rsidRDefault="006F6914" w:rsidP="006F6914">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9977" w:type="dxa"/>
            <w:shd w:val="clear" w:color="auto" w:fill="FFFFFF"/>
            <w:hideMark/>
          </w:tcPr>
          <w:p w14:paraId="5014E0D2" w14:textId="77777777" w:rsidR="006F6914" w:rsidRPr="00E14364" w:rsidRDefault="006F6914" w:rsidP="006F6914">
            <w:pPr>
              <w:rPr>
                <w:rFonts w:ascii="Times New Roman" w:hAnsi="Times New Roman" w:cs="Times New Roman"/>
                <w:sz w:val="24"/>
                <w:szCs w:val="24"/>
                <w:lang w:val="ro-RO"/>
              </w:rPr>
            </w:pPr>
            <w:r w:rsidRPr="00E14364">
              <w:rPr>
                <w:rFonts w:ascii="Times New Roman" w:hAnsi="Times New Roman" w:cs="Times New Roman"/>
                <w:sz w:val="24"/>
                <w:szCs w:val="24"/>
                <w:lang w:val="ro-RO"/>
              </w:rPr>
              <w:t>cerința de fonduri proprii pentru riscul de curbură pentru banda b;</w:t>
            </w:r>
          </w:p>
        </w:tc>
      </w:tr>
    </w:tbl>
    <w:p w14:paraId="3D607F70" w14:textId="0A98F5B7" w:rsidR="00A527D3" w:rsidRPr="00A527D3" w:rsidRDefault="00000000" w:rsidP="00A527D3">
      <w:pPr>
        <w:pStyle w:val="BodyText"/>
        <w:tabs>
          <w:tab w:val="left" w:pos="2539"/>
        </w:tabs>
        <w:ind w:right="-2021"/>
        <w:jc w:val="left"/>
        <w:rPr>
          <w:b/>
          <w:bCs/>
        </w:rPr>
      </w:pPr>
      <m:oMathPara>
        <m:oMathParaPr>
          <m:jc m:val="left"/>
        </m:oMathParaPr>
        <m:oMath>
          <m:sSub>
            <m:sSubPr>
              <m:ctrlPr>
                <w:rPr>
                  <w:rFonts w:ascii="Cambria Math" w:hAnsi="Cambria Math"/>
                  <w:b/>
                  <w:bCs/>
                  <w:i/>
                  <w:sz w:val="16"/>
                  <w:szCs w:val="16"/>
                </w:rPr>
              </m:ctrlPr>
            </m:sSubPr>
            <m:e>
              <m:r>
                <m:rPr>
                  <m:sty m:val="bi"/>
                </m:rPr>
                <w:rPr>
                  <w:rFonts w:ascii="Cambria Math" w:hAnsi="Cambria Math"/>
                  <w:sz w:val="16"/>
                  <w:szCs w:val="16"/>
                </w:rPr>
                <m:t>S</m:t>
              </m:r>
            </m:e>
            <m:sub>
              <m:r>
                <m:rPr>
                  <m:sty m:val="bi"/>
                </m:rPr>
                <w:rPr>
                  <w:rFonts w:ascii="Cambria Math" w:hAnsi="Cambria Math"/>
                  <w:sz w:val="16"/>
                  <w:szCs w:val="16"/>
                </w:rPr>
                <m:t>b</m:t>
              </m:r>
            </m:sub>
          </m:sSub>
          <m:r>
            <m:rPr>
              <m:sty m:val="bi"/>
            </m:rPr>
            <w:rPr>
              <w:rFonts w:ascii="Cambria Math" w:hAnsi="Cambria Math"/>
              <w:sz w:val="16"/>
              <w:szCs w:val="16"/>
            </w:rPr>
            <m:t>=</m:t>
          </m:r>
          <m:d>
            <m:dPr>
              <m:begChr m:val="{"/>
              <m:endChr m:val=""/>
              <m:ctrlPr>
                <w:rPr>
                  <w:rFonts w:ascii="Cambria Math" w:hAnsi="Cambria Math"/>
                  <w:b/>
                  <w:bCs/>
                  <w:i/>
                  <w:sz w:val="16"/>
                  <w:szCs w:val="16"/>
                </w:rPr>
              </m:ctrlPr>
            </m:dPr>
            <m:e>
              <m:eqArr>
                <m:eqArrPr>
                  <m:ctrlPr>
                    <w:rPr>
                      <w:rFonts w:ascii="Cambria Math" w:hAnsi="Cambria Math"/>
                      <w:b/>
                      <w:bCs/>
                      <w:i/>
                      <w:sz w:val="16"/>
                      <w:szCs w:val="16"/>
                    </w:rPr>
                  </m:ctrlPr>
                </m:eqArrPr>
                <m:e>
                  <m:nary>
                    <m:naryPr>
                      <m:chr m:val="∑"/>
                      <m:limLoc m:val="subSup"/>
                      <m:supHide m:val="1"/>
                      <m:ctrlPr>
                        <w:rPr>
                          <w:rFonts w:ascii="Cambria Math" w:hAnsi="Cambria Math"/>
                          <w:b/>
                          <w:bCs/>
                          <w:i/>
                          <w:sz w:val="16"/>
                          <w:szCs w:val="16"/>
                        </w:rPr>
                      </m:ctrlPr>
                    </m:naryPr>
                    <m:sub>
                      <m:r>
                        <m:rPr>
                          <m:sty m:val="bi"/>
                        </m:rPr>
                        <w:rPr>
                          <w:rFonts w:ascii="Cambria Math" w:hAnsi="Cambria Math"/>
                          <w:sz w:val="16"/>
                          <w:szCs w:val="16"/>
                        </w:rPr>
                        <m:t>k</m:t>
                      </m:r>
                    </m:sub>
                    <m:sup/>
                    <m:e>
                      <m:sSubSup>
                        <m:sSubSupPr>
                          <m:ctrlPr>
                            <w:rPr>
                              <w:rFonts w:ascii="Cambria Math" w:hAnsi="Cambria Math"/>
                              <w:b/>
                              <w:bCs/>
                              <w:i/>
                              <w:sz w:val="16"/>
                              <w:szCs w:val="16"/>
                            </w:rPr>
                          </m:ctrlPr>
                        </m:sSubSupPr>
                        <m:e>
                          <m:r>
                            <m:rPr>
                              <m:sty m:val="bi"/>
                            </m:rPr>
                            <w:rPr>
                              <w:rFonts w:ascii="Cambria Math" w:hAnsi="Cambria Math"/>
                              <w:sz w:val="16"/>
                              <w:szCs w:val="16"/>
                            </w:rPr>
                            <m:t>CVR</m:t>
                          </m:r>
                        </m:e>
                        <m:sub>
                          <m:r>
                            <m:rPr>
                              <m:sty m:val="bi"/>
                            </m:rPr>
                            <w:rPr>
                              <w:rFonts w:ascii="Cambria Math" w:hAnsi="Cambria Math"/>
                              <w:sz w:val="16"/>
                              <w:szCs w:val="16"/>
                            </w:rPr>
                            <m:t>k</m:t>
                          </m:r>
                        </m:sub>
                        <m:sup>
                          <m:r>
                            <m:rPr>
                              <m:sty m:val="bi"/>
                            </m:rPr>
                            <w:rPr>
                              <w:rFonts w:ascii="Cambria Math" w:hAnsi="Cambria Math"/>
                              <w:sz w:val="16"/>
                              <w:szCs w:val="16"/>
                            </w:rPr>
                            <m:t>+</m:t>
                          </m:r>
                        </m:sup>
                      </m:sSubSup>
                    </m:e>
                  </m:nary>
                  <m:r>
                    <m:rPr>
                      <m:sty m:val="bi"/>
                    </m:rPr>
                    <w:rPr>
                      <w:rFonts w:ascii="Cambria Math" w:hAnsi="Cambria Math"/>
                      <w:sz w:val="16"/>
                      <w:szCs w:val="16"/>
                    </w:rPr>
                    <m:t xml:space="preserve">,  dacă </m:t>
                  </m:r>
                  <m:sSub>
                    <m:sSubPr>
                      <m:ctrlPr>
                        <w:rPr>
                          <w:rFonts w:ascii="Cambria Math" w:hAnsi="Cambria Math"/>
                          <w:b/>
                          <w:bCs/>
                          <w:i/>
                          <w:sz w:val="16"/>
                          <w:szCs w:val="16"/>
                        </w:rPr>
                      </m:ctrlPr>
                    </m:sSubPr>
                    <m:e>
                      <m:r>
                        <m:rPr>
                          <m:sty m:val="bi"/>
                        </m:rPr>
                        <w:rPr>
                          <w:rFonts w:ascii="Cambria Math" w:hAnsi="Cambria Math"/>
                          <w:sz w:val="16"/>
                          <w:szCs w:val="16"/>
                        </w:rPr>
                        <m:t>K</m:t>
                      </m:r>
                    </m:e>
                    <m:sub>
                      <m:r>
                        <m:rPr>
                          <m:sty m:val="bi"/>
                        </m:rPr>
                        <w:rPr>
                          <w:rFonts w:ascii="Cambria Math" w:hAnsi="Cambria Math"/>
                          <w:sz w:val="16"/>
                          <w:szCs w:val="16"/>
                        </w:rPr>
                        <m:t>b</m:t>
                      </m:r>
                    </m:sub>
                  </m:sSub>
                  <m:r>
                    <m:rPr>
                      <m:sty m:val="bi"/>
                    </m:rPr>
                    <w:rPr>
                      <w:rFonts w:ascii="Cambria Math" w:hAnsi="Cambria Math"/>
                      <w:sz w:val="16"/>
                      <w:szCs w:val="16"/>
                    </w:rPr>
                    <m:t xml:space="preserve">= </m:t>
                  </m:r>
                  <m:sSubSup>
                    <m:sSubSupPr>
                      <m:ctrlPr>
                        <w:rPr>
                          <w:rFonts w:ascii="Cambria Math" w:hAnsi="Cambria Math"/>
                          <w:b/>
                          <w:bCs/>
                          <w:i/>
                          <w:sz w:val="16"/>
                          <w:szCs w:val="16"/>
                        </w:rPr>
                      </m:ctrlPr>
                    </m:sSubSupPr>
                    <m:e>
                      <m:r>
                        <m:rPr>
                          <m:sty m:val="bi"/>
                        </m:rPr>
                        <w:rPr>
                          <w:rFonts w:ascii="Cambria Math" w:hAnsi="Cambria Math"/>
                          <w:sz w:val="16"/>
                          <w:szCs w:val="16"/>
                        </w:rPr>
                        <m:t>K</m:t>
                      </m:r>
                    </m:e>
                    <m:sub>
                      <m:r>
                        <m:rPr>
                          <m:sty m:val="bi"/>
                        </m:rPr>
                        <w:rPr>
                          <w:rFonts w:ascii="Cambria Math" w:hAnsi="Cambria Math"/>
                          <w:sz w:val="16"/>
                          <w:szCs w:val="16"/>
                        </w:rPr>
                        <m:t>b</m:t>
                      </m:r>
                    </m:sub>
                    <m:sup>
                      <m:r>
                        <m:rPr>
                          <m:sty m:val="bi"/>
                        </m:rPr>
                        <w:rPr>
                          <w:rFonts w:ascii="Cambria Math" w:hAnsi="Cambria Math"/>
                          <w:sz w:val="16"/>
                          <w:szCs w:val="16"/>
                        </w:rPr>
                        <m:t>+</m:t>
                      </m:r>
                    </m:sup>
                  </m:sSubSup>
                  <m:r>
                    <m:rPr>
                      <m:sty m:val="bi"/>
                    </m:rPr>
                    <w:rPr>
                      <w:rFonts w:ascii="Cambria Math" w:hAnsi="Cambria Math"/>
                      <w:sz w:val="16"/>
                      <w:szCs w:val="16"/>
                    </w:rPr>
                    <m:t xml:space="preserve"> în conformitate cu pct.125</m:t>
                  </m:r>
                </m:e>
                <m:e>
                  <m:r>
                    <m:rPr>
                      <m:sty m:val="bi"/>
                    </m:rPr>
                    <w:rPr>
                      <w:rFonts w:ascii="Cambria Math" w:hAnsi="Cambria Math"/>
                      <w:sz w:val="16"/>
                      <w:szCs w:val="16"/>
                    </w:rPr>
                    <m:t xml:space="preserve">    </m:t>
                  </m:r>
                  <m:nary>
                    <m:naryPr>
                      <m:chr m:val="∑"/>
                      <m:limLoc m:val="subSup"/>
                      <m:supHide m:val="1"/>
                      <m:ctrlPr>
                        <w:rPr>
                          <w:rFonts w:ascii="Cambria Math" w:hAnsi="Cambria Math"/>
                          <w:b/>
                          <w:bCs/>
                          <w:i/>
                          <w:sz w:val="16"/>
                          <w:szCs w:val="16"/>
                        </w:rPr>
                      </m:ctrlPr>
                    </m:naryPr>
                    <m:sub>
                      <m:r>
                        <m:rPr>
                          <m:sty m:val="bi"/>
                        </m:rPr>
                        <w:rPr>
                          <w:rFonts w:ascii="Cambria Math" w:hAnsi="Cambria Math"/>
                          <w:sz w:val="16"/>
                          <w:szCs w:val="16"/>
                        </w:rPr>
                        <m:t>k</m:t>
                      </m:r>
                    </m:sub>
                    <m:sup/>
                    <m:e>
                      <m:sSubSup>
                        <m:sSubSupPr>
                          <m:ctrlPr>
                            <w:rPr>
                              <w:rFonts w:ascii="Cambria Math" w:hAnsi="Cambria Math"/>
                              <w:b/>
                              <w:bCs/>
                              <w:i/>
                              <w:sz w:val="16"/>
                              <w:szCs w:val="16"/>
                            </w:rPr>
                          </m:ctrlPr>
                        </m:sSubSupPr>
                        <m:e>
                          <m:r>
                            <m:rPr>
                              <m:sty m:val="bi"/>
                            </m:rPr>
                            <w:rPr>
                              <w:rFonts w:ascii="Cambria Math" w:hAnsi="Cambria Math"/>
                              <w:sz w:val="16"/>
                              <w:szCs w:val="16"/>
                            </w:rPr>
                            <m:t>CVR</m:t>
                          </m:r>
                        </m:e>
                        <m:sub>
                          <m:r>
                            <m:rPr>
                              <m:sty m:val="bi"/>
                            </m:rPr>
                            <w:rPr>
                              <w:rFonts w:ascii="Cambria Math" w:hAnsi="Cambria Math"/>
                              <w:sz w:val="16"/>
                              <w:szCs w:val="16"/>
                            </w:rPr>
                            <m:t>k</m:t>
                          </m:r>
                        </m:sub>
                        <m:sup>
                          <m:r>
                            <m:rPr>
                              <m:sty m:val="bi"/>
                            </m:rPr>
                            <w:rPr>
                              <w:rFonts w:ascii="Cambria Math" w:hAnsi="Cambria Math"/>
                              <w:sz w:val="16"/>
                              <w:szCs w:val="16"/>
                            </w:rPr>
                            <m:t>-</m:t>
                          </m:r>
                        </m:sup>
                      </m:sSubSup>
                    </m:e>
                  </m:nary>
                  <m:r>
                    <m:rPr>
                      <m:sty m:val="bi"/>
                    </m:rPr>
                    <w:rPr>
                      <w:rFonts w:ascii="Cambria Math" w:hAnsi="Cambria Math"/>
                      <w:sz w:val="16"/>
                      <w:szCs w:val="16"/>
                    </w:rPr>
                    <m:t>,                                                 în toate celelalte cazuri</m:t>
                  </m:r>
                </m:e>
              </m:eqArr>
            </m:e>
          </m:d>
        </m:oMath>
      </m:oMathPara>
    </w:p>
    <w:p w14:paraId="0F4C98DD" w14:textId="77777777" w:rsidR="00A527D3" w:rsidRDefault="00A527D3" w:rsidP="006F6914">
      <w:pPr>
        <w:rPr>
          <w:rFonts w:ascii="Times New Roman" w:hAnsi="Times New Roman" w:cs="Times New Roman"/>
          <w:sz w:val="24"/>
          <w:szCs w:val="24"/>
          <w:lang w:val="ro-RO"/>
        </w:rPr>
      </w:pPr>
    </w:p>
    <w:p w14:paraId="23A077C7" w14:textId="0939F3DA" w:rsidR="006F6914" w:rsidRPr="00C26A9B" w:rsidRDefault="006F6914" w:rsidP="006F6914">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6424E48E" wp14:editId="0A609A09">
            <wp:extent cx="2032000" cy="266700"/>
            <wp:effectExtent l="0" t="0" r="6350" b="0"/>
            <wp:docPr id="125" name="Picture 1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mag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32000" cy="266700"/>
                    </a:xfrm>
                    <a:prstGeom prst="rect">
                      <a:avLst/>
                    </a:prstGeom>
                    <a:noFill/>
                    <a:ln>
                      <a:noFill/>
                    </a:ln>
                  </pic:spPr>
                </pic:pic>
              </a:graphicData>
            </a:graphic>
          </wp:inline>
        </w:drawing>
      </w:r>
      <w:r w:rsidRPr="00C26A9B">
        <w:rPr>
          <w:rFonts w:ascii="Times New Roman" w:hAnsi="Times New Roman" w:cs="Times New Roman"/>
          <w:sz w:val="24"/>
          <w:szCs w:val="24"/>
          <w:lang w:val="ro-RO"/>
        </w:rPr>
        <w: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81"/>
        <w:gridCol w:w="229"/>
        <w:gridCol w:w="9856"/>
      </w:tblGrid>
      <w:tr w:rsidR="006F6914" w:rsidRPr="00C26A9B" w14:paraId="4BB299BC" w14:textId="77777777" w:rsidTr="006F6914">
        <w:tc>
          <w:tcPr>
            <w:tcW w:w="340" w:type="dxa"/>
            <w:shd w:val="clear" w:color="auto" w:fill="FFFFFF"/>
            <w:hideMark/>
          </w:tcPr>
          <w:p w14:paraId="5E1FD359" w14:textId="77777777" w:rsidR="006F6914" w:rsidRPr="00C26A9B" w:rsidRDefault="006F6914" w:rsidP="006F6914">
            <w:pPr>
              <w:rPr>
                <w:rFonts w:ascii="Times New Roman" w:hAnsi="Times New Roman" w:cs="Times New Roman"/>
                <w:sz w:val="24"/>
                <w:szCs w:val="24"/>
                <w:lang w:val="ro-RO"/>
              </w:rPr>
            </w:pPr>
            <w:proofErr w:type="spellStart"/>
            <w:r w:rsidRPr="00C26A9B">
              <w:rPr>
                <w:rFonts w:ascii="Times New Roman" w:hAnsi="Times New Roman" w:cs="Times New Roman"/>
                <w:i/>
                <w:iCs/>
                <w:sz w:val="24"/>
                <w:szCs w:val="24"/>
                <w:lang w:val="ro-RO"/>
              </w:rPr>
              <w:t>γ</w:t>
            </w:r>
            <w:r w:rsidRPr="00C26A9B">
              <w:rPr>
                <w:rFonts w:ascii="Times New Roman" w:hAnsi="Times New Roman" w:cs="Times New Roman"/>
                <w:i/>
                <w:iCs/>
                <w:sz w:val="24"/>
                <w:szCs w:val="24"/>
                <w:vertAlign w:val="subscript"/>
                <w:lang w:val="ro-RO"/>
              </w:rPr>
              <w:t>bc</w:t>
            </w:r>
            <w:proofErr w:type="spellEnd"/>
          </w:p>
        </w:tc>
        <w:tc>
          <w:tcPr>
            <w:tcW w:w="205" w:type="dxa"/>
            <w:shd w:val="clear" w:color="auto" w:fill="FFFFFF"/>
            <w:hideMark/>
          </w:tcPr>
          <w:p w14:paraId="05FBF72B" w14:textId="77777777" w:rsidR="006F6914" w:rsidRPr="00C26A9B" w:rsidRDefault="006F6914" w:rsidP="006F6914">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810" w:type="dxa"/>
            <w:shd w:val="clear" w:color="auto" w:fill="FFFFFF"/>
            <w:hideMark/>
          </w:tcPr>
          <w:p w14:paraId="2E45ED6F" w14:textId="77777777" w:rsidR="006F6914" w:rsidRPr="00C26A9B" w:rsidRDefault="006F6914" w:rsidP="006F6914">
            <w:pPr>
              <w:rPr>
                <w:rFonts w:ascii="Times New Roman" w:hAnsi="Times New Roman" w:cs="Times New Roman"/>
                <w:sz w:val="24"/>
                <w:szCs w:val="24"/>
                <w:lang w:val="ro-RO"/>
              </w:rPr>
            </w:pPr>
            <w:r w:rsidRPr="00C26A9B">
              <w:rPr>
                <w:rFonts w:ascii="Times New Roman" w:hAnsi="Times New Roman" w:cs="Times New Roman"/>
                <w:sz w:val="24"/>
                <w:szCs w:val="24"/>
                <w:lang w:val="ro-RO"/>
              </w:rPr>
              <w:t>corelațiile dintre benzile b și c, prevăzute în secțiunea 6.</w:t>
            </w:r>
          </w:p>
        </w:tc>
      </w:tr>
    </w:tbl>
    <w:p w14:paraId="52B47A35" w14:textId="584500F7" w:rsidR="006F6914" w:rsidRPr="00C26A9B" w:rsidRDefault="006F6914" w:rsidP="006F6914">
      <w:pPr>
        <w:rPr>
          <w:rFonts w:ascii="Times New Roman" w:hAnsi="Times New Roman" w:cs="Times New Roman"/>
          <w:sz w:val="24"/>
          <w:szCs w:val="24"/>
          <w:lang w:val="ro-RO"/>
        </w:rPr>
      </w:pPr>
      <w:r w:rsidRPr="00C26A9B">
        <w:rPr>
          <w:rFonts w:ascii="Times New Roman" w:hAnsi="Times New Roman" w:cs="Times New Roman"/>
          <w:sz w:val="24"/>
          <w:szCs w:val="24"/>
          <w:lang w:val="ro-RO"/>
        </w:rPr>
        <w:t>128.   Cerința de fonduri proprii pentru riscul de curbură este suma dintre cerințele de fonduri proprii aferente clasei de risc pentru riscul de curbură, calculată în conformitate cu pct.127 pentru toate clasele de risc cărora le aparține cel puțin un factor de risc al instrumentelor menționate lapct.120.</w:t>
      </w:r>
    </w:p>
    <w:p w14:paraId="797BA7A4" w14:textId="02A8A858" w:rsidR="006F6914" w:rsidRPr="00CC1E9B" w:rsidRDefault="006F6914" w:rsidP="006F6914">
      <w:pPr>
        <w:rPr>
          <w:rFonts w:ascii="Times New Roman" w:hAnsi="Times New Roman" w:cs="Times New Roman"/>
          <w:b/>
          <w:bCs/>
          <w:i/>
          <w:iCs/>
          <w:sz w:val="24"/>
          <w:szCs w:val="24"/>
          <w:lang w:val="ro-RO"/>
        </w:rPr>
      </w:pPr>
      <w:bookmarkStart w:id="9" w:name="_Hlk195090847"/>
      <w:r w:rsidRPr="00C451D2">
        <w:rPr>
          <w:rFonts w:ascii="Times New Roman" w:hAnsi="Times New Roman" w:cs="Times New Roman"/>
          <w:b/>
          <w:bCs/>
          <w:i/>
          <w:iCs/>
          <w:sz w:val="24"/>
          <w:szCs w:val="24"/>
          <w:lang w:val="ro-RO"/>
        </w:rPr>
        <w:t>Subsecţiunea</w:t>
      </w:r>
      <w:r w:rsidRPr="00C451D2" w:rsidDel="004B5222">
        <w:rPr>
          <w:rFonts w:ascii="Times New Roman" w:hAnsi="Times New Roman" w:cs="Times New Roman"/>
          <w:b/>
          <w:bCs/>
          <w:i/>
          <w:iCs/>
          <w:sz w:val="24"/>
          <w:szCs w:val="24"/>
          <w:lang w:val="ro-RO"/>
        </w:rPr>
        <w:t xml:space="preserve"> </w:t>
      </w:r>
      <w:r w:rsidRPr="00C451D2">
        <w:rPr>
          <w:rFonts w:ascii="Times New Roman" w:hAnsi="Times New Roman" w:cs="Times New Roman"/>
          <w:b/>
          <w:bCs/>
          <w:i/>
          <w:iCs/>
          <w:sz w:val="24"/>
          <w:szCs w:val="24"/>
          <w:lang w:val="ro-RO"/>
        </w:rPr>
        <w:t>5.</w:t>
      </w:r>
      <w:r w:rsidR="00C451D2">
        <w:rPr>
          <w:rFonts w:ascii="Times New Roman" w:hAnsi="Times New Roman" w:cs="Times New Roman"/>
          <w:b/>
          <w:bCs/>
          <w:i/>
          <w:iCs/>
          <w:sz w:val="24"/>
          <w:szCs w:val="24"/>
          <w:lang w:val="ro-RO"/>
        </w:rPr>
        <w:t xml:space="preserve"> </w:t>
      </w:r>
      <w:r w:rsidRPr="00CC1E9B">
        <w:rPr>
          <w:rFonts w:ascii="Times New Roman" w:hAnsi="Times New Roman" w:cs="Times New Roman"/>
          <w:b/>
          <w:bCs/>
          <w:i/>
          <w:iCs/>
          <w:sz w:val="24"/>
          <w:szCs w:val="24"/>
          <w:lang w:val="ro-RO"/>
        </w:rPr>
        <w:t xml:space="preserve">Agregarea cerințelor de fonduri proprii specifice unei clase de risc pentru riscurile delta, </w:t>
      </w:r>
      <w:proofErr w:type="spellStart"/>
      <w:r w:rsidRPr="00CC1E9B">
        <w:rPr>
          <w:rFonts w:ascii="Times New Roman" w:hAnsi="Times New Roman" w:cs="Times New Roman"/>
          <w:b/>
          <w:bCs/>
          <w:i/>
          <w:iCs/>
          <w:sz w:val="24"/>
          <w:szCs w:val="24"/>
          <w:lang w:val="ro-RO"/>
        </w:rPr>
        <w:t>vega</w:t>
      </w:r>
      <w:proofErr w:type="spellEnd"/>
      <w:r w:rsidRPr="00CC1E9B">
        <w:rPr>
          <w:rFonts w:ascii="Times New Roman" w:hAnsi="Times New Roman" w:cs="Times New Roman"/>
          <w:b/>
          <w:bCs/>
          <w:i/>
          <w:iCs/>
          <w:sz w:val="24"/>
          <w:szCs w:val="24"/>
          <w:lang w:val="ro-RO"/>
        </w:rPr>
        <w:t xml:space="preserve"> și de curbură</w:t>
      </w:r>
      <w:bookmarkEnd w:id="9"/>
    </w:p>
    <w:p w14:paraId="3D85D0B1" w14:textId="4EB9C590" w:rsidR="007F0F37" w:rsidRPr="00C26A9B" w:rsidRDefault="007F0F37" w:rsidP="006F6914">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129.   Băncile agregă cerințele de fonduri proprii specifice unei clase de risc pentru riscurile delta,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și de curbură în conformitate cu procesul prevăzut la pct.130, 131 și 132.</w:t>
      </w:r>
    </w:p>
    <w:p w14:paraId="154DB25A" w14:textId="77777777" w:rsidR="007F0F37" w:rsidRPr="00C26A9B" w:rsidRDefault="007F0F37" w:rsidP="007F0F37">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130.   Procesul de calculare a cerințelor de fonduri proprii specifice unei clase de risc pentru riscurile delta,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și de curbură descris la secțiunea 2, subsecțiunile 3 și  se efectuează de trei ori pentru fiecare clasă de risc, utilizându-se de fiecare dată un alt set de parametri de corelație </w:t>
      </w: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xml:space="preserve"> (corelația dintre factorii de risc dintr-o bandă) și </w:t>
      </w:r>
      <w:proofErr w:type="spellStart"/>
      <w:r w:rsidRPr="00C26A9B">
        <w:rPr>
          <w:rFonts w:ascii="Times New Roman" w:hAnsi="Times New Roman" w:cs="Times New Roman"/>
          <w:sz w:val="24"/>
          <w:szCs w:val="24"/>
          <w:lang w:val="ro-RO"/>
        </w:rPr>
        <w:t>γ</w:t>
      </w:r>
      <w:r w:rsidRPr="00C26A9B">
        <w:rPr>
          <w:rFonts w:ascii="Times New Roman" w:hAnsi="Times New Roman" w:cs="Times New Roman"/>
          <w:sz w:val="24"/>
          <w:szCs w:val="24"/>
          <w:vertAlign w:val="subscript"/>
          <w:lang w:val="ro-RO"/>
        </w:rPr>
        <w:t>bc</w:t>
      </w:r>
      <w:proofErr w:type="spellEnd"/>
      <w:r w:rsidRPr="00C26A9B">
        <w:rPr>
          <w:rFonts w:ascii="Times New Roman" w:hAnsi="Times New Roman" w:cs="Times New Roman"/>
          <w:sz w:val="24"/>
          <w:szCs w:val="24"/>
          <w:lang w:val="ro-RO"/>
        </w:rPr>
        <w:t> (corelația dintre benzile dintr-o clasă de risc). Fiecare dintre aceste trei seturi corespunde unui alt scenariu, după cum urmează:</w:t>
      </w:r>
    </w:p>
    <w:p w14:paraId="60BFDA65" w14:textId="77777777" w:rsidR="007F0F37" w:rsidRPr="00C26A9B" w:rsidRDefault="007F0F37" w:rsidP="007F0F37">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130.1. scenariul „corelațiilor moderate”, în care parametrii de corelație </w:t>
      </w: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xml:space="preserve"> și </w:t>
      </w:r>
      <w:proofErr w:type="spellStart"/>
      <w:r w:rsidRPr="00C26A9B">
        <w:rPr>
          <w:rFonts w:ascii="Times New Roman" w:hAnsi="Times New Roman" w:cs="Times New Roman"/>
          <w:sz w:val="24"/>
          <w:szCs w:val="24"/>
          <w:lang w:val="ro-RO"/>
        </w:rPr>
        <w:t>γ</w:t>
      </w:r>
      <w:r w:rsidRPr="00C26A9B">
        <w:rPr>
          <w:rFonts w:ascii="Times New Roman" w:hAnsi="Times New Roman" w:cs="Times New Roman"/>
          <w:sz w:val="24"/>
          <w:szCs w:val="24"/>
          <w:vertAlign w:val="subscript"/>
          <w:lang w:val="ro-RO"/>
        </w:rPr>
        <w:t>bc</w:t>
      </w:r>
      <w:proofErr w:type="spellEnd"/>
      <w:r w:rsidRPr="00C26A9B">
        <w:rPr>
          <w:rFonts w:ascii="Times New Roman" w:hAnsi="Times New Roman" w:cs="Times New Roman"/>
          <w:sz w:val="24"/>
          <w:szCs w:val="24"/>
          <w:lang w:val="ro-RO"/>
        </w:rPr>
        <w:t> rămân neschimbați față de cei specificați în secțiunea 6;</w:t>
      </w:r>
    </w:p>
    <w:p w14:paraId="3B2A3B45" w14:textId="77777777" w:rsidR="007F0F37" w:rsidRPr="00C26A9B" w:rsidRDefault="007F0F37" w:rsidP="007F0F37">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130.2. scenariul „corelațiilor puternice”, în care parametrii de corelație </w:t>
      </w: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xml:space="preserve"> și </w:t>
      </w:r>
      <w:proofErr w:type="spellStart"/>
      <w:r w:rsidRPr="00C26A9B">
        <w:rPr>
          <w:rFonts w:ascii="Times New Roman" w:hAnsi="Times New Roman" w:cs="Times New Roman"/>
          <w:sz w:val="24"/>
          <w:szCs w:val="24"/>
          <w:lang w:val="ro-RO"/>
        </w:rPr>
        <w:t>γ</w:t>
      </w:r>
      <w:r w:rsidRPr="00C26A9B">
        <w:rPr>
          <w:rFonts w:ascii="Times New Roman" w:hAnsi="Times New Roman" w:cs="Times New Roman"/>
          <w:sz w:val="24"/>
          <w:szCs w:val="24"/>
          <w:vertAlign w:val="subscript"/>
          <w:lang w:val="ro-RO"/>
        </w:rPr>
        <w:t>bc</w:t>
      </w:r>
      <w:proofErr w:type="spellEnd"/>
      <w:r w:rsidRPr="00C26A9B">
        <w:rPr>
          <w:rFonts w:ascii="Times New Roman" w:hAnsi="Times New Roman" w:cs="Times New Roman"/>
          <w:sz w:val="24"/>
          <w:szCs w:val="24"/>
          <w:lang w:val="ro-RO"/>
        </w:rPr>
        <w:t xml:space="preserve"> care sunt specificați în secțiunea 6 se înmulțesc în mod uniform cu 1,25, în timp ce </w:t>
      </w: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xml:space="preserve"> și </w:t>
      </w:r>
      <w:proofErr w:type="spellStart"/>
      <w:r w:rsidRPr="00C26A9B">
        <w:rPr>
          <w:rFonts w:ascii="Times New Roman" w:hAnsi="Times New Roman" w:cs="Times New Roman"/>
          <w:sz w:val="24"/>
          <w:szCs w:val="24"/>
          <w:lang w:val="ro-RO"/>
        </w:rPr>
        <w:t>γ</w:t>
      </w:r>
      <w:r w:rsidRPr="00C26A9B">
        <w:rPr>
          <w:rFonts w:ascii="Times New Roman" w:hAnsi="Times New Roman" w:cs="Times New Roman"/>
          <w:sz w:val="24"/>
          <w:szCs w:val="24"/>
          <w:vertAlign w:val="subscript"/>
          <w:lang w:val="ro-RO"/>
        </w:rPr>
        <w:t>bc</w:t>
      </w:r>
      <w:proofErr w:type="spellEnd"/>
      <w:r w:rsidRPr="00C26A9B">
        <w:rPr>
          <w:rFonts w:ascii="Times New Roman" w:hAnsi="Times New Roman" w:cs="Times New Roman"/>
          <w:sz w:val="24"/>
          <w:szCs w:val="24"/>
          <w:lang w:val="ro-RO"/>
        </w:rPr>
        <w:t> fac obiectul unui plafon de 100 %.</w:t>
      </w:r>
    </w:p>
    <w:p w14:paraId="389DC126" w14:textId="5E309317" w:rsidR="007F0F37" w:rsidRPr="00C26A9B" w:rsidRDefault="007F0F37" w:rsidP="007F0F37">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130.3. scenariul „corelațiilor slabe”, în care parametrii de corelație </w:t>
      </w: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xml:space="preserve"> și </w:t>
      </w:r>
      <w:proofErr w:type="spellStart"/>
      <w:r w:rsidRPr="00C26A9B">
        <w:rPr>
          <w:rFonts w:ascii="Times New Roman" w:hAnsi="Times New Roman" w:cs="Times New Roman"/>
          <w:sz w:val="24"/>
          <w:szCs w:val="24"/>
          <w:lang w:val="ro-RO"/>
        </w:rPr>
        <w:t>γ</w:t>
      </w:r>
      <w:r w:rsidRPr="00C26A9B">
        <w:rPr>
          <w:rFonts w:ascii="Times New Roman" w:hAnsi="Times New Roman" w:cs="Times New Roman"/>
          <w:sz w:val="24"/>
          <w:szCs w:val="24"/>
          <w:vertAlign w:val="subscript"/>
          <w:lang w:val="ro-RO"/>
        </w:rPr>
        <w:t>bc</w:t>
      </w:r>
      <w:proofErr w:type="spellEnd"/>
      <w:r w:rsidRPr="00C26A9B">
        <w:rPr>
          <w:rFonts w:ascii="Times New Roman" w:hAnsi="Times New Roman" w:cs="Times New Roman"/>
          <w:sz w:val="24"/>
          <w:szCs w:val="24"/>
          <w:lang w:val="ro-RO"/>
        </w:rPr>
        <w:t> specificați în secțiunea 6 se înlocuiesc cu </w:t>
      </w:r>
      <w:r w:rsidRPr="00C26A9B">
        <w:rPr>
          <w:rFonts w:ascii="Times New Roman" w:hAnsi="Times New Roman" w:cs="Times New Roman"/>
          <w:noProof/>
          <w:sz w:val="24"/>
          <w:szCs w:val="24"/>
          <w:lang w:val="ro-RO"/>
        </w:rPr>
        <w:drawing>
          <wp:inline distT="0" distB="0" distL="0" distR="0" wp14:anchorId="0887CF12" wp14:editId="4227C295">
            <wp:extent cx="2120900" cy="139700"/>
            <wp:effectExtent l="0" t="0" r="0" b="0"/>
            <wp:docPr id="132" name="Picture 13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20900" cy="139700"/>
                    </a:xfrm>
                    <a:prstGeom prst="rect">
                      <a:avLst/>
                    </a:prstGeom>
                    <a:noFill/>
                    <a:ln>
                      <a:noFill/>
                    </a:ln>
                  </pic:spPr>
                </pic:pic>
              </a:graphicData>
            </a:graphic>
          </wp:inline>
        </w:drawing>
      </w:r>
      <w:r w:rsidRPr="00C26A9B">
        <w:rPr>
          <w:rFonts w:ascii="Times New Roman" w:hAnsi="Times New Roman" w:cs="Times New Roman"/>
          <w:sz w:val="24"/>
          <w:szCs w:val="24"/>
          <w:lang w:val="ro-RO"/>
        </w:rPr>
        <w:t> și, respectiv, cu </w:t>
      </w:r>
      <w:r w:rsidRPr="00C26A9B">
        <w:rPr>
          <w:rFonts w:ascii="Times New Roman" w:hAnsi="Times New Roman" w:cs="Times New Roman"/>
          <w:noProof/>
          <w:sz w:val="24"/>
          <w:szCs w:val="24"/>
          <w:lang w:val="ro-RO"/>
        </w:rPr>
        <w:drawing>
          <wp:inline distT="0" distB="0" distL="0" distR="0" wp14:anchorId="224C0876" wp14:editId="3D0D4BF5">
            <wp:extent cx="2114550" cy="139700"/>
            <wp:effectExtent l="0" t="0" r="0" b="0"/>
            <wp:docPr id="133" name="Picture 13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mag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14550" cy="139700"/>
                    </a:xfrm>
                    <a:prstGeom prst="rect">
                      <a:avLst/>
                    </a:prstGeom>
                    <a:noFill/>
                    <a:ln>
                      <a:noFill/>
                    </a:ln>
                  </pic:spPr>
                </pic:pic>
              </a:graphicData>
            </a:graphic>
          </wp:inline>
        </w:drawing>
      </w:r>
      <w:r w:rsidRPr="00C26A9B">
        <w:rPr>
          <w:rFonts w:ascii="Times New Roman" w:hAnsi="Times New Roman" w:cs="Times New Roman"/>
          <w:sz w:val="24"/>
          <w:szCs w:val="24"/>
          <w:lang w:val="ro-RO"/>
        </w:rPr>
        <w:t>.</w:t>
      </w:r>
    </w:p>
    <w:p w14:paraId="4098B381" w14:textId="20902DD4" w:rsidR="007F0F37" w:rsidRPr="00C26A9B" w:rsidRDefault="007F0F37" w:rsidP="007F0F37">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131.   Băncile calculează suma cerințelor de fonduri proprii specifice unei clase de risc delta,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și de curbură pentru fiecare scenariu pentru a stabili trei cerințe de fonduri proprii specifice unui anumit scenariu.</w:t>
      </w:r>
    </w:p>
    <w:p w14:paraId="6A83C51C" w14:textId="5C2DC027" w:rsidR="007F0F37" w:rsidRPr="00C26A9B" w:rsidRDefault="007F0F37" w:rsidP="007F0F37">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132.   Cerința de fonduri proprii calculată prin metoda bazată pe sensibilități este valoarea cea mai mare dintre cele trei cerințe de fonduri proprii specifice unui anumit scenariu menționate la pct.131.</w:t>
      </w:r>
    </w:p>
    <w:p w14:paraId="65EE1BCE" w14:textId="45AB7CE0" w:rsidR="00560295" w:rsidRPr="00CC1E9B" w:rsidRDefault="00560295" w:rsidP="007F0F37">
      <w:pPr>
        <w:rPr>
          <w:rFonts w:ascii="Times New Roman" w:hAnsi="Times New Roman" w:cs="Times New Roman"/>
          <w:b/>
          <w:bCs/>
          <w:i/>
          <w:iCs/>
          <w:sz w:val="24"/>
          <w:szCs w:val="24"/>
          <w:lang w:val="ro-RO"/>
        </w:rPr>
      </w:pPr>
      <w:bookmarkStart w:id="10" w:name="_Hlk195090882"/>
      <w:r w:rsidRPr="00C26A9B">
        <w:rPr>
          <w:rFonts w:ascii="Times New Roman" w:hAnsi="Times New Roman" w:cs="Times New Roman"/>
          <w:b/>
          <w:bCs/>
          <w:i/>
          <w:iCs/>
          <w:sz w:val="24"/>
          <w:szCs w:val="24"/>
          <w:lang w:val="ro-RO"/>
        </w:rPr>
        <w:t>Subsecţiunea</w:t>
      </w:r>
      <w:r w:rsidRPr="00C26A9B" w:rsidDel="004B5222">
        <w:rPr>
          <w:rFonts w:ascii="Times New Roman" w:hAnsi="Times New Roman" w:cs="Times New Roman"/>
          <w:b/>
          <w:bCs/>
          <w:i/>
          <w:iCs/>
          <w:sz w:val="24"/>
          <w:szCs w:val="24"/>
          <w:lang w:val="ro-RO"/>
        </w:rPr>
        <w:t xml:space="preserve"> </w:t>
      </w:r>
      <w:r w:rsidRPr="00C26A9B">
        <w:rPr>
          <w:rFonts w:ascii="Times New Roman" w:hAnsi="Times New Roman" w:cs="Times New Roman"/>
          <w:b/>
          <w:bCs/>
          <w:i/>
          <w:iCs/>
          <w:sz w:val="24"/>
          <w:szCs w:val="24"/>
          <w:lang w:val="ro-RO"/>
        </w:rPr>
        <w:t>6</w:t>
      </w:r>
      <w:r w:rsidRPr="00C451D2">
        <w:rPr>
          <w:rFonts w:ascii="Times New Roman" w:hAnsi="Times New Roman" w:cs="Times New Roman"/>
          <w:b/>
          <w:bCs/>
          <w:i/>
          <w:iCs/>
          <w:sz w:val="24"/>
          <w:szCs w:val="24"/>
          <w:lang w:val="ro-RO"/>
        </w:rPr>
        <w:t xml:space="preserve">. </w:t>
      </w:r>
      <w:r w:rsidRPr="00CC1E9B">
        <w:rPr>
          <w:rFonts w:ascii="Times New Roman" w:hAnsi="Times New Roman" w:cs="Times New Roman"/>
          <w:b/>
          <w:bCs/>
          <w:i/>
          <w:iCs/>
          <w:sz w:val="24"/>
          <w:szCs w:val="24"/>
          <w:lang w:val="ro-RO"/>
        </w:rPr>
        <w:t>Tratamentul instrumentelor-indice și al altor instrumente cu mai multe elemente-suport</w:t>
      </w:r>
      <w:bookmarkEnd w:id="10"/>
    </w:p>
    <w:p w14:paraId="2CECD5A9" w14:textId="77777777" w:rsidR="00560295" w:rsidRPr="00C26A9B" w:rsidRDefault="00560295" w:rsidP="00560295">
      <w:pPr>
        <w:rPr>
          <w:rFonts w:ascii="Times New Roman" w:hAnsi="Times New Roman" w:cs="Times New Roman"/>
          <w:sz w:val="24"/>
          <w:szCs w:val="24"/>
          <w:lang w:val="ro-RO"/>
        </w:rPr>
      </w:pPr>
      <w:r w:rsidRPr="00C26A9B">
        <w:rPr>
          <w:rFonts w:ascii="Times New Roman" w:hAnsi="Times New Roman" w:cs="Times New Roman"/>
          <w:sz w:val="24"/>
          <w:szCs w:val="24"/>
          <w:lang w:val="ro-RO"/>
        </w:rPr>
        <w:t>133.   Pentru instrumentele-indice și alte instrumente cu mai multe elemente-suport, băncile utilizează o abordare transparentă de tip „look-</w:t>
      </w:r>
      <w:proofErr w:type="spellStart"/>
      <w:r w:rsidRPr="00C26A9B">
        <w:rPr>
          <w:rFonts w:ascii="Times New Roman" w:hAnsi="Times New Roman" w:cs="Times New Roman"/>
          <w:sz w:val="24"/>
          <w:szCs w:val="24"/>
          <w:lang w:val="ro-RO"/>
        </w:rPr>
        <w:t>through</w:t>
      </w:r>
      <w:proofErr w:type="spellEnd"/>
      <w:r w:rsidRPr="00C26A9B">
        <w:rPr>
          <w:rFonts w:ascii="Times New Roman" w:hAnsi="Times New Roman" w:cs="Times New Roman"/>
          <w:sz w:val="24"/>
          <w:szCs w:val="24"/>
          <w:lang w:val="ro-RO"/>
        </w:rPr>
        <w:t>” după cum urmează:</w:t>
      </w:r>
    </w:p>
    <w:p w14:paraId="14CD8A57" w14:textId="77777777" w:rsidR="00560295" w:rsidRPr="00C26A9B" w:rsidRDefault="00560295" w:rsidP="00560295">
      <w:pPr>
        <w:rPr>
          <w:rFonts w:ascii="Times New Roman" w:hAnsi="Times New Roman" w:cs="Times New Roman"/>
          <w:sz w:val="24"/>
          <w:szCs w:val="24"/>
          <w:lang w:val="ro-RO"/>
        </w:rPr>
      </w:pPr>
      <w:r w:rsidRPr="00C26A9B">
        <w:rPr>
          <w:rFonts w:ascii="Times New Roman" w:hAnsi="Times New Roman" w:cs="Times New Roman"/>
          <w:sz w:val="24"/>
          <w:szCs w:val="24"/>
          <w:lang w:val="ro-RO"/>
        </w:rPr>
        <w:t>133.1. în scopul calculării cerințelor de fonduri proprii pentru riscul delta și riscul de curbură, băncile consideră că dețin poziții individuale direct pe componentele-suport ale indicelui sau ale altor instrumente cu mai multe elemente-suport, cu excepția poziției pe un indice inclus în ACTP, pentru care calculează o sensibilitate unică la indicele respectiv;</w:t>
      </w:r>
    </w:p>
    <w:p w14:paraId="2C40EC32" w14:textId="77777777" w:rsidR="00560295" w:rsidRPr="00C26A9B" w:rsidRDefault="00560295" w:rsidP="00560295">
      <w:pPr>
        <w:rPr>
          <w:rFonts w:ascii="Times New Roman" w:hAnsi="Times New Roman" w:cs="Times New Roman"/>
          <w:sz w:val="24"/>
          <w:szCs w:val="24"/>
          <w:lang w:val="ro-RO"/>
        </w:rPr>
      </w:pPr>
      <w:r w:rsidRPr="00C26A9B">
        <w:rPr>
          <w:rFonts w:ascii="Times New Roman" w:hAnsi="Times New Roman" w:cs="Times New Roman"/>
          <w:sz w:val="24"/>
          <w:szCs w:val="24"/>
          <w:lang w:val="ro-RO"/>
        </w:rPr>
        <w:t>133.2. băncilor li se permite să compenseze sensibilitățile la un factor de risc al unei anumite componente a unui instrument-indice sau a unui alt instrument cu mai multe elemente-suport cu sensibilitățile la același factor de risc al aceleiași componente a instrumentelor având la bază o singură semnătură, cu excepția pozițiilor incluse în ACTP;</w:t>
      </w:r>
    </w:p>
    <w:p w14:paraId="51B203AB" w14:textId="77777777" w:rsidR="00560295" w:rsidRPr="00C26A9B" w:rsidRDefault="00560295" w:rsidP="00560295">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133.3. în scopul calculării cerințelor de fonduri proprii pentru riscul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băncile pot fie să considere că dețin poziții individuale direct pe componentele-suport ale indicelui sau ale altor instrumente cu mai multe elemente-suport, fie să calculeze o sensibilitate unică la elementul-suport al instrumentului respectiv. În ultimul caz, băncile atribuie sensibilitatea unică benzii relevante prevăzute în subsecțiunea 1 din secțiunea 6 după cum urmează:</w:t>
      </w:r>
    </w:p>
    <w:p w14:paraId="3543983B" w14:textId="77777777" w:rsidR="00560295" w:rsidRPr="00C26A9B" w:rsidRDefault="00560295" w:rsidP="00560295">
      <w:pPr>
        <w:rPr>
          <w:rFonts w:ascii="Times New Roman" w:hAnsi="Times New Roman" w:cs="Times New Roman"/>
          <w:sz w:val="24"/>
          <w:szCs w:val="24"/>
          <w:lang w:val="ro-RO"/>
        </w:rPr>
      </w:pPr>
      <w:r w:rsidRPr="00C26A9B">
        <w:rPr>
          <w:rFonts w:ascii="Times New Roman" w:hAnsi="Times New Roman" w:cs="Times New Roman"/>
          <w:sz w:val="24"/>
          <w:szCs w:val="24"/>
          <w:lang w:val="ro-RO"/>
        </w:rPr>
        <w:t>133.3.1. în cazul în care, ținând cont de ponderile atribuite indicelui, peste 75 % din componentele indicelui ar fi puse în corespondență cu aceeași bandă, băncile atribuie sensibilitatea benzii respective și o tratează ca o sensibilitate având la bază o singură semnătură în cadrul benzii respective;</w:t>
      </w:r>
    </w:p>
    <w:p w14:paraId="242676E6" w14:textId="77D72D78" w:rsidR="00560295" w:rsidRPr="00C26A9B" w:rsidRDefault="00560295" w:rsidP="00560295">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133.3.2. în toate celelalte cazuri, </w:t>
      </w:r>
      <w:r w:rsidR="006A3F23" w:rsidRPr="006A3F23">
        <w:rPr>
          <w:rFonts w:ascii="Times New Roman" w:hAnsi="Times New Roman" w:cs="Times New Roman"/>
          <w:sz w:val="24"/>
          <w:szCs w:val="24"/>
        </w:rPr>
        <w:t>bănci</w:t>
      </w:r>
      <w:r w:rsidR="006A3F23">
        <w:rPr>
          <w:rFonts w:ascii="Times New Roman" w:hAnsi="Times New Roman" w:cs="Times New Roman"/>
          <w:sz w:val="24"/>
          <w:szCs w:val="24"/>
        </w:rPr>
        <w:t>le</w:t>
      </w:r>
      <w:r w:rsidR="006A3F23" w:rsidRPr="006A3F23">
        <w:rPr>
          <w:rFonts w:ascii="Times New Roman" w:hAnsi="Times New Roman" w:cs="Times New Roman"/>
          <w:sz w:val="24"/>
          <w:szCs w:val="24"/>
        </w:rPr>
        <w:t xml:space="preserve"> </w:t>
      </w:r>
      <w:r w:rsidRPr="00C26A9B">
        <w:rPr>
          <w:rFonts w:ascii="Times New Roman" w:hAnsi="Times New Roman" w:cs="Times New Roman"/>
          <w:sz w:val="24"/>
          <w:szCs w:val="24"/>
          <w:lang w:val="ro-RO"/>
        </w:rPr>
        <w:t>atribuie sensibilitatea benzii relevante a indicelui.</w:t>
      </w:r>
    </w:p>
    <w:p w14:paraId="278C965D" w14:textId="6F16A3C8" w:rsidR="00560295" w:rsidRPr="00C26A9B" w:rsidRDefault="00560295" w:rsidP="00560295">
      <w:pPr>
        <w:rPr>
          <w:rFonts w:ascii="Times New Roman" w:hAnsi="Times New Roman" w:cs="Times New Roman"/>
          <w:sz w:val="24"/>
          <w:szCs w:val="24"/>
          <w:lang w:val="ro-RO"/>
        </w:rPr>
      </w:pPr>
      <w:r w:rsidRPr="00C26A9B">
        <w:rPr>
          <w:rFonts w:ascii="Times New Roman" w:hAnsi="Times New Roman" w:cs="Times New Roman"/>
          <w:sz w:val="24"/>
          <w:szCs w:val="24"/>
          <w:lang w:val="ro-RO"/>
        </w:rPr>
        <w:t>134.   Prin derogare de la subpct.133.1, băncile pot calcula o sensibilitate unică la o poziție pe un indice pe acțiuni cotat sau pe un indice de credit cotat în scopul calculării cerințelor de fonduri proprii pentru riscurile delta și de curbură, cu condiția ca indicele pe acțiuni cotat sau indicele de credit cotat să respecte condițiile prevăzute la</w:t>
      </w:r>
      <w:r w:rsidR="00D91324">
        <w:rPr>
          <w:rFonts w:ascii="Times New Roman" w:hAnsi="Times New Roman" w:cs="Times New Roman"/>
          <w:sz w:val="24"/>
          <w:szCs w:val="24"/>
          <w:lang w:val="ro-RO"/>
        </w:rPr>
        <w:t xml:space="preserve"> </w:t>
      </w:r>
      <w:r w:rsidRPr="00C26A9B">
        <w:rPr>
          <w:rFonts w:ascii="Times New Roman" w:hAnsi="Times New Roman" w:cs="Times New Roman"/>
          <w:sz w:val="24"/>
          <w:szCs w:val="24"/>
          <w:lang w:val="ro-RO"/>
        </w:rPr>
        <w:t>pct.135. În acest caz, băncile atribuie sensibilitatea unică benzii relevante prevăzute în subsecțiunea 1 din secțiunea 6 după cum urmează:</w:t>
      </w:r>
    </w:p>
    <w:p w14:paraId="5771387D" w14:textId="77777777" w:rsidR="00560295" w:rsidRPr="00C26A9B" w:rsidRDefault="00560295" w:rsidP="00560295">
      <w:pPr>
        <w:rPr>
          <w:rFonts w:ascii="Times New Roman" w:hAnsi="Times New Roman" w:cs="Times New Roman"/>
          <w:sz w:val="24"/>
          <w:szCs w:val="24"/>
          <w:lang w:val="ro-RO"/>
        </w:rPr>
      </w:pPr>
      <w:r w:rsidRPr="00C26A9B">
        <w:rPr>
          <w:rFonts w:ascii="Times New Roman" w:hAnsi="Times New Roman" w:cs="Times New Roman"/>
          <w:sz w:val="24"/>
          <w:szCs w:val="24"/>
          <w:lang w:val="ro-RO"/>
        </w:rPr>
        <w:t>134.1. în cazul în care, ținând cont de ponderile atribuite indicelui cotat, peste 75 % din componentele indicelui cotat respectiv ar fi puse în corespondență cu aceeași bandă, sensibilitatea unică este atribuită benzii respective și este tratată ca o sensibilitate având la bază o singură semnătură în cadrul benzii în cauză;</w:t>
      </w:r>
    </w:p>
    <w:p w14:paraId="765EA27D" w14:textId="2D90F0EC" w:rsidR="00560295" w:rsidRPr="00C26A9B" w:rsidRDefault="00560295" w:rsidP="00560295">
      <w:pPr>
        <w:rPr>
          <w:rFonts w:ascii="Times New Roman" w:hAnsi="Times New Roman" w:cs="Times New Roman"/>
          <w:sz w:val="24"/>
          <w:szCs w:val="24"/>
          <w:lang w:val="ro-RO"/>
        </w:rPr>
      </w:pPr>
      <w:r w:rsidRPr="00C26A9B">
        <w:rPr>
          <w:rFonts w:ascii="Times New Roman" w:hAnsi="Times New Roman" w:cs="Times New Roman"/>
          <w:sz w:val="24"/>
          <w:szCs w:val="24"/>
          <w:lang w:val="ro-RO"/>
        </w:rPr>
        <w:t>134.2. în toate celelalte cazuri, băncile atribuie sensibilitatea unică benzii relevante a indicelui cotat.</w:t>
      </w:r>
    </w:p>
    <w:p w14:paraId="40576113" w14:textId="77777777" w:rsidR="00560295" w:rsidRPr="00C26A9B" w:rsidRDefault="00560295" w:rsidP="00560295">
      <w:pPr>
        <w:rPr>
          <w:rFonts w:ascii="Times New Roman" w:hAnsi="Times New Roman" w:cs="Times New Roman"/>
          <w:sz w:val="24"/>
          <w:szCs w:val="24"/>
          <w:lang w:val="ro-RO"/>
        </w:rPr>
      </w:pPr>
      <w:r w:rsidRPr="00C26A9B">
        <w:rPr>
          <w:rFonts w:ascii="Times New Roman" w:hAnsi="Times New Roman" w:cs="Times New Roman"/>
          <w:sz w:val="24"/>
          <w:szCs w:val="24"/>
          <w:lang w:val="ro-RO"/>
        </w:rPr>
        <w:t>135.   Băncile pot utiliza abordarea prevăzută la pct.134 pentru instrumentele care se raportează la un indice pe acțiuni cotat sau la un indice de credit cotat în cazul în care sunt îndeplinite toate condițiile următoare:</w:t>
      </w:r>
    </w:p>
    <w:p w14:paraId="7333F608" w14:textId="77777777" w:rsidR="00560295" w:rsidRPr="00C26A9B" w:rsidRDefault="00560295" w:rsidP="00560295">
      <w:pPr>
        <w:rPr>
          <w:rFonts w:ascii="Times New Roman" w:hAnsi="Times New Roman" w:cs="Times New Roman"/>
          <w:sz w:val="24"/>
          <w:szCs w:val="24"/>
          <w:lang w:val="ro-RO"/>
        </w:rPr>
      </w:pPr>
      <w:r w:rsidRPr="00C26A9B">
        <w:rPr>
          <w:rFonts w:ascii="Times New Roman" w:hAnsi="Times New Roman" w:cs="Times New Roman"/>
          <w:sz w:val="24"/>
          <w:szCs w:val="24"/>
          <w:lang w:val="ro-RO"/>
        </w:rPr>
        <w:t>135.1. se cunosc componentele indicelui cotat și ponderile fiecărei componente în cadrul indicelui;</w:t>
      </w:r>
    </w:p>
    <w:p w14:paraId="2B7292D5" w14:textId="77777777" w:rsidR="00560295" w:rsidRPr="00C26A9B" w:rsidRDefault="00560295" w:rsidP="00560295">
      <w:pPr>
        <w:rPr>
          <w:rFonts w:ascii="Times New Roman" w:hAnsi="Times New Roman" w:cs="Times New Roman"/>
          <w:sz w:val="24"/>
          <w:szCs w:val="24"/>
          <w:lang w:val="ro-RO"/>
        </w:rPr>
      </w:pPr>
      <w:r w:rsidRPr="00C26A9B">
        <w:rPr>
          <w:rFonts w:ascii="Times New Roman" w:hAnsi="Times New Roman" w:cs="Times New Roman"/>
          <w:sz w:val="24"/>
          <w:szCs w:val="24"/>
          <w:lang w:val="ro-RO"/>
        </w:rPr>
        <w:t>135.2. indicele cotat are cel puțin 20 de componente;</w:t>
      </w:r>
    </w:p>
    <w:p w14:paraId="6577CE04" w14:textId="77777777" w:rsidR="00560295" w:rsidRPr="00C26A9B" w:rsidRDefault="00560295" w:rsidP="00560295">
      <w:pPr>
        <w:rPr>
          <w:rFonts w:ascii="Times New Roman" w:hAnsi="Times New Roman" w:cs="Times New Roman"/>
          <w:sz w:val="24"/>
          <w:szCs w:val="24"/>
          <w:lang w:val="ro-RO"/>
        </w:rPr>
      </w:pPr>
      <w:r w:rsidRPr="00C26A9B">
        <w:rPr>
          <w:rFonts w:ascii="Times New Roman" w:hAnsi="Times New Roman" w:cs="Times New Roman"/>
          <w:sz w:val="24"/>
          <w:szCs w:val="24"/>
          <w:lang w:val="ro-RO"/>
        </w:rPr>
        <w:t>135.3. nicio componentă a indicelui cotat nu reprezintă mai mult de 25 % din capitalizarea de piață totală a indicelui respectiv;</w:t>
      </w:r>
    </w:p>
    <w:p w14:paraId="40276B16" w14:textId="77777777" w:rsidR="00560295" w:rsidRPr="00C26A9B" w:rsidRDefault="00560295" w:rsidP="00560295">
      <w:pPr>
        <w:rPr>
          <w:rFonts w:ascii="Times New Roman" w:hAnsi="Times New Roman" w:cs="Times New Roman"/>
          <w:sz w:val="24"/>
          <w:szCs w:val="24"/>
          <w:lang w:val="ro-RO"/>
        </w:rPr>
      </w:pPr>
      <w:r w:rsidRPr="00C26A9B">
        <w:rPr>
          <w:rFonts w:ascii="Times New Roman" w:hAnsi="Times New Roman" w:cs="Times New Roman"/>
          <w:sz w:val="24"/>
          <w:szCs w:val="24"/>
          <w:lang w:val="ro-RO"/>
        </w:rPr>
        <w:t>135.4. niciun set cuprinzând o zecime din numărul total de componente ale indicelui cotat, rotunjit la cel mai apropiat număr întreg, nu reprezintă mai mult de 60 % din capitalizarea de piață totală a indicelui respectiv;</w:t>
      </w:r>
    </w:p>
    <w:p w14:paraId="596CDC97" w14:textId="4343F998" w:rsidR="00560295" w:rsidRPr="00C26A9B" w:rsidRDefault="00560295" w:rsidP="00560295">
      <w:pPr>
        <w:rPr>
          <w:rFonts w:ascii="Times New Roman" w:hAnsi="Times New Roman" w:cs="Times New Roman"/>
          <w:sz w:val="24"/>
          <w:szCs w:val="24"/>
          <w:lang w:val="ro-RO"/>
        </w:rPr>
      </w:pPr>
      <w:r w:rsidRPr="00C26A9B">
        <w:rPr>
          <w:rFonts w:ascii="Times New Roman" w:hAnsi="Times New Roman" w:cs="Times New Roman"/>
          <w:sz w:val="24"/>
          <w:szCs w:val="24"/>
          <w:lang w:val="ro-RO"/>
        </w:rPr>
        <w:t>135.5. capitalizarea de piață totală a tuturor componentelor indicelui cotat este de cel puțin 40 de miliarde EUR.</w:t>
      </w:r>
    </w:p>
    <w:p w14:paraId="7451CD47" w14:textId="009F614C" w:rsidR="00560295" w:rsidRPr="00C26A9B" w:rsidRDefault="00560295" w:rsidP="00560295">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136.   O bancă utilizează, în mod constant de-a lungul timpului, doar abordarea prevăzută la pct.133 sau abordarea prevăzută la pct.134 pentru toate instrumentele care se raportează la un indice pe acțiuni cotat sau la un indice de credit cotat care îndeplinește condițiile prevăzute la pct.135. O bancă solicită permisiunea BNM înainte de a trece de la o abordare la alta.</w:t>
      </w:r>
    </w:p>
    <w:p w14:paraId="0E7EB036" w14:textId="2D3AB301" w:rsidR="00560295" w:rsidRPr="00C26A9B" w:rsidRDefault="00560295" w:rsidP="00560295">
      <w:pPr>
        <w:rPr>
          <w:rFonts w:ascii="Times New Roman" w:hAnsi="Times New Roman" w:cs="Times New Roman"/>
          <w:sz w:val="24"/>
          <w:szCs w:val="24"/>
          <w:lang w:val="ro-RO"/>
        </w:rPr>
      </w:pPr>
      <w:r w:rsidRPr="00C26A9B">
        <w:rPr>
          <w:rFonts w:ascii="Times New Roman" w:hAnsi="Times New Roman" w:cs="Times New Roman"/>
          <w:sz w:val="24"/>
          <w:szCs w:val="24"/>
          <w:lang w:val="ro-RO"/>
        </w:rPr>
        <w:t>137.   Pentru un instrument-indice sau un alt instrument cu mai multe elemente-suport, datele privind sensibilitatea utilizate la calculul riscurilor delta și de curbură trebuie să fie consecvente, indiferent de abordările utilizate pentru instrumentul respectiv.</w:t>
      </w:r>
    </w:p>
    <w:p w14:paraId="3F07F769" w14:textId="14F85480" w:rsidR="00560295" w:rsidRPr="00C26A9B" w:rsidRDefault="00560295" w:rsidP="00560295">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138.  Instrumentele-indice sau instrumentele cu mai multe elemente-suport care prezintă alte riscuri reziduale menționate </w:t>
      </w:r>
      <w:r w:rsidRPr="00713493">
        <w:rPr>
          <w:rFonts w:ascii="Times New Roman" w:hAnsi="Times New Roman" w:cs="Times New Roman"/>
          <w:sz w:val="24"/>
          <w:szCs w:val="24"/>
          <w:lang w:val="ro-RO"/>
        </w:rPr>
        <w:t xml:space="preserve">la </w:t>
      </w:r>
      <w:r w:rsidR="00713493" w:rsidRPr="00713493">
        <w:rPr>
          <w:rFonts w:ascii="Times New Roman" w:hAnsi="Times New Roman" w:cs="Times New Roman"/>
          <w:sz w:val="24"/>
          <w:szCs w:val="24"/>
          <w:lang w:val="ro-RO"/>
        </w:rPr>
        <w:t>pct</w:t>
      </w:r>
      <w:r w:rsidR="00713493">
        <w:rPr>
          <w:rFonts w:ascii="Times New Roman" w:hAnsi="Times New Roman" w:cs="Times New Roman"/>
          <w:sz w:val="24"/>
          <w:szCs w:val="24"/>
          <w:lang w:val="ro-RO"/>
        </w:rPr>
        <w:t>.218</w:t>
      </w:r>
      <w:r w:rsidRPr="00C26A9B">
        <w:rPr>
          <w:rFonts w:ascii="Times New Roman" w:hAnsi="Times New Roman" w:cs="Times New Roman"/>
          <w:sz w:val="24"/>
          <w:szCs w:val="24"/>
          <w:lang w:val="ro-RO"/>
        </w:rPr>
        <w:t xml:space="preserve"> fac obiectul majorării pentru riscul rezidual menționate în secțiunea 4.</w:t>
      </w:r>
    </w:p>
    <w:p w14:paraId="05B42FA5" w14:textId="0A0C8A38" w:rsidR="00BC7625" w:rsidRPr="00C26A9B" w:rsidRDefault="00BC7625" w:rsidP="00560295">
      <w:pPr>
        <w:rPr>
          <w:rFonts w:ascii="Times New Roman" w:hAnsi="Times New Roman" w:cs="Times New Roman"/>
          <w:b/>
          <w:bCs/>
          <w:sz w:val="24"/>
          <w:szCs w:val="24"/>
          <w:lang w:val="ro-RO"/>
        </w:rPr>
      </w:pPr>
      <w:bookmarkStart w:id="11" w:name="_Hlk195090915"/>
      <w:r w:rsidRPr="00C26A9B">
        <w:rPr>
          <w:rFonts w:ascii="Times New Roman" w:hAnsi="Times New Roman" w:cs="Times New Roman"/>
          <w:b/>
          <w:bCs/>
          <w:i/>
          <w:iCs/>
          <w:sz w:val="24"/>
          <w:szCs w:val="24"/>
          <w:lang w:val="ro-RO"/>
        </w:rPr>
        <w:t>Subsecţiunea</w:t>
      </w:r>
      <w:r w:rsidRPr="00C26A9B" w:rsidDel="004B5222">
        <w:rPr>
          <w:rFonts w:ascii="Times New Roman" w:hAnsi="Times New Roman" w:cs="Times New Roman"/>
          <w:b/>
          <w:bCs/>
          <w:i/>
          <w:iCs/>
          <w:sz w:val="24"/>
          <w:szCs w:val="24"/>
          <w:lang w:val="ro-RO"/>
        </w:rPr>
        <w:t xml:space="preserve"> </w:t>
      </w:r>
      <w:r w:rsidRPr="00C26A9B">
        <w:rPr>
          <w:rFonts w:ascii="Times New Roman" w:hAnsi="Times New Roman" w:cs="Times New Roman"/>
          <w:b/>
          <w:bCs/>
          <w:i/>
          <w:iCs/>
          <w:sz w:val="24"/>
          <w:szCs w:val="24"/>
          <w:lang w:val="ro-RO"/>
        </w:rPr>
        <w:t xml:space="preserve">7. </w:t>
      </w:r>
      <w:r w:rsidRPr="00CC1E9B">
        <w:rPr>
          <w:rFonts w:ascii="Times New Roman" w:hAnsi="Times New Roman" w:cs="Times New Roman"/>
          <w:b/>
          <w:bCs/>
          <w:i/>
          <w:iCs/>
          <w:sz w:val="24"/>
          <w:szCs w:val="24"/>
          <w:lang w:val="ro-RO"/>
        </w:rPr>
        <w:t>Tratamentul organismelor de plasament colectiv</w:t>
      </w:r>
      <w:bookmarkEnd w:id="11"/>
    </w:p>
    <w:p w14:paraId="544DF774" w14:textId="77777777" w:rsidR="00BC7625" w:rsidRPr="00C26A9B" w:rsidRDefault="00BC7625"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t>139.   O bancă calculează cerințele de fonduri proprii pentru riscul de piață aferente unei poziții pe un OPC utilizând una dintre următoarele abordări:</w:t>
      </w:r>
    </w:p>
    <w:p w14:paraId="4E1B04C4" w14:textId="31788FF9" w:rsidR="00BC7625" w:rsidRPr="00C26A9B" w:rsidRDefault="00BC7625"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139.1. o bancă care îndeplinește condiția prevăzută la </w:t>
      </w:r>
      <w:r w:rsidR="00713493">
        <w:rPr>
          <w:rFonts w:ascii="Times New Roman" w:hAnsi="Times New Roman" w:cs="Times New Roman"/>
          <w:sz w:val="24"/>
          <w:szCs w:val="24"/>
          <w:lang w:val="ro-RO"/>
        </w:rPr>
        <w:t>subpct.24.1</w:t>
      </w:r>
      <w:r w:rsidRPr="00C26A9B">
        <w:rPr>
          <w:rFonts w:ascii="Times New Roman" w:hAnsi="Times New Roman" w:cs="Times New Roman"/>
          <w:sz w:val="24"/>
          <w:szCs w:val="24"/>
          <w:lang w:val="ro-RO"/>
        </w:rPr>
        <w:t xml:space="preserve"> calculează lunar cerințele de fonduri proprii pentru riscul de piață aferente poziției respective prin aplicarea abordării de tip </w:t>
      </w:r>
      <w:r w:rsidRPr="00C26A9B">
        <w:rPr>
          <w:rFonts w:ascii="Times New Roman" w:hAnsi="Times New Roman" w:cs="Times New Roman"/>
          <w:i/>
          <w:iCs/>
          <w:sz w:val="24"/>
          <w:szCs w:val="24"/>
          <w:lang w:val="ro-RO"/>
        </w:rPr>
        <w:t>look-</w:t>
      </w:r>
      <w:proofErr w:type="spellStart"/>
      <w:r w:rsidRPr="00C26A9B">
        <w:rPr>
          <w:rFonts w:ascii="Times New Roman" w:hAnsi="Times New Roman" w:cs="Times New Roman"/>
          <w:i/>
          <w:iCs/>
          <w:sz w:val="24"/>
          <w:szCs w:val="24"/>
          <w:lang w:val="ro-RO"/>
        </w:rPr>
        <w:t>through</w:t>
      </w:r>
      <w:proofErr w:type="spellEnd"/>
      <w:r w:rsidRPr="00C26A9B">
        <w:rPr>
          <w:rFonts w:ascii="Times New Roman" w:hAnsi="Times New Roman" w:cs="Times New Roman"/>
          <w:sz w:val="24"/>
          <w:szCs w:val="24"/>
          <w:lang w:val="ro-RO"/>
        </w:rPr>
        <w:t> pozițiilor-suport ale OPC-ului, ca și cum pozițiile respective ar fi deținute direct de bancă;</w:t>
      </w:r>
    </w:p>
    <w:p w14:paraId="7D92B50E" w14:textId="77085274" w:rsidR="00BC7625" w:rsidRPr="00C26A9B" w:rsidRDefault="00BC7625"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139.2. o bancă care îndeplinește condiția prevăzută </w:t>
      </w:r>
      <w:r w:rsidRPr="00713493">
        <w:rPr>
          <w:rFonts w:ascii="Times New Roman" w:hAnsi="Times New Roman" w:cs="Times New Roman"/>
          <w:sz w:val="24"/>
          <w:szCs w:val="24"/>
          <w:lang w:val="ro-RO"/>
        </w:rPr>
        <w:t xml:space="preserve">la </w:t>
      </w:r>
      <w:r w:rsidR="00713493" w:rsidRPr="00CC1E9B">
        <w:rPr>
          <w:rFonts w:ascii="Times New Roman" w:hAnsi="Times New Roman" w:cs="Times New Roman"/>
          <w:sz w:val="24"/>
          <w:szCs w:val="24"/>
          <w:lang w:val="ro-RO"/>
        </w:rPr>
        <w:t xml:space="preserve">subpct.24.2 </w:t>
      </w:r>
      <w:r w:rsidRPr="00713493">
        <w:rPr>
          <w:rFonts w:ascii="Times New Roman" w:hAnsi="Times New Roman" w:cs="Times New Roman"/>
          <w:sz w:val="24"/>
          <w:szCs w:val="24"/>
          <w:lang w:val="ro-RO"/>
        </w:rPr>
        <w:t>calculează cerințele de fonduri proprii pentr</w:t>
      </w:r>
      <w:r w:rsidRPr="00C26A9B">
        <w:rPr>
          <w:rFonts w:ascii="Times New Roman" w:hAnsi="Times New Roman" w:cs="Times New Roman"/>
          <w:sz w:val="24"/>
          <w:szCs w:val="24"/>
          <w:lang w:val="ro-RO"/>
        </w:rPr>
        <w:t>u riscul de piață aferente poziției respective utilizând una dintre următoarele abordări:</w:t>
      </w:r>
    </w:p>
    <w:p w14:paraId="0038E2D6" w14:textId="155022C1" w:rsidR="00BC7625" w:rsidRPr="00C26A9B" w:rsidRDefault="00BC7625"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139.2.1. consideră că poziția pe OPC-ul respectiv este o poziție pe un singur titlu de capital atribuită benzii „Alt sector” din tabelul 8 de la </w:t>
      </w:r>
      <w:r w:rsidR="00302FF1" w:rsidRPr="00CC1E9B">
        <w:rPr>
          <w:rFonts w:ascii="Times New Roman" w:hAnsi="Times New Roman" w:cs="Times New Roman"/>
          <w:sz w:val="24"/>
          <w:szCs w:val="24"/>
          <w:lang w:val="ro-RO"/>
        </w:rPr>
        <w:t>pct.298</w:t>
      </w:r>
      <w:r w:rsidRPr="00CC1E9B">
        <w:rPr>
          <w:rFonts w:ascii="Times New Roman" w:hAnsi="Times New Roman" w:cs="Times New Roman"/>
          <w:sz w:val="24"/>
          <w:szCs w:val="24"/>
          <w:lang w:val="ro-RO"/>
        </w:rPr>
        <w:t>;</w:t>
      </w:r>
    </w:p>
    <w:p w14:paraId="2162CBE3" w14:textId="77777777" w:rsidR="00BC7625" w:rsidRPr="00C26A9B" w:rsidRDefault="00BC7625"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t>139.2.2. ține seama de limitele stabilite în mandatul OPC-ului și în legislația relevantă.</w:t>
      </w:r>
    </w:p>
    <w:p w14:paraId="2698BF15" w14:textId="6CFA43D5" w:rsidR="00BC7625" w:rsidRPr="00C26A9B" w:rsidRDefault="00BC7625" w:rsidP="00BC7625">
      <w:pPr>
        <w:rPr>
          <w:rFonts w:ascii="Times New Roman" w:hAnsi="Times New Roman" w:cs="Times New Roman"/>
          <w:sz w:val="24"/>
          <w:szCs w:val="24"/>
          <w:lang w:val="ro-RO"/>
        </w:rPr>
      </w:pPr>
      <w:r w:rsidRPr="00A4511A">
        <w:rPr>
          <w:rFonts w:ascii="Times New Roman" w:hAnsi="Times New Roman" w:cs="Times New Roman"/>
          <w:sz w:val="24"/>
          <w:szCs w:val="24"/>
          <w:lang w:val="ro-RO"/>
        </w:rPr>
        <w:t>140. În scopul calculului menționat la subpct.139.2.2, banca poate calcula cerințele de fonduri proprii</w:t>
      </w:r>
      <w:r w:rsidRPr="00C26A9B">
        <w:rPr>
          <w:rFonts w:ascii="Times New Roman" w:hAnsi="Times New Roman" w:cs="Times New Roman"/>
          <w:sz w:val="24"/>
          <w:szCs w:val="24"/>
          <w:lang w:val="ro-RO"/>
        </w:rPr>
        <w:t xml:space="preserve"> pentru riscul de credit al </w:t>
      </w:r>
      <w:proofErr w:type="spellStart"/>
      <w:r w:rsidRPr="00C26A9B">
        <w:rPr>
          <w:rFonts w:ascii="Times New Roman" w:hAnsi="Times New Roman" w:cs="Times New Roman"/>
          <w:sz w:val="24"/>
          <w:szCs w:val="24"/>
          <w:lang w:val="ro-RO"/>
        </w:rPr>
        <w:t>contrapărții</w:t>
      </w:r>
      <w:proofErr w:type="spellEnd"/>
      <w:r w:rsidRPr="00C26A9B">
        <w:rPr>
          <w:rFonts w:ascii="Times New Roman" w:hAnsi="Times New Roman" w:cs="Times New Roman"/>
          <w:sz w:val="24"/>
          <w:szCs w:val="24"/>
          <w:lang w:val="ro-RO"/>
        </w:rPr>
        <w:t xml:space="preserve"> și cerințele de fonduri proprii pentru riscul de ajustare a evaluării creditului aferente </w:t>
      </w:r>
      <w:r w:rsidRPr="00A4511A">
        <w:rPr>
          <w:rFonts w:ascii="Times New Roman" w:hAnsi="Times New Roman" w:cs="Times New Roman"/>
          <w:sz w:val="24"/>
          <w:szCs w:val="24"/>
          <w:lang w:val="ro-RO"/>
        </w:rPr>
        <w:t>pozițiilor pe instrumente financiare derivate ale OPC-ului utilizând abordarea simplificată prevăzută la</w:t>
      </w:r>
      <w:r w:rsidR="007C7CAD" w:rsidRPr="00CC1E9B">
        <w:rPr>
          <w:rFonts w:ascii="Times New Roman" w:hAnsi="Times New Roman" w:cs="Times New Roman"/>
          <w:sz w:val="24"/>
          <w:szCs w:val="24"/>
          <w:lang w:val="ro-RO"/>
        </w:rPr>
        <w:t xml:space="preserve"> pct.182</w:t>
      </w:r>
      <w:r w:rsidR="007C7CAD" w:rsidRPr="00CC1E9B">
        <w:rPr>
          <w:rFonts w:ascii="Times New Roman" w:hAnsi="Times New Roman" w:cs="Times New Roman"/>
          <w:sz w:val="24"/>
          <w:szCs w:val="24"/>
          <w:vertAlign w:val="superscript"/>
          <w:lang w:val="ro-RO"/>
        </w:rPr>
        <w:t>18</w:t>
      </w:r>
      <w:r w:rsidR="007C7CAD">
        <w:rPr>
          <w:rFonts w:ascii="Times New Roman" w:hAnsi="Times New Roman" w:cs="Times New Roman"/>
          <w:sz w:val="24"/>
          <w:szCs w:val="24"/>
          <w:lang w:val="ro-RO"/>
        </w:rPr>
        <w:t xml:space="preserve"> din Regulamentul nr.111/2018</w:t>
      </w:r>
      <w:r w:rsidRPr="00CC1E9B">
        <w:rPr>
          <w:rFonts w:ascii="Times New Roman" w:hAnsi="Times New Roman" w:cs="Times New Roman"/>
          <w:sz w:val="24"/>
          <w:szCs w:val="24"/>
          <w:lang w:val="ro-RO"/>
        </w:rPr>
        <w:t>.</w:t>
      </w:r>
    </w:p>
    <w:p w14:paraId="5BCD5B73" w14:textId="77777777" w:rsidR="00BC7625" w:rsidRPr="00C26A9B" w:rsidRDefault="00BC7625"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t>141.   În sensul abordărilor menționate la subpct.139.2, banca:</w:t>
      </w:r>
    </w:p>
    <w:p w14:paraId="703A3612" w14:textId="58092941" w:rsidR="00BC7625" w:rsidRPr="00C26A9B" w:rsidRDefault="00BC7625"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141.1. aplică cerințele de fonduri proprii pentru riscul de nerambursare prevăzute în secțiunea 5 și majorarea pentru riscul rezidual prevăzută în secțiunea 4 unei poziții pe un OPC, în cazul în care mandatul OPC-ului îi permite să investească în expuneri care fac obiectul respectivelor cerințe de fonduri proprii; când utilizează metoda menționată la subpct.139.2.1, banca consideră că poziția pe OPC-ul respectiv este o poziție fără rating pe un singur titlu de capital atribuită benzii „Nu beneficiază de rating” din tabelul 2 de </w:t>
      </w:r>
      <w:r w:rsidRPr="00CC1E9B">
        <w:rPr>
          <w:rFonts w:ascii="Times New Roman" w:hAnsi="Times New Roman" w:cs="Times New Roman"/>
          <w:sz w:val="24"/>
          <w:szCs w:val="24"/>
          <w:lang w:val="ro-RO"/>
        </w:rPr>
        <w:t>la</w:t>
      </w:r>
      <w:r w:rsidR="00124809">
        <w:rPr>
          <w:rFonts w:ascii="Times New Roman" w:hAnsi="Times New Roman" w:cs="Times New Roman"/>
          <w:sz w:val="24"/>
          <w:szCs w:val="24"/>
          <w:lang w:val="ro-RO"/>
        </w:rPr>
        <w:t xml:space="preserve"> </w:t>
      </w:r>
      <w:r w:rsidR="00124809" w:rsidRPr="00124809">
        <w:rPr>
          <w:rFonts w:ascii="Times New Roman" w:hAnsi="Times New Roman" w:cs="Times New Roman"/>
          <w:sz w:val="24"/>
          <w:szCs w:val="24"/>
          <w:lang w:val="ro-RO"/>
        </w:rPr>
        <w:t>pct.240</w:t>
      </w:r>
      <w:r w:rsidRPr="00C26A9B">
        <w:rPr>
          <w:rFonts w:ascii="Times New Roman" w:hAnsi="Times New Roman" w:cs="Times New Roman"/>
          <w:sz w:val="24"/>
          <w:szCs w:val="24"/>
          <w:lang w:val="ro-RO"/>
        </w:rPr>
        <w:t>; și</w:t>
      </w:r>
    </w:p>
    <w:p w14:paraId="24708C4B" w14:textId="043954F1" w:rsidR="00BC7625" w:rsidRPr="00C26A9B" w:rsidRDefault="00BC7625"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t>141.2. pentru toate pozițiile pe același OPC, utilizează aceeași abordare, dintre abordările prevăzute la subpct.139.2.1, pentru a calcula cerințele de fonduri proprii pe o bază de sine stătătoare ca portofoliu separat.</w:t>
      </w:r>
    </w:p>
    <w:p w14:paraId="38277922" w14:textId="2CDDEE58" w:rsidR="00BC7625" w:rsidRPr="00C26A9B" w:rsidRDefault="00BC7625"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t>142.   Prin derogare de lapct.139, în cazul în care o bancă are o poziție pe un OPC care se raportează la un indice de referință, iar diferența dintre rentabilitatea anualizată a OPC-ului și a indicelui de referință la care se raportează acesta din ultimele 12 luni este mai mică de 1 % în termeni absoluți, făcând abstracție de taxe și comisioane, banca poate trata poziția respectivă ca pe o poziție pe indicele de referință la care se raportează OPC-ul. Banca verifică respectarea acestei condiții atunci când își asumă poziția respectivă și, ulterior, cel puțin o dată pe an.</w:t>
      </w:r>
    </w:p>
    <w:p w14:paraId="05D3EE27" w14:textId="29A0AEEE" w:rsidR="00BC7625" w:rsidRPr="00C26A9B" w:rsidRDefault="00BC7625"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t>143. Cu toate acestea, în cazul în care nu sunt disponibile toate datele pentru ultimele 12 luni, banca poate utiliza, cu permisiunea BNM, diferența dintre rentabilitățile anualizate pe o perioadă mai scurtă de 12 luni.</w:t>
      </w:r>
    </w:p>
    <w:p w14:paraId="570B0E45" w14:textId="5E2F5AAF" w:rsidR="00BC7625" w:rsidRPr="00C26A9B" w:rsidRDefault="00BC7625"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144.   Pentru pozițiile sale pe OPC-uri, o bancă poate utiliza o combinație între abordările menționate la subpct.139.1 și 139.2. Cu toate acestea, pentru toate pozițiile pe același OPC, banca trebuie să utilizeze doar una dintre aceste abordări.</w:t>
      </w:r>
    </w:p>
    <w:p w14:paraId="637F598F" w14:textId="4877E5B0" w:rsidR="00BC7625" w:rsidRPr="00C26A9B" w:rsidRDefault="00BC7625"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145.   În sensul subpct.139.2.2, o bancă calculează cerințele de fonduri proprii pentru riscul de piață prin determinarea portofoliului ipotetic al OPC-ului care ar atrage cele mai ridicate cerințe de fonduri proprii în conformitate </w:t>
      </w:r>
      <w:r w:rsidRPr="00124809">
        <w:rPr>
          <w:rFonts w:ascii="Times New Roman" w:hAnsi="Times New Roman" w:cs="Times New Roman"/>
          <w:sz w:val="24"/>
          <w:szCs w:val="24"/>
          <w:lang w:val="ro-RO"/>
        </w:rPr>
        <w:t>cu</w:t>
      </w:r>
      <w:r w:rsidR="00124809" w:rsidRPr="00124809">
        <w:rPr>
          <w:rFonts w:ascii="Times New Roman" w:hAnsi="Times New Roman" w:cs="Times New Roman"/>
          <w:sz w:val="24"/>
          <w:szCs w:val="24"/>
          <w:lang w:val="ro-RO"/>
        </w:rPr>
        <w:t xml:space="preserve"> subpct</w:t>
      </w:r>
      <w:r w:rsidR="00124809">
        <w:rPr>
          <w:rFonts w:ascii="Times New Roman" w:hAnsi="Times New Roman" w:cs="Times New Roman"/>
          <w:sz w:val="24"/>
          <w:szCs w:val="24"/>
          <w:lang w:val="ro-RO"/>
        </w:rPr>
        <w:t>.95.1</w:t>
      </w:r>
      <w:r w:rsidRPr="00C26A9B">
        <w:rPr>
          <w:rFonts w:ascii="Times New Roman" w:hAnsi="Times New Roman" w:cs="Times New Roman"/>
          <w:sz w:val="24"/>
          <w:szCs w:val="24"/>
          <w:lang w:val="ro-RO"/>
        </w:rPr>
        <w:t>, pe baza mandatului OPC-ului sau a legislației relevante, luând în considerare efectul de levier în limitele maxime permise, dacă este cazul.</w:t>
      </w:r>
    </w:p>
    <w:p w14:paraId="279BB418" w14:textId="77777777" w:rsidR="00BC7625" w:rsidRPr="00C26A9B" w:rsidRDefault="00BC7625"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t>146. Banca utilizează același portofoliu ipotetic ca cel menționat la pct.145 pentru a calcula, după caz, cerințele de fonduri proprii pentru riscul de nerambursare prevăzute în secțiunea 5 și majorarea pentru riscul rezidual prevăzută în secțiunea 4 pentru o poziție pe un OPC.</w:t>
      </w:r>
    </w:p>
    <w:p w14:paraId="284EB846" w14:textId="62A0D9A3" w:rsidR="00BC7625" w:rsidRPr="00C26A9B" w:rsidRDefault="00BC7625"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147. Metodologia elaborată de bancă pentru a determina portofoliile ipotetice ale tuturor pozițiilor pe OPC-uri pentru care se utilizează calculele menționate la </w:t>
      </w:r>
      <w:r w:rsidR="00587E76" w:rsidRPr="00587E76">
        <w:rPr>
          <w:rFonts w:ascii="Times New Roman" w:hAnsi="Times New Roman" w:cs="Times New Roman"/>
          <w:sz w:val="24"/>
          <w:szCs w:val="24"/>
        </w:rPr>
        <w:t xml:space="preserve">pct.145 </w:t>
      </w:r>
      <w:r w:rsidRPr="00C26A9B">
        <w:rPr>
          <w:rFonts w:ascii="Times New Roman" w:hAnsi="Times New Roman" w:cs="Times New Roman"/>
          <w:sz w:val="24"/>
          <w:szCs w:val="24"/>
          <w:lang w:val="ro-RO"/>
        </w:rPr>
        <w:t>trebuie aprobată de BNM.</w:t>
      </w:r>
    </w:p>
    <w:p w14:paraId="3285435C" w14:textId="6D40A163" w:rsidR="00BC7625" w:rsidRPr="00C26A9B" w:rsidRDefault="00BC7625" w:rsidP="00BC7625">
      <w:pPr>
        <w:rPr>
          <w:rFonts w:ascii="Times New Roman" w:hAnsi="Times New Roman" w:cs="Times New Roman"/>
          <w:sz w:val="24"/>
          <w:szCs w:val="24"/>
          <w:lang w:val="ro-RO"/>
        </w:rPr>
      </w:pPr>
      <w:r w:rsidRPr="007B6CC5">
        <w:rPr>
          <w:rFonts w:ascii="Times New Roman" w:hAnsi="Times New Roman" w:cs="Times New Roman"/>
          <w:sz w:val="24"/>
          <w:szCs w:val="24"/>
          <w:lang w:val="ro-RO"/>
        </w:rPr>
        <w:t>148.</w:t>
      </w:r>
      <w:r w:rsidRPr="00C26A9B">
        <w:rPr>
          <w:rFonts w:ascii="Times New Roman" w:hAnsi="Times New Roman" w:cs="Times New Roman"/>
          <w:sz w:val="24"/>
          <w:szCs w:val="24"/>
          <w:lang w:val="ro-RO"/>
        </w:rPr>
        <w:t>   O bancă poate utiliza abordările menționate la pct.139 numai în cazul în care OPC-ul îndeplinește toate condițiile prevăzute la</w:t>
      </w:r>
      <w:bookmarkStart w:id="12" w:name="_Hlk225261715"/>
      <w:r w:rsidR="00A4511A" w:rsidRPr="00CC1E9B">
        <w:rPr>
          <w:rFonts w:ascii="Times New Roman" w:hAnsi="Times New Roman" w:cs="Times New Roman"/>
          <w:sz w:val="24"/>
          <w:szCs w:val="24"/>
          <w:lang w:val="ro-RO"/>
        </w:rPr>
        <w:t>pct.82</w:t>
      </w:r>
      <w:r w:rsidR="00A4511A" w:rsidRPr="00CC1E9B">
        <w:rPr>
          <w:rFonts w:ascii="Times New Roman" w:hAnsi="Times New Roman" w:cs="Times New Roman"/>
          <w:sz w:val="24"/>
          <w:szCs w:val="24"/>
          <w:vertAlign w:val="superscript"/>
          <w:lang w:val="ro-RO"/>
        </w:rPr>
        <w:t xml:space="preserve">4 </w:t>
      </w:r>
      <w:r w:rsidR="00A4511A" w:rsidRPr="00CC1E9B">
        <w:rPr>
          <w:rFonts w:ascii="Times New Roman" w:hAnsi="Times New Roman" w:cs="Times New Roman"/>
          <w:sz w:val="24"/>
          <w:szCs w:val="24"/>
          <w:lang w:val="ro-RO"/>
        </w:rPr>
        <w:t>din Regulamentul nr.111/2018</w:t>
      </w:r>
      <w:bookmarkEnd w:id="12"/>
      <w:r w:rsidRPr="00CC1E9B">
        <w:rPr>
          <w:rFonts w:ascii="Times New Roman" w:hAnsi="Times New Roman" w:cs="Times New Roman"/>
          <w:sz w:val="24"/>
          <w:szCs w:val="24"/>
          <w:lang w:val="ro-RO"/>
        </w:rPr>
        <w:t>.</w:t>
      </w:r>
      <w:r w:rsidRPr="00A4511A">
        <w:rPr>
          <w:rFonts w:ascii="Times New Roman" w:hAnsi="Times New Roman" w:cs="Times New Roman"/>
          <w:sz w:val="24"/>
          <w:szCs w:val="24"/>
          <w:lang w:val="ro-RO"/>
        </w:rPr>
        <w:t xml:space="preserve"> Î</w:t>
      </w:r>
      <w:r w:rsidRPr="00C26A9B">
        <w:rPr>
          <w:rFonts w:ascii="Times New Roman" w:hAnsi="Times New Roman" w:cs="Times New Roman"/>
          <w:sz w:val="24"/>
          <w:szCs w:val="24"/>
          <w:lang w:val="ro-RO"/>
        </w:rPr>
        <w:t xml:space="preserve">n cazul în care OPC-ul nu îndeplinește toate condițiile prevăzute </w:t>
      </w:r>
      <w:r w:rsidRPr="007B6CC5">
        <w:rPr>
          <w:rFonts w:ascii="Times New Roman" w:hAnsi="Times New Roman" w:cs="Times New Roman"/>
          <w:sz w:val="24"/>
          <w:szCs w:val="24"/>
          <w:lang w:val="ro-RO"/>
        </w:rPr>
        <w:t xml:space="preserve">la </w:t>
      </w:r>
      <w:r w:rsidR="007B6CC5" w:rsidRPr="00CC1E9B">
        <w:rPr>
          <w:rFonts w:ascii="Times New Roman" w:hAnsi="Times New Roman" w:cs="Times New Roman"/>
          <w:sz w:val="24"/>
          <w:szCs w:val="24"/>
          <w:lang w:val="ro-RO"/>
        </w:rPr>
        <w:t>pct.82</w:t>
      </w:r>
      <w:r w:rsidR="007B6CC5" w:rsidRPr="00CC1E9B">
        <w:rPr>
          <w:rFonts w:ascii="Times New Roman" w:hAnsi="Times New Roman" w:cs="Times New Roman"/>
          <w:sz w:val="24"/>
          <w:szCs w:val="24"/>
          <w:vertAlign w:val="superscript"/>
          <w:lang w:val="ro-RO"/>
        </w:rPr>
        <w:t xml:space="preserve">4 </w:t>
      </w:r>
      <w:r w:rsidR="007B6CC5" w:rsidRPr="00CC1E9B">
        <w:rPr>
          <w:rFonts w:ascii="Times New Roman" w:hAnsi="Times New Roman" w:cs="Times New Roman"/>
          <w:sz w:val="24"/>
          <w:szCs w:val="24"/>
          <w:lang w:val="ro-RO"/>
        </w:rPr>
        <w:t>din Regulamentul nr.111/2018</w:t>
      </w:r>
      <w:r w:rsidRPr="00CC1E9B">
        <w:rPr>
          <w:rFonts w:ascii="Times New Roman" w:hAnsi="Times New Roman" w:cs="Times New Roman"/>
          <w:sz w:val="24"/>
          <w:szCs w:val="24"/>
          <w:lang w:val="ro-RO"/>
        </w:rPr>
        <w:t>,</w:t>
      </w:r>
      <w:r w:rsidRPr="007B6CC5">
        <w:rPr>
          <w:rFonts w:ascii="Times New Roman" w:hAnsi="Times New Roman" w:cs="Times New Roman"/>
          <w:sz w:val="24"/>
          <w:szCs w:val="24"/>
          <w:lang w:val="ro-RO"/>
        </w:rPr>
        <w:t xml:space="preserve"> banca atribuie pozițiile sale în acel OPC în afara portofoliului de tranzacționare.</w:t>
      </w:r>
    </w:p>
    <w:p w14:paraId="2150C20A" w14:textId="77777777" w:rsidR="00BC7625" w:rsidRPr="00C26A9B" w:rsidRDefault="00BC7625"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t>149.   Pentru a calcula cerințele de fonduri proprii pentru riscul de piață aferente unei poziții pe un OPC în conformitate cu abordarea prevăzută la a subpct.139.1, băncile se pot baza pe calculele efectuate de o parte terță, dacă sunt îndeplinite toate condițiile următoare:</w:t>
      </w:r>
    </w:p>
    <w:p w14:paraId="3230D067" w14:textId="77777777" w:rsidR="00BC7625" w:rsidRPr="00C26A9B" w:rsidRDefault="00BC7625"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t>149.1. partea terță este una dintre entitățile următoare:</w:t>
      </w:r>
    </w:p>
    <w:p w14:paraId="15B7BFEF" w14:textId="77777777" w:rsidR="00BC7625" w:rsidRPr="00C26A9B" w:rsidRDefault="00BC7625"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t>149.1.1. </w:t>
      </w:r>
      <w:r w:rsidRPr="00C26A9B" w:rsidDel="0086709A">
        <w:rPr>
          <w:rFonts w:ascii="Times New Roman" w:hAnsi="Times New Roman" w:cs="Times New Roman"/>
          <w:sz w:val="24"/>
          <w:szCs w:val="24"/>
          <w:lang w:val="ro-RO"/>
        </w:rPr>
        <w:t xml:space="preserve"> </w:t>
      </w:r>
      <w:r w:rsidRPr="00C26A9B">
        <w:rPr>
          <w:rFonts w:ascii="Times New Roman" w:hAnsi="Times New Roman" w:cs="Times New Roman"/>
          <w:sz w:val="24"/>
          <w:szCs w:val="24"/>
          <w:lang w:val="ro-RO"/>
        </w:rPr>
        <w:t>depozitarul OPC-ului, cu condiția ca OPC-ul să investească exclusiv în titluri de valoare și să depoziteze toate titlurile de valoare la acest depozitar;</w:t>
      </w:r>
    </w:p>
    <w:p w14:paraId="454AF65C" w14:textId="637C3CB0" w:rsidR="00BC7625" w:rsidRPr="00C26A9B" w:rsidRDefault="00BC7625" w:rsidP="00BC7625">
      <w:pPr>
        <w:rPr>
          <w:rFonts w:ascii="Times New Roman" w:hAnsi="Times New Roman" w:cs="Times New Roman"/>
          <w:sz w:val="24"/>
          <w:szCs w:val="24"/>
          <w:lang w:val="ro-RO"/>
        </w:rPr>
      </w:pPr>
      <w:r w:rsidRPr="00A01DB1">
        <w:rPr>
          <w:rFonts w:ascii="Times New Roman" w:hAnsi="Times New Roman" w:cs="Times New Roman"/>
          <w:sz w:val="24"/>
          <w:szCs w:val="24"/>
          <w:lang w:val="ro-RO"/>
        </w:rPr>
        <w:t>149.1.2. în cazul OPC-urilor care nu se încadrează la subpct.149.1.1, societatea de administrare a OPC-ului</w:t>
      </w:r>
      <w:r w:rsidRPr="00C26A9B">
        <w:rPr>
          <w:rFonts w:ascii="Times New Roman" w:hAnsi="Times New Roman" w:cs="Times New Roman"/>
          <w:sz w:val="24"/>
          <w:szCs w:val="24"/>
          <w:lang w:val="ro-RO"/>
        </w:rPr>
        <w:t xml:space="preserve">, cu condiția ca societatea de administrare a OPC-ului să îndeplinească criteriile prevăzute la </w:t>
      </w:r>
      <w:r w:rsidR="00A01DB1" w:rsidRPr="00201520">
        <w:rPr>
          <w:rFonts w:ascii="Times New Roman" w:hAnsi="Times New Roman" w:cs="Times New Roman"/>
          <w:sz w:val="24"/>
          <w:szCs w:val="24"/>
          <w:lang w:val="ro-RO"/>
        </w:rPr>
        <w:t>pct.82</w:t>
      </w:r>
      <w:r w:rsidR="00A01DB1" w:rsidRPr="00201520">
        <w:rPr>
          <w:rFonts w:ascii="Times New Roman" w:hAnsi="Times New Roman" w:cs="Times New Roman"/>
          <w:sz w:val="24"/>
          <w:szCs w:val="24"/>
          <w:vertAlign w:val="superscript"/>
          <w:lang w:val="ro-RO"/>
        </w:rPr>
        <w:t xml:space="preserve">4 </w:t>
      </w:r>
      <w:r w:rsidR="00A01DB1" w:rsidRPr="00CC1E9B">
        <w:rPr>
          <w:rFonts w:ascii="Times New Roman" w:hAnsi="Times New Roman" w:cs="Times New Roman"/>
          <w:sz w:val="24"/>
          <w:szCs w:val="24"/>
          <w:lang w:val="ro-RO"/>
        </w:rPr>
        <w:t>subpct.1)</w:t>
      </w:r>
      <w:r w:rsidR="00A01DB1">
        <w:rPr>
          <w:rFonts w:ascii="Times New Roman" w:hAnsi="Times New Roman" w:cs="Times New Roman"/>
          <w:sz w:val="24"/>
          <w:szCs w:val="24"/>
          <w:vertAlign w:val="superscript"/>
          <w:lang w:val="ro-RO"/>
        </w:rPr>
        <w:t xml:space="preserve"> </w:t>
      </w:r>
      <w:r w:rsidR="00A01DB1" w:rsidRPr="00201520">
        <w:rPr>
          <w:rFonts w:ascii="Times New Roman" w:hAnsi="Times New Roman" w:cs="Times New Roman"/>
          <w:sz w:val="24"/>
          <w:szCs w:val="24"/>
          <w:lang w:val="ro-RO"/>
        </w:rPr>
        <w:t>din Regulamentul nr.111/</w:t>
      </w:r>
      <w:r w:rsidR="00A01DB1" w:rsidRPr="00A01DB1">
        <w:rPr>
          <w:rFonts w:ascii="Times New Roman" w:hAnsi="Times New Roman" w:cs="Times New Roman"/>
          <w:sz w:val="24"/>
          <w:szCs w:val="24"/>
          <w:lang w:val="ro-RO"/>
        </w:rPr>
        <w:t>2018</w:t>
      </w:r>
      <w:r w:rsidRPr="00A01DB1">
        <w:rPr>
          <w:rFonts w:ascii="Times New Roman" w:hAnsi="Times New Roman" w:cs="Times New Roman"/>
          <w:sz w:val="24"/>
          <w:szCs w:val="24"/>
          <w:lang w:val="ro-RO"/>
        </w:rPr>
        <w:t>;</w:t>
      </w:r>
    </w:p>
    <w:p w14:paraId="67DA0CA6" w14:textId="77777777" w:rsidR="00BC7625" w:rsidRPr="00C26A9B" w:rsidRDefault="00BC7625"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t>149.1.3. un furnizor terț, cu condiția ca datele, informațiile sau indicatorii de risc să fie puși la dispoziție sau calculați de către părțile terțe menționate la subpct.149.1.1 sau 149.1.2sau de către un alt furnizor terț de acest tip;</w:t>
      </w:r>
    </w:p>
    <w:p w14:paraId="3324255B" w14:textId="77777777" w:rsidR="00BC7625" w:rsidRPr="00C26A9B" w:rsidRDefault="00BC7625"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t>149.2. partea terță furnizează băncii datele, informațiile sau indicatorii de risc pentru a calcula cerința de fonduri proprii pentru riscul de piață aferentă poziției pe OPC în conformitate cu abordarea menționată la subpct.139.1;</w:t>
      </w:r>
    </w:p>
    <w:p w14:paraId="5628F143" w14:textId="0CB9E0DD" w:rsidR="00BC7625" w:rsidRPr="00C26A9B" w:rsidRDefault="00BC7625"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t>149.3. un auditor extern al băncii a confirmat caracterul adecvat al datelor, al informațiilor sau al indicatorilor de risc de la partea terță menționați la subpct.149.2, iar BNM are acces nerestricționat la aceste date, informații sau indicatori de risc la cerere.</w:t>
      </w:r>
    </w:p>
    <w:p w14:paraId="4DB7E127" w14:textId="55018F3C" w:rsidR="006D47A5" w:rsidRPr="00C26A9B" w:rsidRDefault="006D47A5" w:rsidP="00BC7625">
      <w:pPr>
        <w:rPr>
          <w:rFonts w:ascii="Times New Roman" w:hAnsi="Times New Roman" w:cs="Times New Roman"/>
          <w:b/>
          <w:bCs/>
          <w:sz w:val="24"/>
          <w:szCs w:val="24"/>
          <w:lang w:val="ro-RO"/>
        </w:rPr>
      </w:pPr>
      <w:bookmarkStart w:id="13" w:name="_Hlk195090960"/>
      <w:r w:rsidRPr="00C26A9B">
        <w:rPr>
          <w:rFonts w:ascii="Times New Roman" w:hAnsi="Times New Roman" w:cs="Times New Roman"/>
          <w:b/>
          <w:bCs/>
          <w:i/>
          <w:iCs/>
          <w:sz w:val="24"/>
          <w:szCs w:val="24"/>
          <w:lang w:val="ro-RO"/>
        </w:rPr>
        <w:t xml:space="preserve">Subsecţiunea 8. </w:t>
      </w:r>
      <w:r w:rsidRPr="00CC1E9B">
        <w:rPr>
          <w:rFonts w:ascii="Times New Roman" w:hAnsi="Times New Roman" w:cs="Times New Roman"/>
          <w:b/>
          <w:bCs/>
          <w:i/>
          <w:iCs/>
          <w:sz w:val="24"/>
          <w:szCs w:val="24"/>
          <w:lang w:val="ro-RO"/>
        </w:rPr>
        <w:t>Pozițiile aferente angajamentelor de preluare fermă</w:t>
      </w:r>
      <w:bookmarkEnd w:id="13"/>
    </w:p>
    <w:p w14:paraId="4752FF32" w14:textId="085BBE29" w:rsidR="006D47A5" w:rsidRPr="00C26A9B" w:rsidRDefault="006D47A5"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t>150.   Băncile pot utiliza procesul stabilit în prezenta subsecțiune pentru a calcula cerințele de fonduri proprii pentru riscul de piață al pozițiilor aferente angajamentelor de preluare fermă de titluri de datorie sau de titluri de capital.</w:t>
      </w:r>
    </w:p>
    <w:p w14:paraId="7D472274" w14:textId="77777777" w:rsidR="006D47A5" w:rsidRPr="00C26A9B" w:rsidRDefault="006D47A5" w:rsidP="006D47A5">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151.   Băncile aplică unul dintre factorii de multiplicare adecvați enumerați în tabelul 1 sensibilităților nete ale tuturor pozițiilor aferente angajamentelor de preluare fermă pe fiecare emitent individual, mai puțin pozițiilor aferente angajamentelor de preluare fermă care sunt subscrise sau </w:t>
      </w:r>
      <w:proofErr w:type="spellStart"/>
      <w:r w:rsidRPr="00C26A9B">
        <w:rPr>
          <w:rFonts w:ascii="Times New Roman" w:hAnsi="Times New Roman" w:cs="Times New Roman"/>
          <w:sz w:val="24"/>
          <w:szCs w:val="24"/>
          <w:lang w:val="ro-RO"/>
        </w:rPr>
        <w:t>subangajate</w:t>
      </w:r>
      <w:proofErr w:type="spellEnd"/>
      <w:r w:rsidRPr="00C26A9B">
        <w:rPr>
          <w:rFonts w:ascii="Times New Roman" w:hAnsi="Times New Roman" w:cs="Times New Roman"/>
          <w:sz w:val="24"/>
          <w:szCs w:val="24"/>
          <w:lang w:val="ro-RO"/>
        </w:rPr>
        <w:t xml:space="preserve"> de către terțe părți </w:t>
      </w:r>
      <w:r w:rsidRPr="00C26A9B">
        <w:rPr>
          <w:rFonts w:ascii="Times New Roman" w:hAnsi="Times New Roman" w:cs="Times New Roman"/>
          <w:sz w:val="24"/>
          <w:szCs w:val="24"/>
          <w:lang w:val="ro-RO"/>
        </w:rPr>
        <w:lastRenderedPageBreak/>
        <w:t>pe baza unei înțelegeri formale, și calculează cerințele de fonduri proprii pentru riscul de piață în conformitate cu abordarea prevăzută în prezentul capitol pe baza sensibilităților nete ajustate.</w:t>
      </w:r>
    </w:p>
    <w:p w14:paraId="2D01B693" w14:textId="77777777" w:rsidR="006D47A5" w:rsidRPr="00C26A9B" w:rsidRDefault="006D47A5" w:rsidP="006D47A5">
      <w:pPr>
        <w:rPr>
          <w:rFonts w:ascii="Times New Roman" w:hAnsi="Times New Roman" w:cs="Times New Roman"/>
          <w:b/>
          <w:bCs/>
          <w:sz w:val="24"/>
          <w:szCs w:val="24"/>
          <w:lang w:val="ro-RO"/>
        </w:rPr>
      </w:pPr>
      <w:r w:rsidRPr="00C26A9B">
        <w:rPr>
          <w:rFonts w:ascii="Times New Roman" w:hAnsi="Times New Roman" w:cs="Times New Roman"/>
          <w:b/>
          <w:bCs/>
          <w:i/>
          <w:iCs/>
          <w:sz w:val="24"/>
          <w:szCs w:val="24"/>
          <w:lang w:val="ro-RO"/>
        </w:rPr>
        <w:t>Tabelul 1</w:t>
      </w:r>
    </w:p>
    <w:tbl>
      <w:tblPr>
        <w:tblW w:w="3600" w:type="dxa"/>
        <w:tblInd w:w="-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788"/>
        <w:gridCol w:w="812"/>
      </w:tblGrid>
      <w:tr w:rsidR="006D47A5" w:rsidRPr="00C26A9B" w14:paraId="4D7B5D7D" w14:textId="77777777" w:rsidTr="002A4E36">
        <w:tc>
          <w:tcPr>
            <w:tcW w:w="27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C5F7C0" w14:textId="77777777" w:rsidR="006D47A5" w:rsidRPr="00C26A9B" w:rsidRDefault="006D47A5" w:rsidP="006D47A5">
            <w:pPr>
              <w:rPr>
                <w:rFonts w:ascii="Times New Roman" w:hAnsi="Times New Roman" w:cs="Times New Roman"/>
                <w:sz w:val="24"/>
                <w:szCs w:val="24"/>
                <w:lang w:val="ro-RO"/>
              </w:rPr>
            </w:pPr>
            <w:r w:rsidRPr="00C26A9B">
              <w:rPr>
                <w:rFonts w:ascii="Times New Roman" w:hAnsi="Times New Roman" w:cs="Times New Roman"/>
                <w:sz w:val="24"/>
                <w:szCs w:val="24"/>
                <w:lang w:val="ro-RO"/>
              </w:rPr>
              <w:t>Ziua lucrătoare 0</w:t>
            </w:r>
          </w:p>
        </w:tc>
        <w:tc>
          <w:tcPr>
            <w:tcW w:w="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BE4C22" w14:textId="77777777" w:rsidR="006D47A5" w:rsidRPr="00C26A9B" w:rsidRDefault="006D47A5" w:rsidP="006D47A5">
            <w:pPr>
              <w:rPr>
                <w:rFonts w:ascii="Times New Roman" w:hAnsi="Times New Roman" w:cs="Times New Roman"/>
                <w:sz w:val="24"/>
                <w:szCs w:val="24"/>
                <w:lang w:val="ro-RO"/>
              </w:rPr>
            </w:pPr>
            <w:r w:rsidRPr="00C26A9B">
              <w:rPr>
                <w:rFonts w:ascii="Times New Roman" w:hAnsi="Times New Roman" w:cs="Times New Roman"/>
                <w:sz w:val="24"/>
                <w:szCs w:val="24"/>
                <w:lang w:val="ro-RO"/>
              </w:rPr>
              <w:t>0 %</w:t>
            </w:r>
          </w:p>
        </w:tc>
      </w:tr>
      <w:tr w:rsidR="006D47A5" w:rsidRPr="00C26A9B" w14:paraId="7F4CA6C1" w14:textId="77777777" w:rsidTr="002A4E36">
        <w:tc>
          <w:tcPr>
            <w:tcW w:w="27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BE538A" w14:textId="77777777" w:rsidR="006D47A5" w:rsidRPr="00C26A9B" w:rsidRDefault="006D47A5" w:rsidP="006D47A5">
            <w:pPr>
              <w:rPr>
                <w:rFonts w:ascii="Times New Roman" w:hAnsi="Times New Roman" w:cs="Times New Roman"/>
                <w:sz w:val="24"/>
                <w:szCs w:val="24"/>
                <w:lang w:val="ro-RO"/>
              </w:rPr>
            </w:pPr>
            <w:r w:rsidRPr="00C26A9B">
              <w:rPr>
                <w:rFonts w:ascii="Times New Roman" w:hAnsi="Times New Roman" w:cs="Times New Roman"/>
                <w:sz w:val="24"/>
                <w:szCs w:val="24"/>
                <w:lang w:val="ro-RO"/>
              </w:rPr>
              <w:t>Ziua lucrătoare 1</w:t>
            </w:r>
          </w:p>
        </w:tc>
        <w:tc>
          <w:tcPr>
            <w:tcW w:w="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97816A" w14:textId="77777777" w:rsidR="006D47A5" w:rsidRPr="00C26A9B" w:rsidRDefault="006D47A5" w:rsidP="006D47A5">
            <w:pPr>
              <w:rPr>
                <w:rFonts w:ascii="Times New Roman" w:hAnsi="Times New Roman" w:cs="Times New Roman"/>
                <w:sz w:val="24"/>
                <w:szCs w:val="24"/>
                <w:lang w:val="ro-RO"/>
              </w:rPr>
            </w:pPr>
            <w:r w:rsidRPr="00C26A9B">
              <w:rPr>
                <w:rFonts w:ascii="Times New Roman" w:hAnsi="Times New Roman" w:cs="Times New Roman"/>
                <w:sz w:val="24"/>
                <w:szCs w:val="24"/>
                <w:lang w:val="ro-RO"/>
              </w:rPr>
              <w:t>10 %</w:t>
            </w:r>
          </w:p>
        </w:tc>
      </w:tr>
      <w:tr w:rsidR="006D47A5" w:rsidRPr="00C26A9B" w14:paraId="65C08A49" w14:textId="77777777" w:rsidTr="002A4E36">
        <w:tc>
          <w:tcPr>
            <w:tcW w:w="27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A64601" w14:textId="77777777" w:rsidR="006D47A5" w:rsidRPr="00C26A9B" w:rsidRDefault="006D47A5" w:rsidP="006D47A5">
            <w:pPr>
              <w:rPr>
                <w:rFonts w:ascii="Times New Roman" w:hAnsi="Times New Roman" w:cs="Times New Roman"/>
                <w:sz w:val="24"/>
                <w:szCs w:val="24"/>
                <w:lang w:val="ro-RO"/>
              </w:rPr>
            </w:pPr>
            <w:r w:rsidRPr="00C26A9B">
              <w:rPr>
                <w:rFonts w:ascii="Times New Roman" w:hAnsi="Times New Roman" w:cs="Times New Roman"/>
                <w:sz w:val="24"/>
                <w:szCs w:val="24"/>
                <w:lang w:val="ro-RO"/>
              </w:rPr>
              <w:t>Zilele lucrătoare 2 și 3</w:t>
            </w:r>
          </w:p>
        </w:tc>
        <w:tc>
          <w:tcPr>
            <w:tcW w:w="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D87300" w14:textId="77777777" w:rsidR="006D47A5" w:rsidRPr="00C26A9B" w:rsidRDefault="006D47A5" w:rsidP="006D47A5">
            <w:pPr>
              <w:rPr>
                <w:rFonts w:ascii="Times New Roman" w:hAnsi="Times New Roman" w:cs="Times New Roman"/>
                <w:sz w:val="24"/>
                <w:szCs w:val="24"/>
                <w:lang w:val="ro-RO"/>
              </w:rPr>
            </w:pPr>
            <w:r w:rsidRPr="00C26A9B">
              <w:rPr>
                <w:rFonts w:ascii="Times New Roman" w:hAnsi="Times New Roman" w:cs="Times New Roman"/>
                <w:sz w:val="24"/>
                <w:szCs w:val="24"/>
                <w:lang w:val="ro-RO"/>
              </w:rPr>
              <w:t>25 %</w:t>
            </w:r>
          </w:p>
        </w:tc>
      </w:tr>
      <w:tr w:rsidR="006D47A5" w:rsidRPr="00C26A9B" w14:paraId="15130AC5" w14:textId="77777777" w:rsidTr="002A4E36">
        <w:tc>
          <w:tcPr>
            <w:tcW w:w="27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85F0B5" w14:textId="77777777" w:rsidR="006D47A5" w:rsidRPr="00C26A9B" w:rsidRDefault="006D47A5" w:rsidP="006D47A5">
            <w:pPr>
              <w:rPr>
                <w:rFonts w:ascii="Times New Roman" w:hAnsi="Times New Roman" w:cs="Times New Roman"/>
                <w:sz w:val="24"/>
                <w:szCs w:val="24"/>
                <w:lang w:val="ro-RO"/>
              </w:rPr>
            </w:pPr>
            <w:r w:rsidRPr="00C26A9B">
              <w:rPr>
                <w:rFonts w:ascii="Times New Roman" w:hAnsi="Times New Roman" w:cs="Times New Roman"/>
                <w:sz w:val="24"/>
                <w:szCs w:val="24"/>
                <w:lang w:val="ro-RO"/>
              </w:rPr>
              <w:t>Ziua lucrătoare 4</w:t>
            </w:r>
          </w:p>
        </w:tc>
        <w:tc>
          <w:tcPr>
            <w:tcW w:w="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700F97" w14:textId="77777777" w:rsidR="006D47A5" w:rsidRPr="00C26A9B" w:rsidRDefault="006D47A5" w:rsidP="006D47A5">
            <w:pPr>
              <w:rPr>
                <w:rFonts w:ascii="Times New Roman" w:hAnsi="Times New Roman" w:cs="Times New Roman"/>
                <w:sz w:val="24"/>
                <w:szCs w:val="24"/>
                <w:lang w:val="ro-RO"/>
              </w:rPr>
            </w:pPr>
            <w:r w:rsidRPr="00C26A9B">
              <w:rPr>
                <w:rFonts w:ascii="Times New Roman" w:hAnsi="Times New Roman" w:cs="Times New Roman"/>
                <w:sz w:val="24"/>
                <w:szCs w:val="24"/>
                <w:lang w:val="ro-RO"/>
              </w:rPr>
              <w:t>50 %</w:t>
            </w:r>
          </w:p>
        </w:tc>
      </w:tr>
      <w:tr w:rsidR="006D47A5" w:rsidRPr="00C26A9B" w14:paraId="38E4E8A4" w14:textId="77777777" w:rsidTr="002A4E36">
        <w:tc>
          <w:tcPr>
            <w:tcW w:w="27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90E53C" w14:textId="77777777" w:rsidR="006D47A5" w:rsidRPr="00C26A9B" w:rsidRDefault="006D47A5" w:rsidP="006D47A5">
            <w:pPr>
              <w:rPr>
                <w:rFonts w:ascii="Times New Roman" w:hAnsi="Times New Roman" w:cs="Times New Roman"/>
                <w:sz w:val="24"/>
                <w:szCs w:val="24"/>
                <w:lang w:val="ro-RO"/>
              </w:rPr>
            </w:pPr>
            <w:r w:rsidRPr="00C26A9B">
              <w:rPr>
                <w:rFonts w:ascii="Times New Roman" w:hAnsi="Times New Roman" w:cs="Times New Roman"/>
                <w:sz w:val="24"/>
                <w:szCs w:val="24"/>
                <w:lang w:val="ro-RO"/>
              </w:rPr>
              <w:t>Ziua lucrătoare 5</w:t>
            </w:r>
          </w:p>
        </w:tc>
        <w:tc>
          <w:tcPr>
            <w:tcW w:w="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B6F514" w14:textId="77777777" w:rsidR="006D47A5" w:rsidRPr="00C26A9B" w:rsidRDefault="006D47A5" w:rsidP="006D47A5">
            <w:pPr>
              <w:rPr>
                <w:rFonts w:ascii="Times New Roman" w:hAnsi="Times New Roman" w:cs="Times New Roman"/>
                <w:sz w:val="24"/>
                <w:szCs w:val="24"/>
                <w:lang w:val="ro-RO"/>
              </w:rPr>
            </w:pPr>
            <w:r w:rsidRPr="00C26A9B">
              <w:rPr>
                <w:rFonts w:ascii="Times New Roman" w:hAnsi="Times New Roman" w:cs="Times New Roman"/>
                <w:sz w:val="24"/>
                <w:szCs w:val="24"/>
                <w:lang w:val="ro-RO"/>
              </w:rPr>
              <w:t>75 %</w:t>
            </w:r>
          </w:p>
        </w:tc>
      </w:tr>
      <w:tr w:rsidR="006D47A5" w:rsidRPr="00C26A9B" w14:paraId="45205D77" w14:textId="77777777" w:rsidTr="002A4E36">
        <w:tc>
          <w:tcPr>
            <w:tcW w:w="27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BDB664" w14:textId="77777777" w:rsidR="006D47A5" w:rsidRPr="00C26A9B" w:rsidRDefault="006D47A5" w:rsidP="006D47A5">
            <w:pPr>
              <w:rPr>
                <w:rFonts w:ascii="Times New Roman" w:hAnsi="Times New Roman" w:cs="Times New Roman"/>
                <w:sz w:val="24"/>
                <w:szCs w:val="24"/>
                <w:lang w:val="ro-RO"/>
              </w:rPr>
            </w:pPr>
            <w:r w:rsidRPr="00C26A9B">
              <w:rPr>
                <w:rFonts w:ascii="Times New Roman" w:hAnsi="Times New Roman" w:cs="Times New Roman"/>
                <w:sz w:val="24"/>
                <w:szCs w:val="24"/>
                <w:lang w:val="ro-RO"/>
              </w:rPr>
              <w:t>După ziua lucrătoare 5</w:t>
            </w:r>
          </w:p>
        </w:tc>
        <w:tc>
          <w:tcPr>
            <w:tcW w:w="8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0AF9DD" w14:textId="77777777" w:rsidR="006D47A5" w:rsidRPr="00C26A9B" w:rsidRDefault="006D47A5" w:rsidP="006D47A5">
            <w:pPr>
              <w:rPr>
                <w:rFonts w:ascii="Times New Roman" w:hAnsi="Times New Roman" w:cs="Times New Roman"/>
                <w:sz w:val="24"/>
                <w:szCs w:val="24"/>
                <w:lang w:val="ro-RO"/>
              </w:rPr>
            </w:pPr>
            <w:r w:rsidRPr="00C26A9B">
              <w:rPr>
                <w:rFonts w:ascii="Times New Roman" w:hAnsi="Times New Roman" w:cs="Times New Roman"/>
                <w:sz w:val="24"/>
                <w:szCs w:val="24"/>
                <w:lang w:val="ro-RO"/>
              </w:rPr>
              <w:t>100 %</w:t>
            </w:r>
          </w:p>
        </w:tc>
      </w:tr>
    </w:tbl>
    <w:p w14:paraId="688311C2" w14:textId="77777777" w:rsidR="002A4E36" w:rsidRPr="00C26A9B" w:rsidRDefault="002A4E36" w:rsidP="00BC7625">
      <w:pPr>
        <w:rPr>
          <w:rFonts w:ascii="Times New Roman" w:hAnsi="Times New Roman" w:cs="Times New Roman"/>
          <w:sz w:val="24"/>
          <w:szCs w:val="24"/>
          <w:lang w:val="ro-RO"/>
        </w:rPr>
      </w:pPr>
    </w:p>
    <w:p w14:paraId="116D5AAD" w14:textId="50F9C7E1" w:rsidR="006D47A5" w:rsidRPr="00C26A9B" w:rsidRDefault="006D47A5"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t>152. În sensul</w:t>
      </w:r>
      <w:r w:rsidR="002A4E36" w:rsidRPr="00C26A9B">
        <w:rPr>
          <w:rFonts w:ascii="Times New Roman" w:hAnsi="Times New Roman" w:cs="Times New Roman"/>
          <w:sz w:val="24"/>
          <w:szCs w:val="24"/>
          <w:lang w:val="ro-RO"/>
        </w:rPr>
        <w:t xml:space="preserve"> </w:t>
      </w:r>
      <w:r w:rsidRPr="00C26A9B">
        <w:rPr>
          <w:rFonts w:ascii="Times New Roman" w:hAnsi="Times New Roman" w:cs="Times New Roman"/>
          <w:sz w:val="24"/>
          <w:szCs w:val="24"/>
          <w:lang w:val="ro-RO"/>
        </w:rPr>
        <w:t>prezentei subsecțiuni, „ziua lucrătoare 0” înseamnă ziua lucrătoare în care banca devine necondiționat angajată în acceptarea unei cantități cunoscute de titluri de valoare la un preț convenit.</w:t>
      </w:r>
    </w:p>
    <w:p w14:paraId="44986CF5" w14:textId="2698D649" w:rsidR="002A4E36" w:rsidRPr="00C26A9B" w:rsidRDefault="002A4E36" w:rsidP="00BC7625">
      <w:pPr>
        <w:rPr>
          <w:rFonts w:ascii="Times New Roman" w:hAnsi="Times New Roman" w:cs="Times New Roman"/>
          <w:sz w:val="24"/>
          <w:szCs w:val="24"/>
          <w:lang w:val="ro-RO"/>
        </w:rPr>
      </w:pPr>
      <w:r w:rsidRPr="00C26A9B">
        <w:rPr>
          <w:rFonts w:ascii="Times New Roman" w:hAnsi="Times New Roman" w:cs="Times New Roman"/>
          <w:sz w:val="24"/>
          <w:szCs w:val="24"/>
          <w:lang w:val="ro-RO"/>
        </w:rPr>
        <w:t>153.   Băncile notifică BNM aplicarea procesului prevăzut la prezenta subsecțiune.</w:t>
      </w:r>
    </w:p>
    <w:p w14:paraId="5F6BCA03" w14:textId="12F57C62" w:rsidR="002A4E36" w:rsidRPr="00C26A9B" w:rsidRDefault="002A4E36" w:rsidP="002A4E36">
      <w:pPr>
        <w:rPr>
          <w:rFonts w:ascii="Times New Roman" w:hAnsi="Times New Roman" w:cs="Times New Roman"/>
          <w:b/>
          <w:bCs/>
          <w:sz w:val="24"/>
          <w:szCs w:val="24"/>
          <w:lang w:val="ro-RO"/>
        </w:rPr>
      </w:pPr>
      <w:bookmarkStart w:id="14" w:name="_Hlk195091009"/>
      <w:r w:rsidRPr="00C26A9B">
        <w:rPr>
          <w:rFonts w:ascii="Times New Roman" w:hAnsi="Times New Roman" w:cs="Times New Roman"/>
          <w:b/>
          <w:bCs/>
          <w:sz w:val="24"/>
          <w:szCs w:val="24"/>
          <w:lang w:val="ro-RO"/>
        </w:rPr>
        <w:t>Secțiunea 3. Definițiile factorilor de risc și ale sensibilităților</w:t>
      </w:r>
    </w:p>
    <w:p w14:paraId="2032D990" w14:textId="3E2FF5E9" w:rsidR="002A4E36" w:rsidRPr="00C26A9B" w:rsidRDefault="002A4E36" w:rsidP="002A4E36">
      <w:pPr>
        <w:rPr>
          <w:rFonts w:ascii="Times New Roman" w:hAnsi="Times New Roman" w:cs="Times New Roman"/>
          <w:b/>
          <w:bCs/>
          <w:sz w:val="24"/>
          <w:szCs w:val="24"/>
          <w:lang w:val="ro-RO"/>
        </w:rPr>
      </w:pPr>
      <w:r w:rsidRPr="00C26A9B">
        <w:rPr>
          <w:rFonts w:ascii="Times New Roman" w:hAnsi="Times New Roman" w:cs="Times New Roman"/>
          <w:b/>
          <w:bCs/>
          <w:i/>
          <w:iCs/>
          <w:sz w:val="24"/>
          <w:szCs w:val="24"/>
          <w:lang w:val="ro-RO"/>
        </w:rPr>
        <w:t>Subsecțiunea 1.</w:t>
      </w:r>
      <w:r w:rsidRPr="00C26A9B">
        <w:rPr>
          <w:rFonts w:ascii="Times New Roman" w:hAnsi="Times New Roman" w:cs="Times New Roman"/>
          <w:sz w:val="24"/>
          <w:szCs w:val="24"/>
          <w:lang w:val="ro-RO"/>
        </w:rPr>
        <w:t xml:space="preserve"> </w:t>
      </w:r>
      <w:r w:rsidRPr="00CC1E9B">
        <w:rPr>
          <w:rFonts w:ascii="Times New Roman" w:hAnsi="Times New Roman" w:cs="Times New Roman"/>
          <w:b/>
          <w:bCs/>
          <w:i/>
          <w:iCs/>
          <w:sz w:val="24"/>
          <w:szCs w:val="24"/>
          <w:lang w:val="ro-RO"/>
        </w:rPr>
        <w:t>Definițiile factorilor de risc</w:t>
      </w:r>
    </w:p>
    <w:p w14:paraId="11347CA0" w14:textId="4FC11ADA" w:rsidR="002A4E36" w:rsidRPr="00C26A9B" w:rsidRDefault="002A4E36" w:rsidP="002A4E36">
      <w:pPr>
        <w:rPr>
          <w:rFonts w:ascii="Times New Roman" w:hAnsi="Times New Roman" w:cs="Times New Roman"/>
          <w:b/>
          <w:bCs/>
          <w:sz w:val="24"/>
          <w:szCs w:val="24"/>
          <w:lang w:val="ro-RO"/>
        </w:rPr>
      </w:pPr>
      <w:r w:rsidRPr="00C26A9B">
        <w:rPr>
          <w:rFonts w:ascii="Times New Roman" w:hAnsi="Times New Roman" w:cs="Times New Roman"/>
          <w:i/>
          <w:iCs/>
          <w:sz w:val="24"/>
          <w:szCs w:val="24"/>
          <w:lang w:val="ro-RO"/>
        </w:rPr>
        <w:t xml:space="preserve">Paragraful 1. </w:t>
      </w:r>
      <w:r w:rsidRPr="00C26A9B">
        <w:rPr>
          <w:rFonts w:ascii="Times New Roman" w:hAnsi="Times New Roman" w:cs="Times New Roman"/>
          <w:b/>
          <w:bCs/>
          <w:sz w:val="24"/>
          <w:szCs w:val="24"/>
          <w:lang w:val="ro-RO"/>
        </w:rPr>
        <w:t>Factori de risc general de rată a dobânzii</w:t>
      </w:r>
      <w:bookmarkEnd w:id="14"/>
    </w:p>
    <w:p w14:paraId="55F2D7A1" w14:textId="77777777" w:rsidR="00BB1C5F" w:rsidRPr="00C26A9B" w:rsidRDefault="00BB1C5F"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154.   Pentru toți factorii de risc general de rată a dobânzii, inclusiv riscul de inflație și riscul de bază </w:t>
      </w:r>
      <w:proofErr w:type="spellStart"/>
      <w:r w:rsidRPr="00C26A9B">
        <w:rPr>
          <w:rFonts w:ascii="Times New Roman" w:hAnsi="Times New Roman" w:cs="Times New Roman"/>
          <w:sz w:val="24"/>
          <w:szCs w:val="24"/>
          <w:lang w:val="ro-RO"/>
        </w:rPr>
        <w:t>intervalutară</w:t>
      </w:r>
      <w:proofErr w:type="spellEnd"/>
      <w:r w:rsidRPr="00C26A9B">
        <w:rPr>
          <w:rFonts w:ascii="Times New Roman" w:hAnsi="Times New Roman" w:cs="Times New Roman"/>
          <w:sz w:val="24"/>
          <w:szCs w:val="24"/>
          <w:lang w:val="ro-RO"/>
        </w:rPr>
        <w:t>, există o singură bandă pentru fiecare monedă, fiecare bandă cuprinzând diferite tipuri de factori de risc.</w:t>
      </w:r>
    </w:p>
    <w:p w14:paraId="358F4FBD" w14:textId="4FCA2618" w:rsidR="00BB1C5F" w:rsidRPr="00C26A9B" w:rsidRDefault="00BB1C5F"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155. Factorii de risc delta general de rată a dobânzii aplicabili instrumentelor sensibile la rata dobânzii sunt ratele fără risc relevante pentru fiecare monedă și pentru fiecare dintre următoarele scadențe: 0,25 ani, 0,5 ani, 1 an, 2 ani, 3 ani, 5 ani, 10 ani, 15 ani, 20 de ani, 30 de ani. Pentru a raporta conducerii superioare riscul de piață sau profiturile și pierderile, băncile atribuie vârfurilor specificate factori de risc fie prin interpolare liniară, fie printr-o metodă care este cea mai consecventă cu funcțiile de stabilire a prețului, utilizate de funcția </w:t>
      </w:r>
      <w:r w:rsidR="006F2E6A" w:rsidRPr="006F2E6A">
        <w:rPr>
          <w:rFonts w:ascii="Times New Roman" w:hAnsi="Times New Roman" w:cs="Times New Roman"/>
          <w:bCs/>
          <w:sz w:val="24"/>
          <w:szCs w:val="24"/>
          <w:lang w:val="ro-RO"/>
        </w:rPr>
        <w:t xml:space="preserve">de administrare a riscurilor </w:t>
      </w:r>
      <w:r w:rsidRPr="00C26A9B">
        <w:rPr>
          <w:rFonts w:ascii="Times New Roman" w:hAnsi="Times New Roman" w:cs="Times New Roman"/>
          <w:sz w:val="24"/>
          <w:szCs w:val="24"/>
          <w:lang w:val="ro-RO"/>
        </w:rPr>
        <w:t>băncii.</w:t>
      </w:r>
    </w:p>
    <w:p w14:paraId="67724469" w14:textId="7377D8C7" w:rsidR="00BB1C5F" w:rsidRPr="00C26A9B" w:rsidRDefault="00BB1C5F"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156.   Băncile obțin ratele fără risc pentru fiecare valută pe baza instrumentelor pieței monetare deținute în portofoliul de tranzacționare al băncii care au cel mai redus risc de credit, precum </w:t>
      </w:r>
      <w:proofErr w:type="spellStart"/>
      <w:r w:rsidRPr="00C26A9B">
        <w:rPr>
          <w:rFonts w:ascii="Times New Roman" w:hAnsi="Times New Roman" w:cs="Times New Roman"/>
          <w:sz w:val="24"/>
          <w:szCs w:val="24"/>
          <w:lang w:val="ro-RO"/>
        </w:rPr>
        <w:t>swapurile</w:t>
      </w:r>
      <w:proofErr w:type="spellEnd"/>
      <w:r w:rsidRPr="00C26A9B">
        <w:rPr>
          <w:rFonts w:ascii="Times New Roman" w:hAnsi="Times New Roman" w:cs="Times New Roman"/>
          <w:sz w:val="24"/>
          <w:szCs w:val="24"/>
          <w:lang w:val="ro-RO"/>
        </w:rPr>
        <w:t xml:space="preserve"> pe rata dobânzii „</w:t>
      </w:r>
      <w:proofErr w:type="spellStart"/>
      <w:r w:rsidRPr="00C26A9B">
        <w:rPr>
          <w:rFonts w:ascii="Times New Roman" w:hAnsi="Times New Roman" w:cs="Times New Roman"/>
          <w:sz w:val="24"/>
          <w:szCs w:val="24"/>
          <w:lang w:val="ro-RO"/>
        </w:rPr>
        <w:t>overnight</w:t>
      </w:r>
      <w:proofErr w:type="spellEnd"/>
      <w:r w:rsidRPr="00C26A9B">
        <w:rPr>
          <w:rFonts w:ascii="Times New Roman" w:hAnsi="Times New Roman" w:cs="Times New Roman"/>
          <w:sz w:val="24"/>
          <w:szCs w:val="24"/>
          <w:lang w:val="ro-RO"/>
        </w:rPr>
        <w:t>”.</w:t>
      </w:r>
    </w:p>
    <w:p w14:paraId="0AA02F77" w14:textId="77777777" w:rsidR="00BB1C5F" w:rsidRPr="00C26A9B" w:rsidRDefault="00BB1C5F"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157.   În cazul în care băncile nu pot aplica abordarea menționată lapct.156, ratele fără risc se bazează pe una sau mai multe curbe </w:t>
      </w:r>
      <w:proofErr w:type="spellStart"/>
      <w:r w:rsidRPr="00C26A9B">
        <w:rPr>
          <w:rFonts w:ascii="Times New Roman" w:hAnsi="Times New Roman" w:cs="Times New Roman"/>
          <w:sz w:val="24"/>
          <w:szCs w:val="24"/>
          <w:lang w:val="ro-RO"/>
        </w:rPr>
        <w:t>swap</w:t>
      </w:r>
      <w:proofErr w:type="spellEnd"/>
      <w:r w:rsidRPr="00C26A9B">
        <w:rPr>
          <w:rFonts w:ascii="Times New Roman" w:hAnsi="Times New Roman" w:cs="Times New Roman"/>
          <w:sz w:val="24"/>
          <w:szCs w:val="24"/>
          <w:lang w:val="ro-RO"/>
        </w:rPr>
        <w:t xml:space="preserve"> implicite de piață utilizate de bancă pentru a marca pozițiile la piață, precum curbele </w:t>
      </w:r>
      <w:proofErr w:type="spellStart"/>
      <w:r w:rsidRPr="00C26A9B">
        <w:rPr>
          <w:rFonts w:ascii="Times New Roman" w:hAnsi="Times New Roman" w:cs="Times New Roman"/>
          <w:sz w:val="24"/>
          <w:szCs w:val="24"/>
          <w:lang w:val="ro-RO"/>
        </w:rPr>
        <w:t>swap</w:t>
      </w:r>
      <w:proofErr w:type="spellEnd"/>
      <w:r w:rsidRPr="00C26A9B">
        <w:rPr>
          <w:rFonts w:ascii="Times New Roman" w:hAnsi="Times New Roman" w:cs="Times New Roman"/>
          <w:sz w:val="24"/>
          <w:szCs w:val="24"/>
          <w:lang w:val="ro-RO"/>
        </w:rPr>
        <w:t xml:space="preserve"> pe rata dobânzii interbancare oferită.</w:t>
      </w:r>
    </w:p>
    <w:p w14:paraId="3E499E7B" w14:textId="77777777" w:rsidR="00BB1C5F" w:rsidRPr="00C26A9B" w:rsidRDefault="00BB1C5F"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158. În cazul în care datele privind curbele </w:t>
      </w:r>
      <w:proofErr w:type="spellStart"/>
      <w:r w:rsidRPr="00C26A9B">
        <w:rPr>
          <w:rFonts w:ascii="Times New Roman" w:hAnsi="Times New Roman" w:cs="Times New Roman"/>
          <w:sz w:val="24"/>
          <w:szCs w:val="24"/>
          <w:lang w:val="ro-RO"/>
        </w:rPr>
        <w:t>swap</w:t>
      </w:r>
      <w:proofErr w:type="spellEnd"/>
      <w:r w:rsidRPr="00C26A9B">
        <w:rPr>
          <w:rFonts w:ascii="Times New Roman" w:hAnsi="Times New Roman" w:cs="Times New Roman"/>
          <w:sz w:val="24"/>
          <w:szCs w:val="24"/>
          <w:lang w:val="ro-RO"/>
        </w:rPr>
        <w:t xml:space="preserve"> implicite de piață descrise la pct.156 și 157 sunt insuficiente, ratele fără risc pot fi determinate pornind de la cea mai adecvată curbă a obligațiunilor suverane pentru o anumită monedă.</w:t>
      </w:r>
    </w:p>
    <w:p w14:paraId="54959C76" w14:textId="29519BA4" w:rsidR="00BB1C5F" w:rsidRPr="00C26A9B" w:rsidRDefault="00BB1C5F"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159. În cazul în care băncile utilizează, pentru instrumentele de datorie suverană, factorii de risc general de rată a dobânzii determinați în conformitate cu procedura descrisă la pct.158, instrumentul de datorie suverană nu este exceptat de la cerințele de fonduri proprii pentru riscul de marjă de credit. În aceste cazuri, atunci când rata fără risc nu poate fi separată de componenta de marjă de credit, sensibilitatea la factorul de risc este atribuită atât riscului general de rată a dobânzii, cât și claselor de risc de marjă de credit.</w:t>
      </w:r>
    </w:p>
    <w:p w14:paraId="75B90BA1" w14:textId="77777777" w:rsidR="00BB1C5F" w:rsidRPr="00C26A9B" w:rsidRDefault="00BB1C5F"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160.   În cazul factorilor de risc general de rată a dobânzii, fiecare monedă reprezintă o bandă distinctă. Băncile atribuie ponderi de risc diferite factorilor de risc care se încadrează în aceeași bandă, dar au scadențe diferite, în conformitate cu secțiunea 6.</w:t>
      </w:r>
    </w:p>
    <w:p w14:paraId="3FA76E05" w14:textId="57002815" w:rsidR="00BB1C5F" w:rsidRPr="00C26A9B" w:rsidRDefault="00BB1C5F"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161. Băncile aplică factori de risc suplimentari pentru riscul de inflație titlurilor de datorie ale căror fluxuri de numerar sunt dependente din punct de vedere funcțional de ratele inflației. Acești factori de risc suplimentari constau într-un vector al ratelor inflației implicite de piață cu diferite scadențe pentru fiecare monedă. Pentru fiecare instrument, vectorul cuprinde un număr de componente egal cu numărul de rate ale inflației utilizate ca variabile în modelul de stabilire a prețului al băncii pentru respectivul instrument.</w:t>
      </w:r>
    </w:p>
    <w:p w14:paraId="464FDA9A" w14:textId="7E16EA5E" w:rsidR="00BB1C5F" w:rsidRPr="00C26A9B" w:rsidRDefault="00BB1C5F"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162.   Băncile calculează sensibilitatea instrumentului la factorul de risc suplimentar pentru riscul de inflație menționat la pct.161 ca fiind variația valorii instrumentului, conform modelului lor de stabilire a prețului, ca urmare a unei modificări de 1 punct de bază al fiecărei componente a vectorului. Fiecare monedă constituie o bandă distinctă. În cadrul fiecărei benzi, băncile tratează inflația ca fiind un singur factor de risc, indiferent de numărul de componente ale fiecărui vector. Băncile compensează toate sensibilitățile la inflație dintr-o bandă, calculate conform descrierii din prezentul punct, pentru a obține o singură sensibilitate netă per bandă.</w:t>
      </w:r>
    </w:p>
    <w:p w14:paraId="72333B0B" w14:textId="77777777" w:rsidR="00BB1C5F" w:rsidRPr="00C26A9B" w:rsidRDefault="00BB1C5F"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163.  Titlurile de datorie care implică plăți în monede diferite fac, de asemenea, obiectul riscului de bază </w:t>
      </w:r>
      <w:proofErr w:type="spellStart"/>
      <w:r w:rsidRPr="00C26A9B">
        <w:rPr>
          <w:rFonts w:ascii="Times New Roman" w:hAnsi="Times New Roman" w:cs="Times New Roman"/>
          <w:sz w:val="24"/>
          <w:szCs w:val="24"/>
          <w:lang w:val="ro-RO"/>
        </w:rPr>
        <w:t>intervalutare</w:t>
      </w:r>
      <w:proofErr w:type="spellEnd"/>
      <w:r w:rsidRPr="00C26A9B">
        <w:rPr>
          <w:rFonts w:ascii="Times New Roman" w:hAnsi="Times New Roman" w:cs="Times New Roman"/>
          <w:sz w:val="24"/>
          <w:szCs w:val="24"/>
          <w:lang w:val="ro-RO"/>
        </w:rPr>
        <w:t xml:space="preserve"> dintre monedele respective. În sensul metodei bazate pe sensibilități, factorul de risc care trebuie aplicat de bănci este riscul de bază </w:t>
      </w:r>
      <w:proofErr w:type="spellStart"/>
      <w:r w:rsidRPr="00C26A9B">
        <w:rPr>
          <w:rFonts w:ascii="Times New Roman" w:hAnsi="Times New Roman" w:cs="Times New Roman"/>
          <w:sz w:val="24"/>
          <w:szCs w:val="24"/>
          <w:lang w:val="ro-RO"/>
        </w:rPr>
        <w:t>intervalutară</w:t>
      </w:r>
      <w:proofErr w:type="spellEnd"/>
      <w:r w:rsidRPr="00C26A9B">
        <w:rPr>
          <w:rFonts w:ascii="Times New Roman" w:hAnsi="Times New Roman" w:cs="Times New Roman"/>
          <w:sz w:val="24"/>
          <w:szCs w:val="24"/>
          <w:lang w:val="ro-RO"/>
        </w:rPr>
        <w:t xml:space="preserve"> al fiecărei monede în raport cu USD sau cu EUR. Băncile calculează bazele </w:t>
      </w:r>
      <w:proofErr w:type="spellStart"/>
      <w:r w:rsidRPr="00C26A9B">
        <w:rPr>
          <w:rFonts w:ascii="Times New Roman" w:hAnsi="Times New Roman" w:cs="Times New Roman"/>
          <w:sz w:val="24"/>
          <w:szCs w:val="24"/>
          <w:lang w:val="ro-RO"/>
        </w:rPr>
        <w:t>intervalutare</w:t>
      </w:r>
      <w:proofErr w:type="spellEnd"/>
      <w:r w:rsidRPr="00C26A9B">
        <w:rPr>
          <w:rFonts w:ascii="Times New Roman" w:hAnsi="Times New Roman" w:cs="Times New Roman"/>
          <w:sz w:val="24"/>
          <w:szCs w:val="24"/>
          <w:lang w:val="ro-RO"/>
        </w:rPr>
        <w:t xml:space="preserve"> care nu sunt exprimate prin raportarea bazei la USD sau la EUR fie ca „bază raportată la USD”, fie ca „bază raportată la EUR”.</w:t>
      </w:r>
    </w:p>
    <w:p w14:paraId="326D08E9" w14:textId="77777777" w:rsidR="00BB1C5F" w:rsidRPr="00C26A9B" w:rsidRDefault="00BB1C5F"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164. Fiecare factor de risc de bază </w:t>
      </w:r>
      <w:proofErr w:type="spellStart"/>
      <w:r w:rsidRPr="00C26A9B">
        <w:rPr>
          <w:rFonts w:ascii="Times New Roman" w:hAnsi="Times New Roman" w:cs="Times New Roman"/>
          <w:sz w:val="24"/>
          <w:szCs w:val="24"/>
          <w:lang w:val="ro-RO"/>
        </w:rPr>
        <w:t>intervalutară</w:t>
      </w:r>
      <w:proofErr w:type="spellEnd"/>
      <w:r w:rsidRPr="00C26A9B">
        <w:rPr>
          <w:rFonts w:ascii="Times New Roman" w:hAnsi="Times New Roman" w:cs="Times New Roman"/>
          <w:sz w:val="24"/>
          <w:szCs w:val="24"/>
          <w:lang w:val="ro-RO"/>
        </w:rPr>
        <w:t xml:space="preserve"> constă într-un vector al bazei </w:t>
      </w:r>
      <w:proofErr w:type="spellStart"/>
      <w:r w:rsidRPr="00C26A9B">
        <w:rPr>
          <w:rFonts w:ascii="Times New Roman" w:hAnsi="Times New Roman" w:cs="Times New Roman"/>
          <w:sz w:val="24"/>
          <w:szCs w:val="24"/>
          <w:lang w:val="ro-RO"/>
        </w:rPr>
        <w:t>intervalutare</w:t>
      </w:r>
      <w:proofErr w:type="spellEnd"/>
      <w:r w:rsidRPr="00C26A9B">
        <w:rPr>
          <w:rFonts w:ascii="Times New Roman" w:hAnsi="Times New Roman" w:cs="Times New Roman"/>
          <w:sz w:val="24"/>
          <w:szCs w:val="24"/>
          <w:lang w:val="ro-RO"/>
        </w:rPr>
        <w:t xml:space="preserve"> cu diferite scadențe pentru fiecare monedă. Pentru fiecare titlu de datorie, vectorul cuprinde un număr de componente egal cu numărul de baze </w:t>
      </w:r>
      <w:proofErr w:type="spellStart"/>
      <w:r w:rsidRPr="00C26A9B">
        <w:rPr>
          <w:rFonts w:ascii="Times New Roman" w:hAnsi="Times New Roman" w:cs="Times New Roman"/>
          <w:sz w:val="24"/>
          <w:szCs w:val="24"/>
          <w:lang w:val="ro-RO"/>
        </w:rPr>
        <w:t>intervalutare</w:t>
      </w:r>
      <w:proofErr w:type="spellEnd"/>
      <w:r w:rsidRPr="00C26A9B">
        <w:rPr>
          <w:rFonts w:ascii="Times New Roman" w:hAnsi="Times New Roman" w:cs="Times New Roman"/>
          <w:sz w:val="24"/>
          <w:szCs w:val="24"/>
          <w:lang w:val="ro-RO"/>
        </w:rPr>
        <w:t xml:space="preserve"> utilizate ca variabile în modelul de evaluare al băncii pentru respectivul titlu. Fiecare monedă constituie o bandă distinctă.</w:t>
      </w:r>
    </w:p>
    <w:p w14:paraId="59E87F69" w14:textId="1BFBAC7C" w:rsidR="00BB1C5F" w:rsidRPr="00C26A9B" w:rsidRDefault="00BB1C5F"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165. Băncile calculează sensibilitatea instrumentului la factorul de risc de bază </w:t>
      </w:r>
      <w:proofErr w:type="spellStart"/>
      <w:r w:rsidRPr="00C26A9B">
        <w:rPr>
          <w:rFonts w:ascii="Times New Roman" w:hAnsi="Times New Roman" w:cs="Times New Roman"/>
          <w:sz w:val="24"/>
          <w:szCs w:val="24"/>
          <w:lang w:val="ro-RO"/>
        </w:rPr>
        <w:t>intervalutară</w:t>
      </w:r>
      <w:proofErr w:type="spellEnd"/>
      <w:r w:rsidRPr="00C26A9B">
        <w:rPr>
          <w:rFonts w:ascii="Times New Roman" w:hAnsi="Times New Roman" w:cs="Times New Roman"/>
          <w:sz w:val="24"/>
          <w:szCs w:val="24"/>
          <w:lang w:val="ro-RO"/>
        </w:rPr>
        <w:t xml:space="preserve"> ca fiind variația valorii instrumentului antrenată, conform modelului lor de evaluare, de un decalaj de 1 punct de bază al fiecărei componente a vectorului. Fiecare monedă constituie o bandă distinctă. În cadrul fiecărei benzi există doi factori de risc posibili distincți: baza raportată la EUR și baza raportată la USD, indiferent de numărul de componente incluse în fiecare vector al bazei </w:t>
      </w:r>
      <w:proofErr w:type="spellStart"/>
      <w:r w:rsidRPr="00C26A9B">
        <w:rPr>
          <w:rFonts w:ascii="Times New Roman" w:hAnsi="Times New Roman" w:cs="Times New Roman"/>
          <w:sz w:val="24"/>
          <w:szCs w:val="24"/>
          <w:lang w:val="ro-RO"/>
        </w:rPr>
        <w:t>intervalutare</w:t>
      </w:r>
      <w:proofErr w:type="spellEnd"/>
      <w:r w:rsidRPr="00C26A9B">
        <w:rPr>
          <w:rFonts w:ascii="Times New Roman" w:hAnsi="Times New Roman" w:cs="Times New Roman"/>
          <w:sz w:val="24"/>
          <w:szCs w:val="24"/>
          <w:lang w:val="ro-RO"/>
        </w:rPr>
        <w:t>. Numărul maxim de sensibilități nete pentru fiecare bandă este de două.</w:t>
      </w:r>
    </w:p>
    <w:p w14:paraId="5CF91B52" w14:textId="77777777" w:rsidR="00BB1C5F" w:rsidRPr="00C26A9B" w:rsidRDefault="00BB1C5F"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166.   Factorii de risc general de rată a dobânzii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aplicabili opțiunilor cu instrumente-suport care sunt sensibile la riscul general de rată a dobânzii sunt </w:t>
      </w:r>
      <w:proofErr w:type="spellStart"/>
      <w:r w:rsidRPr="00C26A9B">
        <w:rPr>
          <w:rFonts w:ascii="Times New Roman" w:hAnsi="Times New Roman" w:cs="Times New Roman"/>
          <w:sz w:val="24"/>
          <w:szCs w:val="24"/>
          <w:lang w:val="ro-RO"/>
        </w:rPr>
        <w:t>volatilitățile</w:t>
      </w:r>
      <w:proofErr w:type="spellEnd"/>
      <w:r w:rsidRPr="00C26A9B">
        <w:rPr>
          <w:rFonts w:ascii="Times New Roman" w:hAnsi="Times New Roman" w:cs="Times New Roman"/>
          <w:sz w:val="24"/>
          <w:szCs w:val="24"/>
          <w:lang w:val="ro-RO"/>
        </w:rPr>
        <w:t xml:space="preserve"> implicite ale ratelor fără risc relevante, astfel cum sunt descrise la pct.156 și 157-159, acestea fiind încadrate în benzi în funcție de monedă și puse în corespondență cu următoarele scadențe în cadrul fiecărei benzi: 0,5 ani, 1 an, 3 ani, 5 ani, 10 ani. Există o singură bandă pentru fiecare valută.</w:t>
      </w:r>
    </w:p>
    <w:p w14:paraId="5B9A0AC1" w14:textId="77777777" w:rsidR="00BB1C5F" w:rsidRPr="00C26A9B" w:rsidRDefault="00BB1C5F"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167. În scopuri de compensare, băncile consideră că </w:t>
      </w:r>
      <w:proofErr w:type="spellStart"/>
      <w:r w:rsidRPr="00C26A9B">
        <w:rPr>
          <w:rFonts w:ascii="Times New Roman" w:hAnsi="Times New Roman" w:cs="Times New Roman"/>
          <w:sz w:val="24"/>
          <w:szCs w:val="24"/>
          <w:lang w:val="ro-RO"/>
        </w:rPr>
        <w:t>volatilitățile</w:t>
      </w:r>
      <w:proofErr w:type="spellEnd"/>
      <w:r w:rsidRPr="00C26A9B">
        <w:rPr>
          <w:rFonts w:ascii="Times New Roman" w:hAnsi="Times New Roman" w:cs="Times New Roman"/>
          <w:sz w:val="24"/>
          <w:szCs w:val="24"/>
          <w:lang w:val="ro-RO"/>
        </w:rPr>
        <w:t xml:space="preserve"> implicite legate de aceleași rate fără risc și puse în corespondență cu aceleași scadențe reprezintă același factor de risc.</w:t>
      </w:r>
    </w:p>
    <w:p w14:paraId="3F9B7284" w14:textId="77777777" w:rsidR="00BB1C5F" w:rsidRPr="00C26A9B" w:rsidRDefault="00BB1C5F"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168. În cazul în cazul în care băncile pun în corespondență </w:t>
      </w:r>
      <w:proofErr w:type="spellStart"/>
      <w:r w:rsidRPr="00C26A9B">
        <w:rPr>
          <w:rFonts w:ascii="Times New Roman" w:hAnsi="Times New Roman" w:cs="Times New Roman"/>
          <w:sz w:val="24"/>
          <w:szCs w:val="24"/>
          <w:lang w:val="ro-RO"/>
        </w:rPr>
        <w:t>volatilitățile</w:t>
      </w:r>
      <w:proofErr w:type="spellEnd"/>
      <w:r w:rsidRPr="00C26A9B">
        <w:rPr>
          <w:rFonts w:ascii="Times New Roman" w:hAnsi="Times New Roman" w:cs="Times New Roman"/>
          <w:sz w:val="24"/>
          <w:szCs w:val="24"/>
          <w:lang w:val="ro-RO"/>
        </w:rPr>
        <w:t xml:space="preserve"> implicite cu scadențele astfel cum se menționează la pct.167, se aplică următoarele cerințe:</w:t>
      </w:r>
    </w:p>
    <w:p w14:paraId="49851B14" w14:textId="77777777" w:rsidR="00BB1C5F" w:rsidRPr="00C26A9B" w:rsidRDefault="00BB1C5F"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168.1. în cazul în care scadența opțiunii este aliniată la scadența instrumentului-suport, se ia în considerare un singur factor de risc, care este pus în corespondență cu scadența respectivă;</w:t>
      </w:r>
    </w:p>
    <w:p w14:paraId="126CA20A" w14:textId="77777777" w:rsidR="00BB1C5F" w:rsidRPr="00C26A9B" w:rsidRDefault="00BB1C5F"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168.2. în cazul în care scadența opțiunii este mai mică decât scadența instrumentului-suport, se iau în considerare următorii factori de risc, după cum urmează:</w:t>
      </w:r>
    </w:p>
    <w:p w14:paraId="6C910FF4" w14:textId="77777777" w:rsidR="00BB1C5F" w:rsidRPr="00C26A9B" w:rsidRDefault="00BB1C5F"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168.2.1. primul factor de risc este pus în corespondență cu scadența opțiunii;</w:t>
      </w:r>
    </w:p>
    <w:p w14:paraId="038913D2" w14:textId="141DF7EF" w:rsidR="00BB1C5F" w:rsidRPr="00C26A9B" w:rsidRDefault="00BB1C5F"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168.2.2. cel de al doilea factor de risc este pus în corespondență cu scadența reziduală a instrumentului-suport al opțiunii la data expirării opțiunii.</w:t>
      </w:r>
    </w:p>
    <w:p w14:paraId="62791AD2" w14:textId="6A0AAC12" w:rsidR="00BB1C5F" w:rsidRPr="00C26A9B" w:rsidRDefault="00BB1C5F"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169.   Factorii de risc general de rată a dobânzii de curbură care trebuie aplicați de către bănci constau într-un vector al ratelor fără risc, care reprezintă o anumită curbă a randamentelor fără risc pentru fiecare monedă. Fiecare monedă constituie o bandă distinctă. Pentru fiecare instrument, vectorul cuprinde un număr de componente egal cu numărul de scadențe distincte ale ratelor fără risc utilizate ca variabile în modelul de evaluare al băncii pentru respectivul instrument.</w:t>
      </w:r>
    </w:p>
    <w:p w14:paraId="60B2197D" w14:textId="77777777" w:rsidR="00BB1C5F" w:rsidRPr="00C26A9B" w:rsidRDefault="00BB1C5F"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170.   Băncile calculează sensibilitatea instrumentului la fiecare factor de risc utilizat în formula riscului de curbură în conformitate cu secțiunea 2, subsecțiunea 4. În scopul calculării riscului de curbură, băncile iau în considerare vectori care corespund unor curbe de randament diferite, cu un număr diferit de componente față de factorul de risc aferent, cu condiția ca vectorii respectivi să corespundă aceleiași monede. Băncile compensează între ele sensibilitățile la același factor de risc. Există o singură sensibilitate netă pentru fiecare bandă.</w:t>
      </w:r>
    </w:p>
    <w:p w14:paraId="5AD962DA" w14:textId="2B88B783" w:rsidR="00BB1C5F" w:rsidRPr="00C26A9B" w:rsidRDefault="00BB1C5F"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171. În cazul riscului de inflație și al riscului de bază </w:t>
      </w:r>
      <w:proofErr w:type="spellStart"/>
      <w:r w:rsidRPr="00C26A9B">
        <w:rPr>
          <w:rFonts w:ascii="Times New Roman" w:hAnsi="Times New Roman" w:cs="Times New Roman"/>
          <w:sz w:val="24"/>
          <w:szCs w:val="24"/>
          <w:lang w:val="ro-RO"/>
        </w:rPr>
        <w:t>intervalutară</w:t>
      </w:r>
      <w:proofErr w:type="spellEnd"/>
      <w:r w:rsidRPr="00C26A9B">
        <w:rPr>
          <w:rFonts w:ascii="Times New Roman" w:hAnsi="Times New Roman" w:cs="Times New Roman"/>
          <w:sz w:val="24"/>
          <w:szCs w:val="24"/>
          <w:lang w:val="ro-RO"/>
        </w:rPr>
        <w:t xml:space="preserve"> nu există nicio cerință de fonduri proprii pentru riscul de curbură.</w:t>
      </w:r>
    </w:p>
    <w:p w14:paraId="4DDF8322" w14:textId="58D9350B" w:rsidR="007B5543" w:rsidRPr="00C26A9B" w:rsidRDefault="007B5543" w:rsidP="00BB1C5F">
      <w:pPr>
        <w:rPr>
          <w:rFonts w:ascii="Times New Roman" w:hAnsi="Times New Roman" w:cs="Times New Roman"/>
          <w:b/>
          <w:bCs/>
          <w:sz w:val="24"/>
          <w:szCs w:val="24"/>
          <w:lang w:val="ro-RO"/>
        </w:rPr>
      </w:pPr>
      <w:bookmarkStart w:id="15" w:name="_Hlk195091269"/>
      <w:r w:rsidRPr="00C26A9B">
        <w:rPr>
          <w:rFonts w:ascii="Times New Roman" w:hAnsi="Times New Roman" w:cs="Times New Roman"/>
          <w:i/>
          <w:iCs/>
          <w:sz w:val="24"/>
          <w:szCs w:val="24"/>
          <w:lang w:val="ro-RO"/>
        </w:rPr>
        <w:t xml:space="preserve">Paragraful 2. </w:t>
      </w:r>
      <w:r w:rsidRPr="00C26A9B">
        <w:rPr>
          <w:rFonts w:ascii="Times New Roman" w:hAnsi="Times New Roman" w:cs="Times New Roman"/>
          <w:b/>
          <w:bCs/>
          <w:sz w:val="24"/>
          <w:szCs w:val="24"/>
          <w:lang w:val="ro-RO"/>
        </w:rPr>
        <w:t>Factorii de risc de marjă de credit pentru instrumentele care nu sunt poziții din securitizare</w:t>
      </w:r>
      <w:bookmarkEnd w:id="15"/>
    </w:p>
    <w:p w14:paraId="6EA1CAE5" w14:textId="09717D61" w:rsidR="007B5543" w:rsidRPr="00C26A9B" w:rsidRDefault="007B5543"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172.   Factorii de risc de marjă de credit delta care trebuie aplicați de către bănci instrumentelor care nu sunt poziții din securitizare și care sunt sensibile la marja de credit sunt ratele de marjă de credit ale emitentului instrumentelor respective, obținute pe baza titlurilor de datorie și a instrumentelor de tipul „credit </w:t>
      </w:r>
      <w:proofErr w:type="spellStart"/>
      <w:r w:rsidRPr="00C26A9B">
        <w:rPr>
          <w:rFonts w:ascii="Times New Roman" w:hAnsi="Times New Roman" w:cs="Times New Roman"/>
          <w:sz w:val="24"/>
          <w:szCs w:val="24"/>
          <w:lang w:val="ro-RO"/>
        </w:rPr>
        <w:t>default</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swap</w:t>
      </w:r>
      <w:proofErr w:type="spellEnd"/>
      <w:r w:rsidRPr="00C26A9B">
        <w:rPr>
          <w:rFonts w:ascii="Times New Roman" w:hAnsi="Times New Roman" w:cs="Times New Roman"/>
          <w:sz w:val="24"/>
          <w:szCs w:val="24"/>
          <w:lang w:val="ro-RO"/>
        </w:rPr>
        <w:t xml:space="preserve">” relevante și puse în corespondență cu fiecare dintre următoarele scadențe: 0,5 ani, 1 an, 3 ani, 5 ani, 10 ani. Băncile aplică un singur factor de risc per emitent și scadență, indiferent dacă ratele de marjă de credit ale emitentului respective sunt obținute pe baza titlurilor de datorie sau a instrumentelor de tipul „credit </w:t>
      </w:r>
      <w:proofErr w:type="spellStart"/>
      <w:r w:rsidRPr="00C26A9B">
        <w:rPr>
          <w:rFonts w:ascii="Times New Roman" w:hAnsi="Times New Roman" w:cs="Times New Roman"/>
          <w:sz w:val="24"/>
          <w:szCs w:val="24"/>
          <w:lang w:val="ro-RO"/>
        </w:rPr>
        <w:t>default</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swap</w:t>
      </w:r>
      <w:proofErr w:type="spellEnd"/>
      <w:r w:rsidRPr="00C26A9B">
        <w:rPr>
          <w:rFonts w:ascii="Times New Roman" w:hAnsi="Times New Roman" w:cs="Times New Roman"/>
          <w:sz w:val="24"/>
          <w:szCs w:val="24"/>
          <w:lang w:val="ro-RO"/>
        </w:rPr>
        <w:t>”. Benzile sunt benzile sectoriale menționate în secțiunea 6, iar fiecare bandă cuprinde toți factorii de risc atribuiți sectorului relevant.</w:t>
      </w:r>
    </w:p>
    <w:p w14:paraId="4C40723B" w14:textId="0DA2C7E7" w:rsidR="007B5543" w:rsidRPr="00C26A9B" w:rsidRDefault="007B5543"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173. Factorii de risc de marjă de credit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pe care băncile trebuie să îi aplice opțiunilor cu instrumente-suport care nu sunt poziții din securitizare și care sunt sensibile la marja de credit sunt </w:t>
      </w:r>
      <w:proofErr w:type="spellStart"/>
      <w:r w:rsidRPr="00C26A9B">
        <w:rPr>
          <w:rFonts w:ascii="Times New Roman" w:hAnsi="Times New Roman" w:cs="Times New Roman"/>
          <w:sz w:val="24"/>
          <w:szCs w:val="24"/>
          <w:lang w:val="ro-RO"/>
        </w:rPr>
        <w:t>volatilitățile</w:t>
      </w:r>
      <w:proofErr w:type="spellEnd"/>
      <w:r w:rsidRPr="00C26A9B">
        <w:rPr>
          <w:rFonts w:ascii="Times New Roman" w:hAnsi="Times New Roman" w:cs="Times New Roman"/>
          <w:sz w:val="24"/>
          <w:szCs w:val="24"/>
          <w:lang w:val="ro-RO"/>
        </w:rPr>
        <w:t xml:space="preserve"> implicite ale ratelor de marjă de credit ale emitentului instrumentului-suport, obținute astfel cum se precizează la pct.172, care trebuie puse în corespondență cu următoarele scadențe în conformitate cu scadența opțiunii care face obiectul cerințelor de fonduri proprii: 0,5 ani, 1 an, 3 ani, 5 ani, 10 ani. Se utilizează aceleași benzi ca și în cazul riscului de marjă de credit delta pentru instrumentele care nu sunt poziții din securitizare.</w:t>
      </w:r>
    </w:p>
    <w:p w14:paraId="47923EAA" w14:textId="507AEA01" w:rsidR="007B5543" w:rsidRPr="00C26A9B" w:rsidRDefault="007B5543"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174.   Factorii de risc de marjă de credit de curbură pe care băncile trebuie să îi aplice instrumentelor care nu sunt poziții din securitizare constau într-un vector al ratelor de marjă de credit, care reprezintă o curbă a marjelor de credit ale unui anumit emitent. Pentru fiecare instrument, vectorul cuprinde un număr de componente egal cu numărul de scadențe distincte ale ratelor de marjă de credit utilizate ca variabile în modelul de evaluare al băncii pentru respectivul instrument. Se utilizează aceleași benzi ca și în cazul riscului de marjă de credit delta pentru instrumentele care nu sunt poziții din securitizare.</w:t>
      </w:r>
    </w:p>
    <w:p w14:paraId="1C618EBF" w14:textId="65AE03D6" w:rsidR="007B5543" w:rsidRPr="00C26A9B" w:rsidRDefault="007B5543" w:rsidP="00BB1C5F">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175.   Băncile calculează sensibilitatea instrumentului la fiecare factor de risc utilizat în formula riscului de curbură în conformitate cu secțiunea 2, subsecțiunea 4. În scopul calculării riscului de curbură, băncile iau în considerare vectori obținuți pe baza titlurilor de datorie sau a instrumentelor de tipul „credit </w:t>
      </w:r>
      <w:proofErr w:type="spellStart"/>
      <w:r w:rsidRPr="00C26A9B">
        <w:rPr>
          <w:rFonts w:ascii="Times New Roman" w:hAnsi="Times New Roman" w:cs="Times New Roman"/>
          <w:sz w:val="24"/>
          <w:szCs w:val="24"/>
          <w:lang w:val="ro-RO"/>
        </w:rPr>
        <w:t>default</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swap</w:t>
      </w:r>
      <w:proofErr w:type="spellEnd"/>
      <w:r w:rsidRPr="00C26A9B">
        <w:rPr>
          <w:rFonts w:ascii="Times New Roman" w:hAnsi="Times New Roman" w:cs="Times New Roman"/>
          <w:sz w:val="24"/>
          <w:szCs w:val="24"/>
          <w:lang w:val="ro-RO"/>
        </w:rPr>
        <w:t>” relevante, care au un număr diferit de componente față de factorul de risc aferent, cu condiția ca vectorii respectivi să corespundă aceluiași emitent.</w:t>
      </w:r>
    </w:p>
    <w:p w14:paraId="6D8C3488" w14:textId="1F885738" w:rsidR="00396C01" w:rsidRPr="00C26A9B" w:rsidRDefault="00396C01" w:rsidP="00BB1C5F">
      <w:pPr>
        <w:rPr>
          <w:rFonts w:ascii="Times New Roman" w:hAnsi="Times New Roman" w:cs="Times New Roman"/>
          <w:b/>
          <w:bCs/>
          <w:sz w:val="24"/>
          <w:szCs w:val="24"/>
          <w:lang w:val="ro-RO"/>
        </w:rPr>
      </w:pPr>
      <w:bookmarkStart w:id="16" w:name="_Hlk195091298"/>
      <w:r w:rsidRPr="00C26A9B">
        <w:rPr>
          <w:rFonts w:ascii="Times New Roman" w:hAnsi="Times New Roman" w:cs="Times New Roman"/>
          <w:i/>
          <w:iCs/>
          <w:sz w:val="24"/>
          <w:szCs w:val="24"/>
          <w:lang w:val="ro-RO"/>
        </w:rPr>
        <w:t xml:space="preserve">Paragraful </w:t>
      </w:r>
      <w:r w:rsidR="0078664B" w:rsidRPr="00C26A9B">
        <w:rPr>
          <w:rFonts w:ascii="Times New Roman" w:hAnsi="Times New Roman" w:cs="Times New Roman"/>
          <w:i/>
          <w:iCs/>
          <w:sz w:val="24"/>
          <w:szCs w:val="24"/>
          <w:lang w:val="ro-RO"/>
        </w:rPr>
        <w:t>3</w:t>
      </w:r>
      <w:r w:rsidRPr="00C26A9B">
        <w:rPr>
          <w:rFonts w:ascii="Times New Roman" w:hAnsi="Times New Roman" w:cs="Times New Roman"/>
          <w:i/>
          <w:iCs/>
          <w:sz w:val="24"/>
          <w:szCs w:val="24"/>
          <w:lang w:val="ro-RO"/>
        </w:rPr>
        <w:t xml:space="preserve">. </w:t>
      </w:r>
      <w:r w:rsidRPr="00C26A9B">
        <w:rPr>
          <w:rFonts w:ascii="Times New Roman" w:hAnsi="Times New Roman" w:cs="Times New Roman"/>
          <w:b/>
          <w:bCs/>
          <w:sz w:val="24"/>
          <w:szCs w:val="24"/>
          <w:lang w:val="ro-RO"/>
        </w:rPr>
        <w:t>Factorii de risc de marjă de credit pentru instrumentele care sunt poziții din securitizare</w:t>
      </w:r>
      <w:bookmarkEnd w:id="16"/>
    </w:p>
    <w:p w14:paraId="4AFF8517" w14:textId="5E036028" w:rsidR="00396C01" w:rsidRPr="00C26A9B" w:rsidRDefault="00396C01" w:rsidP="00396C01">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 xml:space="preserve">176.   Băncile aplică factorii de risc de marjă de credit menționați la pct.179 pozițiilor din securitizare incluse în ACTP, astfel cum se menționează la </w:t>
      </w:r>
      <w:r w:rsidR="00124809">
        <w:rPr>
          <w:rFonts w:ascii="Times New Roman" w:hAnsi="Times New Roman" w:cs="Times New Roman"/>
          <w:sz w:val="24"/>
          <w:szCs w:val="24"/>
          <w:lang w:val="ro-RO"/>
        </w:rPr>
        <w:t>pct.75-</w:t>
      </w:r>
      <w:r w:rsidR="00124809" w:rsidRPr="00124809">
        <w:rPr>
          <w:rFonts w:ascii="Times New Roman" w:hAnsi="Times New Roman" w:cs="Times New Roman"/>
          <w:sz w:val="24"/>
          <w:szCs w:val="24"/>
          <w:lang w:val="ro-RO"/>
        </w:rPr>
        <w:t>78</w:t>
      </w:r>
      <w:r w:rsidRPr="00124809">
        <w:rPr>
          <w:rFonts w:ascii="Times New Roman" w:hAnsi="Times New Roman" w:cs="Times New Roman"/>
          <w:sz w:val="24"/>
          <w:szCs w:val="24"/>
          <w:lang w:val="ro-RO"/>
        </w:rPr>
        <w:t>.</w:t>
      </w:r>
    </w:p>
    <w:p w14:paraId="76A1F14A" w14:textId="428CBC1E" w:rsidR="00396C01" w:rsidRPr="00C26A9B" w:rsidRDefault="00396C01" w:rsidP="00396C01">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177. Băncile aplică factorii de risc de marjă de credit menționați la pct.182 pozițiilor din securitizare neincluse în ACTP, astfel cum se menționează la </w:t>
      </w:r>
      <w:r w:rsidR="00124809" w:rsidRPr="00CC1E9B">
        <w:rPr>
          <w:rFonts w:ascii="Times New Roman" w:hAnsi="Times New Roman" w:cs="Times New Roman"/>
          <w:sz w:val="24"/>
          <w:szCs w:val="24"/>
          <w:lang w:val="ro-RO"/>
        </w:rPr>
        <w:t>pct.75-78</w:t>
      </w:r>
      <w:r w:rsidRPr="00CC1E9B">
        <w:rPr>
          <w:rFonts w:ascii="Times New Roman" w:hAnsi="Times New Roman" w:cs="Times New Roman"/>
          <w:sz w:val="24"/>
          <w:szCs w:val="24"/>
          <w:lang w:val="ro-RO"/>
        </w:rPr>
        <w:t>.</w:t>
      </w:r>
    </w:p>
    <w:p w14:paraId="0F96E5CA" w14:textId="77777777" w:rsidR="00396C01" w:rsidRPr="00C26A9B" w:rsidRDefault="00396C01" w:rsidP="00396C01">
      <w:pPr>
        <w:rPr>
          <w:rFonts w:ascii="Times New Roman" w:hAnsi="Times New Roman" w:cs="Times New Roman"/>
          <w:sz w:val="24"/>
          <w:szCs w:val="24"/>
          <w:lang w:val="ro-RO"/>
        </w:rPr>
      </w:pPr>
      <w:r w:rsidRPr="00C26A9B">
        <w:rPr>
          <w:rFonts w:ascii="Times New Roman" w:hAnsi="Times New Roman" w:cs="Times New Roman"/>
          <w:sz w:val="24"/>
          <w:szCs w:val="24"/>
          <w:lang w:val="ro-RO"/>
        </w:rPr>
        <w:t>178.   Benzile aplicabile riscului de marjă de credit al securitizărilor care sunt incluse în ACTP sunt aceleași ca cele aplicabile riscului de marjă de credit al instrumentelor care nu sunt poziții din securitizare, astfel cum sunt menționate în secțiunea 6.</w:t>
      </w:r>
    </w:p>
    <w:p w14:paraId="5188FE76" w14:textId="2AFA1F98" w:rsidR="00396C01" w:rsidRPr="00C26A9B" w:rsidRDefault="00396C01" w:rsidP="00396C01">
      <w:pPr>
        <w:rPr>
          <w:rFonts w:ascii="Times New Roman" w:hAnsi="Times New Roman" w:cs="Times New Roman"/>
          <w:sz w:val="24"/>
          <w:szCs w:val="24"/>
          <w:lang w:val="ro-RO"/>
        </w:rPr>
      </w:pPr>
      <w:r w:rsidRPr="00C26A9B">
        <w:rPr>
          <w:rFonts w:ascii="Times New Roman" w:hAnsi="Times New Roman" w:cs="Times New Roman"/>
          <w:sz w:val="24"/>
          <w:szCs w:val="24"/>
          <w:lang w:val="ro-RO"/>
        </w:rPr>
        <w:t>179. Benzile aplicabile riscului de marjă de credit pentru securitizări care nu sunt incluse în ACTP sunt specifice acestei categorii de clase de risc, astfel cum se menționează în secțiunea 6.</w:t>
      </w:r>
    </w:p>
    <w:p w14:paraId="4A620673" w14:textId="77777777" w:rsidR="00927B97" w:rsidRPr="00C26A9B" w:rsidRDefault="00927B97" w:rsidP="00927B97">
      <w:pPr>
        <w:rPr>
          <w:rFonts w:ascii="Times New Roman" w:hAnsi="Times New Roman" w:cs="Times New Roman"/>
          <w:sz w:val="24"/>
          <w:szCs w:val="24"/>
          <w:lang w:val="ro-RO"/>
        </w:rPr>
      </w:pPr>
      <w:r w:rsidRPr="00C26A9B">
        <w:rPr>
          <w:rFonts w:ascii="Times New Roman" w:hAnsi="Times New Roman" w:cs="Times New Roman"/>
          <w:sz w:val="24"/>
          <w:szCs w:val="24"/>
          <w:lang w:val="ro-RO"/>
        </w:rPr>
        <w:t>180.   Factorii de risc de marjă de credit pe care băncile trebuie să îi aplice pozițiilor din securitizare care sunt incluse în ACTP sunt următorii:</w:t>
      </w:r>
    </w:p>
    <w:p w14:paraId="2D9E469D" w14:textId="77777777" w:rsidR="00927B97" w:rsidRPr="00C26A9B" w:rsidRDefault="00927B97" w:rsidP="00927B97">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180.1. factorii de risc delta sunt toate ratele de marjă de credit relevante ale emitenților expunerilor-suport aferente poziției din securitizare, obținute pe baza titlurilor de datorie și a instrumentelor de tipul „credit </w:t>
      </w:r>
      <w:proofErr w:type="spellStart"/>
      <w:r w:rsidRPr="00C26A9B">
        <w:rPr>
          <w:rFonts w:ascii="Times New Roman" w:hAnsi="Times New Roman" w:cs="Times New Roman"/>
          <w:sz w:val="24"/>
          <w:szCs w:val="24"/>
          <w:lang w:val="ro-RO"/>
        </w:rPr>
        <w:t>default</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swap</w:t>
      </w:r>
      <w:proofErr w:type="spellEnd"/>
      <w:r w:rsidRPr="00C26A9B">
        <w:rPr>
          <w:rFonts w:ascii="Times New Roman" w:hAnsi="Times New Roman" w:cs="Times New Roman"/>
          <w:sz w:val="24"/>
          <w:szCs w:val="24"/>
          <w:lang w:val="ro-RO"/>
        </w:rPr>
        <w:t>” relevante și pentru fiecare dintre următoarele scadențe: 0,5 ani, 1 an, 3 ani, 5 ani, 10 ani.</w:t>
      </w:r>
    </w:p>
    <w:p w14:paraId="2C07D0E6" w14:textId="77777777" w:rsidR="00927B97" w:rsidRPr="00C26A9B" w:rsidRDefault="00927B97" w:rsidP="00927B97">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180.2. factorii de risc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aplicabili opțiunilor care au ca instrumente-suport poziții din securitizare care sunt incluse în ACTP sunt </w:t>
      </w:r>
      <w:proofErr w:type="spellStart"/>
      <w:r w:rsidRPr="00C26A9B">
        <w:rPr>
          <w:rFonts w:ascii="Times New Roman" w:hAnsi="Times New Roman" w:cs="Times New Roman"/>
          <w:sz w:val="24"/>
          <w:szCs w:val="24"/>
          <w:lang w:val="ro-RO"/>
        </w:rPr>
        <w:t>volatilitățile</w:t>
      </w:r>
      <w:proofErr w:type="spellEnd"/>
      <w:r w:rsidRPr="00C26A9B">
        <w:rPr>
          <w:rFonts w:ascii="Times New Roman" w:hAnsi="Times New Roman" w:cs="Times New Roman"/>
          <w:sz w:val="24"/>
          <w:szCs w:val="24"/>
          <w:lang w:val="ro-RO"/>
        </w:rPr>
        <w:t xml:space="preserve"> implicite ale marjelor de credit ale emitenților expunerilor-suport ale poziției din securitizare, obținute astfel cum se precizează la pct.180.1, care trebuie puse în corespondență cu următoarele scadențe în conformitate cu scadența opțiunii corespunzătoare care face obiectul cerințelor de fonduri proprii: 0,5 ani, 1 an, 3 ani, 5 ani, 10 ani.</w:t>
      </w:r>
    </w:p>
    <w:p w14:paraId="148B9865" w14:textId="42E5D58E" w:rsidR="00927B97" w:rsidRPr="00C26A9B" w:rsidRDefault="00927B97" w:rsidP="00927B97">
      <w:pPr>
        <w:rPr>
          <w:rFonts w:ascii="Times New Roman" w:hAnsi="Times New Roman" w:cs="Times New Roman"/>
          <w:sz w:val="24"/>
          <w:szCs w:val="24"/>
          <w:lang w:val="ro-RO"/>
        </w:rPr>
      </w:pPr>
      <w:r w:rsidRPr="00C26A9B">
        <w:rPr>
          <w:rFonts w:ascii="Times New Roman" w:hAnsi="Times New Roman" w:cs="Times New Roman"/>
          <w:sz w:val="24"/>
          <w:szCs w:val="24"/>
          <w:lang w:val="ro-RO"/>
        </w:rPr>
        <w:t>180.3. factorii de risc de curbură sunt curbele de randament ale marjei de credit relevante aferente emitenților expunerilor-suport ale poziției din securitizare, exprimate ca vector al ratelor de marjă de credit pentru diferite scadențe, obținute astfel cum se precizează la pct.180.1; pentru fiecare instrument, vectorul cuprinde un număr de componente egal cu numărul de scadențe distincte ale ratelor de marjă de credit utilizate ca variabile de modelul de evaluare al băncii pentru respectivul instrument.</w:t>
      </w:r>
    </w:p>
    <w:p w14:paraId="60FD6F92" w14:textId="0EA8EBC1" w:rsidR="00927B97" w:rsidRPr="00C26A9B" w:rsidRDefault="00927B97" w:rsidP="00927B97">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181.  Băncile calculează sensibilitatea poziției din securitizare la fiecare factor de risc utilizat în formula riscului de curbură astfel cum se precizează la secțiunea 2, subsecțiunea 4. În scopul calculării riscului de curbură, băncile iau în considerare vectori obținuți pe baza fie a titlurilor de datorie, fie a instrumentelor de tipul „credit </w:t>
      </w:r>
      <w:proofErr w:type="spellStart"/>
      <w:r w:rsidRPr="00C26A9B">
        <w:rPr>
          <w:rFonts w:ascii="Times New Roman" w:hAnsi="Times New Roman" w:cs="Times New Roman"/>
          <w:sz w:val="24"/>
          <w:szCs w:val="24"/>
          <w:lang w:val="ro-RO"/>
        </w:rPr>
        <w:t>default</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swap</w:t>
      </w:r>
      <w:proofErr w:type="spellEnd"/>
      <w:r w:rsidRPr="00C26A9B">
        <w:rPr>
          <w:rFonts w:ascii="Times New Roman" w:hAnsi="Times New Roman" w:cs="Times New Roman"/>
          <w:sz w:val="24"/>
          <w:szCs w:val="24"/>
          <w:lang w:val="ro-RO"/>
        </w:rPr>
        <w:t>” relevante, care au un număr diferit de componente față de factorul de risc aferent, cu condiția ca vectorii respectivi să corespundă aceluiași emitent.</w:t>
      </w:r>
    </w:p>
    <w:p w14:paraId="532A0CEB" w14:textId="2C199FB8" w:rsidR="00927B97" w:rsidRPr="00C26A9B" w:rsidRDefault="00927B97" w:rsidP="00927B97">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182.   Factorii de risc de marjă de credit care trebuie aplicați de către </w:t>
      </w:r>
      <w:r w:rsidR="006A3F23" w:rsidRPr="006A3F23">
        <w:rPr>
          <w:rFonts w:ascii="Times New Roman" w:hAnsi="Times New Roman" w:cs="Times New Roman"/>
          <w:sz w:val="24"/>
          <w:szCs w:val="24"/>
        </w:rPr>
        <w:t xml:space="preserve">bănci </w:t>
      </w:r>
      <w:r w:rsidRPr="00C26A9B">
        <w:rPr>
          <w:rFonts w:ascii="Times New Roman" w:hAnsi="Times New Roman" w:cs="Times New Roman"/>
          <w:sz w:val="24"/>
          <w:szCs w:val="24"/>
          <w:lang w:val="ro-RO"/>
        </w:rPr>
        <w:t>pozițiilor din securitizare care nu sunt incluse în ACTP se raportează la marja tranșei, și nu la marja instrumentelor-suport, și sunt următorii:</w:t>
      </w:r>
    </w:p>
    <w:p w14:paraId="0F3E6D37" w14:textId="77777777" w:rsidR="00927B97" w:rsidRPr="00C26A9B" w:rsidRDefault="00927B97" w:rsidP="00927B97">
      <w:pPr>
        <w:rPr>
          <w:rFonts w:ascii="Times New Roman" w:hAnsi="Times New Roman" w:cs="Times New Roman"/>
          <w:sz w:val="24"/>
          <w:szCs w:val="24"/>
          <w:lang w:val="ro-RO"/>
        </w:rPr>
      </w:pPr>
      <w:r w:rsidRPr="00C26A9B">
        <w:rPr>
          <w:rFonts w:ascii="Times New Roman" w:hAnsi="Times New Roman" w:cs="Times New Roman"/>
          <w:sz w:val="24"/>
          <w:szCs w:val="24"/>
          <w:lang w:val="ro-RO"/>
        </w:rPr>
        <w:t>182.1. factorii de risc delta sunt ratele de marjă de credit relevante ale tranșei respective, puse în corespondență cu următoarele scadențe, în conformitate cu scadența tranșei: 0,5 ani, 1 an, 3 ani, 5 ani, 10 ani;</w:t>
      </w:r>
    </w:p>
    <w:p w14:paraId="68F08249" w14:textId="77777777" w:rsidR="00927B97" w:rsidRPr="00C26A9B" w:rsidRDefault="00927B97" w:rsidP="00927B97">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182.2. factorii de risc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aplicabili opțiunilor cu poziții din securitizare care nu sunt incluse în ACTP ca instrumente-suport sunt </w:t>
      </w:r>
      <w:proofErr w:type="spellStart"/>
      <w:r w:rsidRPr="00C26A9B">
        <w:rPr>
          <w:rFonts w:ascii="Times New Roman" w:hAnsi="Times New Roman" w:cs="Times New Roman"/>
          <w:sz w:val="24"/>
          <w:szCs w:val="24"/>
          <w:lang w:val="ro-RO"/>
        </w:rPr>
        <w:t>volatilitățile</w:t>
      </w:r>
      <w:proofErr w:type="spellEnd"/>
      <w:r w:rsidRPr="00C26A9B">
        <w:rPr>
          <w:rFonts w:ascii="Times New Roman" w:hAnsi="Times New Roman" w:cs="Times New Roman"/>
          <w:sz w:val="24"/>
          <w:szCs w:val="24"/>
          <w:lang w:val="ro-RO"/>
        </w:rPr>
        <w:t xml:space="preserve"> implicite ale marjelor de credit ale tranșelor, fiecare volatilitate fiind pusă în corespondență cu următoarele scadențe în conformitate cu scadența opțiunii care face obiectul cerințelor de fonduri proprii: 0,5 ani, 1 an, 3 ani, 5 ani, 10 ani;</w:t>
      </w:r>
    </w:p>
    <w:p w14:paraId="6C26D7DA" w14:textId="6DC32A45" w:rsidR="00927B97" w:rsidRPr="00C26A9B" w:rsidRDefault="00927B97" w:rsidP="00927B97">
      <w:pPr>
        <w:rPr>
          <w:rFonts w:ascii="Times New Roman" w:hAnsi="Times New Roman" w:cs="Times New Roman"/>
          <w:sz w:val="24"/>
          <w:szCs w:val="24"/>
          <w:lang w:val="ro-RO"/>
        </w:rPr>
      </w:pPr>
      <w:r w:rsidRPr="00C26A9B">
        <w:rPr>
          <w:rFonts w:ascii="Times New Roman" w:hAnsi="Times New Roman" w:cs="Times New Roman"/>
          <w:sz w:val="24"/>
          <w:szCs w:val="24"/>
          <w:lang w:val="ro-RO"/>
        </w:rPr>
        <w:t>182.3. factorii de risc de curbură sunt cei descriși la pct.182.1; tuturor acestor factori de risc li se aplică o pondere de risc comună, astfel cum se menționează în secțiunea 6.</w:t>
      </w:r>
    </w:p>
    <w:p w14:paraId="0EB4BC87" w14:textId="1721EE4D" w:rsidR="0078664B" w:rsidRPr="00C26A9B" w:rsidRDefault="0078664B" w:rsidP="00927B97">
      <w:pPr>
        <w:rPr>
          <w:rFonts w:ascii="Times New Roman" w:hAnsi="Times New Roman" w:cs="Times New Roman"/>
          <w:b/>
          <w:bCs/>
          <w:sz w:val="24"/>
          <w:szCs w:val="24"/>
          <w:lang w:val="ro-RO"/>
        </w:rPr>
      </w:pPr>
      <w:bookmarkStart w:id="17" w:name="_Hlk195091344"/>
      <w:r w:rsidRPr="00C26A9B">
        <w:rPr>
          <w:rFonts w:ascii="Times New Roman" w:hAnsi="Times New Roman" w:cs="Times New Roman"/>
          <w:i/>
          <w:iCs/>
          <w:sz w:val="24"/>
          <w:szCs w:val="24"/>
          <w:lang w:val="ro-RO"/>
        </w:rPr>
        <w:t xml:space="preserve">Paragraful 4. </w:t>
      </w:r>
      <w:r w:rsidRPr="00C26A9B">
        <w:rPr>
          <w:rFonts w:ascii="Times New Roman" w:hAnsi="Times New Roman" w:cs="Times New Roman"/>
          <w:b/>
          <w:bCs/>
          <w:sz w:val="24"/>
          <w:szCs w:val="24"/>
          <w:lang w:val="ro-RO"/>
        </w:rPr>
        <w:t>Factorii de risc de devalorizare a titlurilor de capital</w:t>
      </w:r>
      <w:bookmarkEnd w:id="17"/>
    </w:p>
    <w:p w14:paraId="6C6F2AFC" w14:textId="170BFA13" w:rsidR="0078664B" w:rsidRPr="00C26A9B" w:rsidRDefault="0078664B" w:rsidP="00927B97">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183.  Benzile pentru toți factorii de risc de devalorizare a titlurilor de capital sunt benzile sectoriale menționate în secțiunea 6.</w:t>
      </w:r>
    </w:p>
    <w:p w14:paraId="0A5C88CC" w14:textId="77777777" w:rsidR="0078664B" w:rsidRPr="00C26A9B" w:rsidRDefault="0078664B" w:rsidP="0078664B">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184.   Factorii de risc de devalorizare a titlurilor de capital delta care trebuie aplicați de către bănci sunt toate prețurile spot ale titlurilor de capital și toate ratele </w:t>
      </w:r>
      <w:proofErr w:type="spellStart"/>
      <w:r w:rsidRPr="00C26A9B">
        <w:rPr>
          <w:rFonts w:ascii="Times New Roman" w:hAnsi="Times New Roman" w:cs="Times New Roman"/>
          <w:sz w:val="24"/>
          <w:szCs w:val="24"/>
          <w:lang w:val="ro-RO"/>
        </w:rPr>
        <w:t>repo</w:t>
      </w:r>
      <w:proofErr w:type="spellEnd"/>
      <w:r w:rsidRPr="00C26A9B">
        <w:rPr>
          <w:rFonts w:ascii="Times New Roman" w:hAnsi="Times New Roman" w:cs="Times New Roman"/>
          <w:sz w:val="24"/>
          <w:szCs w:val="24"/>
          <w:lang w:val="ro-RO"/>
        </w:rPr>
        <w:t xml:space="preserve"> ale titlurilor de capital.</w:t>
      </w:r>
    </w:p>
    <w:p w14:paraId="1AF8B382" w14:textId="77777777" w:rsidR="0078664B" w:rsidRPr="00C26A9B" w:rsidRDefault="0078664B" w:rsidP="0078664B">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185. În scopul calculării riscului de devalorizare a titlurilor de capital, o anumită curbă a ratelor </w:t>
      </w:r>
      <w:proofErr w:type="spellStart"/>
      <w:r w:rsidRPr="00C26A9B">
        <w:rPr>
          <w:rFonts w:ascii="Times New Roman" w:hAnsi="Times New Roman" w:cs="Times New Roman"/>
          <w:sz w:val="24"/>
          <w:szCs w:val="24"/>
          <w:lang w:val="ro-RO"/>
        </w:rPr>
        <w:t>repo</w:t>
      </w:r>
      <w:proofErr w:type="spellEnd"/>
      <w:r w:rsidRPr="00C26A9B">
        <w:rPr>
          <w:rFonts w:ascii="Times New Roman" w:hAnsi="Times New Roman" w:cs="Times New Roman"/>
          <w:sz w:val="24"/>
          <w:szCs w:val="24"/>
          <w:lang w:val="ro-RO"/>
        </w:rPr>
        <w:t xml:space="preserve"> ale titlurilor de capital reprezintă un singur factor de risc, care este exprimat ca vector al ratelor </w:t>
      </w:r>
      <w:proofErr w:type="spellStart"/>
      <w:r w:rsidRPr="00C26A9B">
        <w:rPr>
          <w:rFonts w:ascii="Times New Roman" w:hAnsi="Times New Roman" w:cs="Times New Roman"/>
          <w:sz w:val="24"/>
          <w:szCs w:val="24"/>
          <w:lang w:val="ro-RO"/>
        </w:rPr>
        <w:t>repo</w:t>
      </w:r>
      <w:proofErr w:type="spellEnd"/>
      <w:r w:rsidRPr="00C26A9B">
        <w:rPr>
          <w:rFonts w:ascii="Times New Roman" w:hAnsi="Times New Roman" w:cs="Times New Roman"/>
          <w:sz w:val="24"/>
          <w:szCs w:val="24"/>
          <w:lang w:val="ro-RO"/>
        </w:rPr>
        <w:t xml:space="preserve"> pentru diferite scadențe. Pentru fiecare instrument, vectorul cuprinde un număr de componente egal cu numărul de scadențe distincte ale ratelor </w:t>
      </w:r>
      <w:proofErr w:type="spellStart"/>
      <w:r w:rsidRPr="00C26A9B">
        <w:rPr>
          <w:rFonts w:ascii="Times New Roman" w:hAnsi="Times New Roman" w:cs="Times New Roman"/>
          <w:sz w:val="24"/>
          <w:szCs w:val="24"/>
          <w:lang w:val="ro-RO"/>
        </w:rPr>
        <w:t>repo</w:t>
      </w:r>
      <w:proofErr w:type="spellEnd"/>
      <w:r w:rsidRPr="00C26A9B">
        <w:rPr>
          <w:rFonts w:ascii="Times New Roman" w:hAnsi="Times New Roman" w:cs="Times New Roman"/>
          <w:sz w:val="24"/>
          <w:szCs w:val="24"/>
          <w:lang w:val="ro-RO"/>
        </w:rPr>
        <w:t xml:space="preserve"> utilizate ca variabile de modelul de evaluare al băncii pentru respectivul instrument.</w:t>
      </w:r>
    </w:p>
    <w:p w14:paraId="64EDC758" w14:textId="520B3AF2" w:rsidR="0078664B" w:rsidRPr="00C26A9B" w:rsidRDefault="0078664B" w:rsidP="0078664B">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186. Băncile calculează sensibilitatea unui instrument la un factor de risc de devalorizare a titlurilor de capital ca fiind variația valorii instrumentului antrenată, conform modelului lor de stabilire a prețului, ca urmare a unei modificări de 1 punct de bază al fiecărei componente a vectorului. Băncile compensează între ele sensibilitățile la factorul de risc de rată </w:t>
      </w:r>
      <w:proofErr w:type="spellStart"/>
      <w:r w:rsidRPr="00C26A9B">
        <w:rPr>
          <w:rFonts w:ascii="Times New Roman" w:hAnsi="Times New Roman" w:cs="Times New Roman"/>
          <w:sz w:val="24"/>
          <w:szCs w:val="24"/>
          <w:lang w:val="ro-RO"/>
        </w:rPr>
        <w:t>repo</w:t>
      </w:r>
      <w:proofErr w:type="spellEnd"/>
      <w:r w:rsidRPr="00C26A9B">
        <w:rPr>
          <w:rFonts w:ascii="Times New Roman" w:hAnsi="Times New Roman" w:cs="Times New Roman"/>
          <w:sz w:val="24"/>
          <w:szCs w:val="24"/>
          <w:lang w:val="ro-RO"/>
        </w:rPr>
        <w:t xml:space="preserve"> ale aceluiași titlu de capital, indiferent de numărul de componente ale fiecărui vector.</w:t>
      </w:r>
    </w:p>
    <w:p w14:paraId="4D24D542" w14:textId="7A5789A0" w:rsidR="0078664B" w:rsidRPr="00C26A9B" w:rsidRDefault="0078664B" w:rsidP="0078664B">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187.   Factorii de risc de devalorizare a titlurilor de capital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pe care băncile trebuie să îi aplice opțiunilor care au instrumente-suport care sunt sensibile la titluri de capital sunt </w:t>
      </w:r>
      <w:proofErr w:type="spellStart"/>
      <w:r w:rsidRPr="00C26A9B">
        <w:rPr>
          <w:rFonts w:ascii="Times New Roman" w:hAnsi="Times New Roman" w:cs="Times New Roman"/>
          <w:sz w:val="24"/>
          <w:szCs w:val="24"/>
          <w:lang w:val="ro-RO"/>
        </w:rPr>
        <w:t>volatilitățile</w:t>
      </w:r>
      <w:proofErr w:type="spellEnd"/>
      <w:r w:rsidRPr="00C26A9B">
        <w:rPr>
          <w:rFonts w:ascii="Times New Roman" w:hAnsi="Times New Roman" w:cs="Times New Roman"/>
          <w:sz w:val="24"/>
          <w:szCs w:val="24"/>
          <w:lang w:val="ro-RO"/>
        </w:rPr>
        <w:t xml:space="preserve"> implicite ale prețurilor spot ale titlurilor de capital, care trebuie puse în corespondență cu următoarele scadențe în conformitate cu scadențele opțiunilor corespunzătoare care fac obiectul cerințelor de fonduri proprii: 0,5 ani, 1 an, 3 ani, 5 ani, 10 ani. Pentru ratele </w:t>
      </w:r>
      <w:proofErr w:type="spellStart"/>
      <w:r w:rsidRPr="00C26A9B">
        <w:rPr>
          <w:rFonts w:ascii="Times New Roman" w:hAnsi="Times New Roman" w:cs="Times New Roman"/>
          <w:sz w:val="24"/>
          <w:szCs w:val="24"/>
          <w:lang w:val="ro-RO"/>
        </w:rPr>
        <w:t>repo</w:t>
      </w:r>
      <w:proofErr w:type="spellEnd"/>
      <w:r w:rsidRPr="00C26A9B">
        <w:rPr>
          <w:rFonts w:ascii="Times New Roman" w:hAnsi="Times New Roman" w:cs="Times New Roman"/>
          <w:sz w:val="24"/>
          <w:szCs w:val="24"/>
          <w:lang w:val="ro-RO"/>
        </w:rPr>
        <w:t xml:space="preserve"> ale titlurilor de capital nu există cerințe de fonduri proprii pentru riscul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w:t>
      </w:r>
    </w:p>
    <w:p w14:paraId="4FD16A9B" w14:textId="7AFF1E9E" w:rsidR="0078664B" w:rsidRPr="00C26A9B" w:rsidRDefault="0078664B" w:rsidP="0078664B">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188.   Factorii de risc din titluri de capital de curbură pe care băncile trebuie să îi aplice opțiunilor care au instrumente-suport care sunt sensibile la titluri de capital sunt prețurile spot ale titlurilor de capital, indiferent de scadența opțiunilor corespunzătoare. Pentru ratele </w:t>
      </w:r>
      <w:proofErr w:type="spellStart"/>
      <w:r w:rsidRPr="00C26A9B">
        <w:rPr>
          <w:rFonts w:ascii="Times New Roman" w:hAnsi="Times New Roman" w:cs="Times New Roman"/>
          <w:sz w:val="24"/>
          <w:szCs w:val="24"/>
          <w:lang w:val="ro-RO"/>
        </w:rPr>
        <w:t>repo</w:t>
      </w:r>
      <w:proofErr w:type="spellEnd"/>
      <w:r w:rsidRPr="00C26A9B">
        <w:rPr>
          <w:rFonts w:ascii="Times New Roman" w:hAnsi="Times New Roman" w:cs="Times New Roman"/>
          <w:sz w:val="24"/>
          <w:szCs w:val="24"/>
          <w:lang w:val="ro-RO"/>
        </w:rPr>
        <w:t xml:space="preserve"> ale titlurilor de capital nu există cerințe de fonduri proprii pentru riscul de curbură.</w:t>
      </w:r>
    </w:p>
    <w:p w14:paraId="5DCEDCE5" w14:textId="60C97BE8" w:rsidR="007376F9" w:rsidRPr="00C26A9B" w:rsidRDefault="007376F9" w:rsidP="0078664B">
      <w:pPr>
        <w:rPr>
          <w:rFonts w:ascii="Times New Roman" w:hAnsi="Times New Roman" w:cs="Times New Roman"/>
          <w:b/>
          <w:bCs/>
          <w:sz w:val="24"/>
          <w:szCs w:val="24"/>
          <w:lang w:val="ro-RO"/>
        </w:rPr>
      </w:pPr>
      <w:bookmarkStart w:id="18" w:name="_Hlk195091403"/>
      <w:r w:rsidRPr="00C26A9B">
        <w:rPr>
          <w:rFonts w:ascii="Times New Roman" w:hAnsi="Times New Roman" w:cs="Times New Roman"/>
          <w:i/>
          <w:iCs/>
          <w:sz w:val="24"/>
          <w:szCs w:val="24"/>
          <w:lang w:val="ro-RO"/>
        </w:rPr>
        <w:t xml:space="preserve">Paragraful 5. </w:t>
      </w:r>
      <w:r w:rsidRPr="00C26A9B">
        <w:rPr>
          <w:rFonts w:ascii="Times New Roman" w:hAnsi="Times New Roman" w:cs="Times New Roman"/>
          <w:b/>
          <w:bCs/>
          <w:sz w:val="24"/>
          <w:szCs w:val="24"/>
          <w:lang w:val="ro-RO"/>
        </w:rPr>
        <w:t>Factorii de risc de marfă</w:t>
      </w:r>
      <w:bookmarkEnd w:id="18"/>
    </w:p>
    <w:p w14:paraId="12ACF05E" w14:textId="6EBDC64E" w:rsidR="007376F9" w:rsidRPr="00C26A9B" w:rsidRDefault="007376F9" w:rsidP="0078664B">
      <w:pPr>
        <w:rPr>
          <w:rFonts w:ascii="Times New Roman" w:hAnsi="Times New Roman" w:cs="Times New Roman"/>
          <w:sz w:val="24"/>
          <w:szCs w:val="24"/>
          <w:lang w:val="ro-RO"/>
        </w:rPr>
      </w:pPr>
      <w:r w:rsidRPr="00C26A9B">
        <w:rPr>
          <w:rFonts w:ascii="Times New Roman" w:hAnsi="Times New Roman" w:cs="Times New Roman"/>
          <w:sz w:val="24"/>
          <w:szCs w:val="24"/>
          <w:lang w:val="ro-RO"/>
        </w:rPr>
        <w:t>189.   Benzile pentru toți factorii de risc de marfă sunt benzile sectoriale menționate în secțiunea 6.</w:t>
      </w:r>
    </w:p>
    <w:p w14:paraId="3EA7CAF6" w14:textId="3ED278CC" w:rsidR="007376F9" w:rsidRPr="00C26A9B" w:rsidRDefault="007376F9" w:rsidP="0078664B">
      <w:pPr>
        <w:rPr>
          <w:rFonts w:ascii="Times New Roman" w:hAnsi="Times New Roman" w:cs="Times New Roman"/>
          <w:sz w:val="24"/>
          <w:szCs w:val="24"/>
          <w:lang w:val="ro-RO"/>
        </w:rPr>
      </w:pPr>
      <w:r w:rsidRPr="00C26A9B">
        <w:rPr>
          <w:rFonts w:ascii="Times New Roman" w:hAnsi="Times New Roman" w:cs="Times New Roman"/>
          <w:sz w:val="24"/>
          <w:szCs w:val="24"/>
          <w:lang w:val="ro-RO"/>
        </w:rPr>
        <w:t>190.   Factorii de risc de marfă delta pe care băncile trebuie să îi aplice instrumentelor sensibile la mărfuri sunt toate prețurile spot ale mărfurilor pentru fiecare tip de marfă și pentru fiecare dintre următoarele scadențe: 0,25 ani, 0,5 ani, 1 an, 2 ani, 3 ani, 5 ani, 10 ani, 15 ani, 20 de ani, 30 de ani. Băncile consideră că două prețuri ale mărfurilor pentru același tip de marfă și cu aceeași scadență reprezintă același factor de risc numai în cazul în care toate clauzele juridice privind locul de livrare sunt identice.</w:t>
      </w:r>
    </w:p>
    <w:p w14:paraId="144ED0FF" w14:textId="2EB49025" w:rsidR="007376F9" w:rsidRPr="00C26A9B" w:rsidRDefault="007376F9" w:rsidP="0078664B">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191.   Factorii de risc de marfă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pe care băncile trebuie să îi aplice opțiunilor care au instrumente-suport care sunt sensibile la mărfuri sunt </w:t>
      </w:r>
      <w:proofErr w:type="spellStart"/>
      <w:r w:rsidRPr="00C26A9B">
        <w:rPr>
          <w:rFonts w:ascii="Times New Roman" w:hAnsi="Times New Roman" w:cs="Times New Roman"/>
          <w:sz w:val="24"/>
          <w:szCs w:val="24"/>
          <w:lang w:val="ro-RO"/>
        </w:rPr>
        <w:t>volatilitățile</w:t>
      </w:r>
      <w:proofErr w:type="spellEnd"/>
      <w:r w:rsidRPr="00C26A9B">
        <w:rPr>
          <w:rFonts w:ascii="Times New Roman" w:hAnsi="Times New Roman" w:cs="Times New Roman"/>
          <w:sz w:val="24"/>
          <w:szCs w:val="24"/>
          <w:lang w:val="ro-RO"/>
        </w:rPr>
        <w:t xml:space="preserve"> implicite ale prețurilor mărfurilor pentru fiecare tip de marfă, care sunt puse în corespondență cu următoarele scadențe în conformitate cu scadențele opțiunilor corespunzătoare care fac obiectul cerințelor de fonduri proprii: 0,5 ani, 1 an, 3 ani, 5 ani, 10 ani. Băncile consideră că sensibilitățile la același tip de marfă, puse în corespondență cu aceeași scadență reprezintă un singur factor de risc, pe care îl compensează.</w:t>
      </w:r>
    </w:p>
    <w:p w14:paraId="0B09F709" w14:textId="77777777" w:rsidR="007376F9" w:rsidRPr="00C26A9B" w:rsidRDefault="007376F9" w:rsidP="007376F9">
      <w:pPr>
        <w:rPr>
          <w:rFonts w:ascii="Times New Roman" w:hAnsi="Times New Roman" w:cs="Times New Roman"/>
          <w:sz w:val="24"/>
          <w:szCs w:val="24"/>
          <w:lang w:val="ro-RO"/>
        </w:rPr>
      </w:pPr>
      <w:r w:rsidRPr="00C26A9B">
        <w:rPr>
          <w:rFonts w:ascii="Times New Roman" w:hAnsi="Times New Roman" w:cs="Times New Roman"/>
          <w:sz w:val="24"/>
          <w:szCs w:val="24"/>
          <w:lang w:val="ro-RO"/>
        </w:rPr>
        <w:t>192.   Factorii de risc de marfă de curbură pe care băncile trebuie să îi aplice opțiunilor care au instrumente-suport care sunt sensibile la mărfuri sunt reprezentați de un set de prețuri ale mărfurilor cu scadențe diferite pentru fiecare tip de marfă, exprimat sub formă de vector. Pentru fiecare instrument, vectorul cuprinde un număr de componente egal cu numărul de prețuri ale mărfii respective care sunt utilizate ca variabile de modelul de evaluare al băncii pentru respectivul instrument. Băncile nu fac distincție între prețurile mărfurilor în funcție de locul de livrare.</w:t>
      </w:r>
    </w:p>
    <w:p w14:paraId="4A1D8865" w14:textId="1856BEC2" w:rsidR="007376F9" w:rsidRPr="00C26A9B" w:rsidRDefault="007376F9" w:rsidP="007376F9">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193. Sensibilitatea instrumentului la fiecare factor de risc utilizat în formula riscului de curbură se calculează astfel cum se precizează la secțiunea 2, subsecțiunea 4. În scopul calculării riscului de curbură, băncile </w:t>
      </w:r>
      <w:r w:rsidRPr="00C26A9B">
        <w:rPr>
          <w:rFonts w:ascii="Times New Roman" w:hAnsi="Times New Roman" w:cs="Times New Roman"/>
          <w:sz w:val="24"/>
          <w:szCs w:val="24"/>
          <w:lang w:val="ro-RO"/>
        </w:rPr>
        <w:lastRenderedPageBreak/>
        <w:t>consideră că vectorii care au un număr diferit de componente reprezintă același factor de risc cu condiția ca vectorii respectivi să corespundă aceluiași tip de marfă.</w:t>
      </w:r>
    </w:p>
    <w:p w14:paraId="1D4598CE" w14:textId="3B988720" w:rsidR="002503F8" w:rsidRPr="00C26A9B" w:rsidRDefault="002503F8" w:rsidP="007376F9">
      <w:pPr>
        <w:rPr>
          <w:rFonts w:ascii="Times New Roman" w:hAnsi="Times New Roman" w:cs="Times New Roman"/>
          <w:b/>
          <w:bCs/>
          <w:sz w:val="24"/>
          <w:szCs w:val="24"/>
          <w:lang w:val="ro-RO"/>
        </w:rPr>
      </w:pPr>
      <w:bookmarkStart w:id="19" w:name="_Hlk195091431"/>
      <w:r w:rsidRPr="00C26A9B">
        <w:rPr>
          <w:rFonts w:ascii="Times New Roman" w:hAnsi="Times New Roman" w:cs="Times New Roman"/>
          <w:i/>
          <w:iCs/>
          <w:sz w:val="24"/>
          <w:szCs w:val="24"/>
          <w:lang w:val="ro-RO"/>
        </w:rPr>
        <w:t xml:space="preserve">Paragraful 6. </w:t>
      </w:r>
      <w:r w:rsidRPr="00C26A9B">
        <w:rPr>
          <w:rFonts w:ascii="Times New Roman" w:hAnsi="Times New Roman" w:cs="Times New Roman"/>
          <w:b/>
          <w:bCs/>
          <w:sz w:val="24"/>
          <w:szCs w:val="24"/>
          <w:lang w:val="ro-RO"/>
        </w:rPr>
        <w:t>Factorii de risc valutar</w:t>
      </w:r>
      <w:bookmarkEnd w:id="19"/>
    </w:p>
    <w:p w14:paraId="453D1B3E" w14:textId="44E65C58" w:rsidR="002503F8" w:rsidRPr="00C26A9B" w:rsidRDefault="002503F8" w:rsidP="007376F9">
      <w:pPr>
        <w:rPr>
          <w:rFonts w:ascii="Times New Roman" w:hAnsi="Times New Roman" w:cs="Times New Roman"/>
          <w:sz w:val="24"/>
          <w:szCs w:val="24"/>
          <w:lang w:val="ro-RO"/>
        </w:rPr>
      </w:pPr>
      <w:r w:rsidRPr="00C26A9B">
        <w:rPr>
          <w:rFonts w:ascii="Times New Roman" w:hAnsi="Times New Roman" w:cs="Times New Roman"/>
          <w:sz w:val="24"/>
          <w:szCs w:val="24"/>
          <w:lang w:val="ro-RO"/>
        </w:rPr>
        <w:t>194.   Factorii de risc valutar delta pe care băncile trebuie să îi aplice instrumentelor sensibile la schimbul valutar sunt toate ratele de schimb spot dintre moneda în care este denominat un instrument și moneda de raportare a băncii sau moneda de bază a băncii, în cazul în care banca utilizează o monedă de bază în conformitate cu</w:t>
      </w:r>
      <w:r w:rsidR="00074DE6">
        <w:rPr>
          <w:rFonts w:ascii="Times New Roman" w:hAnsi="Times New Roman" w:cs="Times New Roman"/>
          <w:sz w:val="24"/>
          <w:szCs w:val="24"/>
          <w:lang w:val="ro-RO"/>
        </w:rPr>
        <w:t xml:space="preserve"> </w:t>
      </w:r>
      <w:r w:rsidRPr="00C26A9B">
        <w:rPr>
          <w:rFonts w:ascii="Times New Roman" w:hAnsi="Times New Roman" w:cs="Times New Roman"/>
          <w:sz w:val="24"/>
          <w:szCs w:val="24"/>
          <w:lang w:val="ro-RO"/>
        </w:rPr>
        <w:t>pct.200. Pentru fiecare pereche de monede există o singură bandă, care cuprinde un singur factor de risc și o singură sensibilitate netă.</w:t>
      </w:r>
    </w:p>
    <w:p w14:paraId="4B923C6B" w14:textId="4424B5FB" w:rsidR="002503F8" w:rsidRPr="00C26A9B" w:rsidRDefault="002503F8" w:rsidP="007376F9">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195.   Factorii de risc valutar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pe care băncile trebuie să îi aplice opțiunilor care au instrumente-suport sensibile la schimbul valutar sunt </w:t>
      </w:r>
      <w:proofErr w:type="spellStart"/>
      <w:r w:rsidRPr="00C26A9B">
        <w:rPr>
          <w:rFonts w:ascii="Times New Roman" w:hAnsi="Times New Roman" w:cs="Times New Roman"/>
          <w:sz w:val="24"/>
          <w:szCs w:val="24"/>
          <w:lang w:val="ro-RO"/>
        </w:rPr>
        <w:t>volatilitățile</w:t>
      </w:r>
      <w:proofErr w:type="spellEnd"/>
      <w:r w:rsidRPr="00C26A9B">
        <w:rPr>
          <w:rFonts w:ascii="Times New Roman" w:hAnsi="Times New Roman" w:cs="Times New Roman"/>
          <w:sz w:val="24"/>
          <w:szCs w:val="24"/>
          <w:lang w:val="ro-RO"/>
        </w:rPr>
        <w:t xml:space="preserve"> implicite ale ratelor de schimb valutar dintre perechile de monede. Aceste volatilități implicite sunt puse în corespondență cu următoarele scadențe în conformitate cu scadențele opțiunilor corespunzătoare care fac obiectul cerințelor de fonduri proprii: 0,5 ani, 1 an, 3 ani, 5 ani și 10 ani.</w:t>
      </w:r>
    </w:p>
    <w:p w14:paraId="346B76A3" w14:textId="72C1EC0B" w:rsidR="002503F8" w:rsidRPr="00C26A9B" w:rsidRDefault="002503F8" w:rsidP="007376F9">
      <w:pPr>
        <w:rPr>
          <w:rFonts w:ascii="Times New Roman" w:hAnsi="Times New Roman" w:cs="Times New Roman"/>
          <w:sz w:val="24"/>
          <w:szCs w:val="24"/>
          <w:lang w:val="ro-RO"/>
        </w:rPr>
      </w:pPr>
      <w:r w:rsidRPr="00C26A9B">
        <w:rPr>
          <w:rFonts w:ascii="Times New Roman" w:hAnsi="Times New Roman" w:cs="Times New Roman"/>
          <w:sz w:val="24"/>
          <w:szCs w:val="24"/>
          <w:lang w:val="ro-RO"/>
        </w:rPr>
        <w:t>196.   Factorii de risc valutar de curbură pe care băncile trebuie să îi aplice instrumentelor care au elemente-suport sensibile la schimbul valutar sunt factorii de risc valutar delta menționați la pct.194.</w:t>
      </w:r>
    </w:p>
    <w:p w14:paraId="36C17FAC" w14:textId="1DB46626" w:rsidR="002503F8" w:rsidRPr="00C26A9B" w:rsidRDefault="002503F8" w:rsidP="007376F9">
      <w:pPr>
        <w:rPr>
          <w:rFonts w:ascii="Times New Roman" w:hAnsi="Times New Roman" w:cs="Times New Roman"/>
          <w:sz w:val="24"/>
          <w:szCs w:val="24"/>
          <w:lang w:val="ro-RO"/>
        </w:rPr>
      </w:pPr>
      <w:r w:rsidRPr="00C26A9B">
        <w:rPr>
          <w:rFonts w:ascii="Times New Roman" w:hAnsi="Times New Roman" w:cs="Times New Roman"/>
          <w:sz w:val="24"/>
          <w:szCs w:val="24"/>
          <w:lang w:val="ro-RO"/>
        </w:rPr>
        <w:t>197.   Băncile nu au obligația de a face distincție între variantele „</w:t>
      </w:r>
      <w:proofErr w:type="spellStart"/>
      <w:r w:rsidRPr="00C26A9B">
        <w:rPr>
          <w:rFonts w:ascii="Times New Roman" w:hAnsi="Times New Roman" w:cs="Times New Roman"/>
          <w:sz w:val="24"/>
          <w:szCs w:val="24"/>
          <w:lang w:val="ro-RO"/>
        </w:rPr>
        <w:t>onshore</w:t>
      </w:r>
      <w:proofErr w:type="spellEnd"/>
      <w:r w:rsidRPr="00C26A9B">
        <w:rPr>
          <w:rFonts w:ascii="Times New Roman" w:hAnsi="Times New Roman" w:cs="Times New Roman"/>
          <w:sz w:val="24"/>
          <w:szCs w:val="24"/>
          <w:lang w:val="ro-RO"/>
        </w:rPr>
        <w:t>” și „</w:t>
      </w:r>
      <w:proofErr w:type="spellStart"/>
      <w:r w:rsidRPr="00C26A9B">
        <w:rPr>
          <w:rFonts w:ascii="Times New Roman" w:hAnsi="Times New Roman" w:cs="Times New Roman"/>
          <w:sz w:val="24"/>
          <w:szCs w:val="24"/>
          <w:lang w:val="ro-RO"/>
        </w:rPr>
        <w:t>offshore</w:t>
      </w:r>
      <w:proofErr w:type="spellEnd"/>
      <w:r w:rsidRPr="00C26A9B">
        <w:rPr>
          <w:rFonts w:ascii="Times New Roman" w:hAnsi="Times New Roman" w:cs="Times New Roman"/>
          <w:sz w:val="24"/>
          <w:szCs w:val="24"/>
          <w:lang w:val="ro-RO"/>
        </w:rPr>
        <w:t xml:space="preserve">” ale unei monede pentru toți factorii de risc valutar delta,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și de curbură.</w:t>
      </w:r>
    </w:p>
    <w:p w14:paraId="480B4EFF" w14:textId="6E1120FF" w:rsidR="002503F8" w:rsidRPr="00C26A9B" w:rsidRDefault="002503F8" w:rsidP="007376F9">
      <w:pPr>
        <w:rPr>
          <w:rFonts w:ascii="Times New Roman" w:hAnsi="Times New Roman" w:cs="Times New Roman"/>
          <w:sz w:val="24"/>
          <w:szCs w:val="24"/>
          <w:lang w:val="ro-RO"/>
        </w:rPr>
      </w:pPr>
      <w:r w:rsidRPr="00C26A9B">
        <w:rPr>
          <w:rFonts w:ascii="Times New Roman" w:hAnsi="Times New Roman" w:cs="Times New Roman"/>
          <w:sz w:val="24"/>
          <w:szCs w:val="24"/>
          <w:lang w:val="ro-RO"/>
        </w:rPr>
        <w:t>198.   În cazul în care cursul de schimb care este elementul-suport al unui instrument i care face obiectul cerințelor de fonduri proprii pentru riscurile de curbură nu se raportează la moneda de raportare a băncii și nici la moneda de bază a băncii, banca poate împărți la 1,5 componentele corespunzătoare </w:t>
      </w:r>
      <w:r w:rsidRPr="00C26A9B">
        <w:rPr>
          <w:rFonts w:ascii="Times New Roman" w:hAnsi="Times New Roman" w:cs="Times New Roman"/>
          <w:noProof/>
          <w:sz w:val="24"/>
          <w:szCs w:val="24"/>
          <w:lang w:val="ro-RO"/>
        </w:rPr>
        <w:drawing>
          <wp:inline distT="0" distB="0" distL="0" distR="0" wp14:anchorId="2E48538F" wp14:editId="1C2B1D3C">
            <wp:extent cx="311150" cy="120650"/>
            <wp:effectExtent l="0" t="0" r="0" b="0"/>
            <wp:docPr id="134" name="Picture 1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1150" cy="120650"/>
                    </a:xfrm>
                    <a:prstGeom prst="rect">
                      <a:avLst/>
                    </a:prstGeom>
                    <a:noFill/>
                    <a:ln>
                      <a:noFill/>
                    </a:ln>
                  </pic:spPr>
                </pic:pic>
              </a:graphicData>
            </a:graphic>
          </wp:inline>
        </w:drawing>
      </w:r>
      <w:r w:rsidRPr="00C26A9B">
        <w:rPr>
          <w:rFonts w:ascii="Times New Roman" w:hAnsi="Times New Roman" w:cs="Times New Roman"/>
          <w:sz w:val="24"/>
          <w:szCs w:val="24"/>
          <w:lang w:val="ro-RO"/>
        </w:rPr>
        <w:t>și </w:t>
      </w:r>
      <w:r w:rsidRPr="00C26A9B">
        <w:rPr>
          <w:rFonts w:ascii="Times New Roman" w:hAnsi="Times New Roman" w:cs="Times New Roman"/>
          <w:noProof/>
          <w:sz w:val="24"/>
          <w:szCs w:val="24"/>
          <w:lang w:val="ro-RO"/>
        </w:rPr>
        <w:drawing>
          <wp:inline distT="0" distB="0" distL="0" distR="0" wp14:anchorId="36500C05" wp14:editId="3C8D84C4">
            <wp:extent cx="311150" cy="139700"/>
            <wp:effectExtent l="0" t="0" r="0" b="0"/>
            <wp:docPr id="135" name="Picture 13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mag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1150" cy="139700"/>
                    </a:xfrm>
                    <a:prstGeom prst="rect">
                      <a:avLst/>
                    </a:prstGeom>
                    <a:noFill/>
                    <a:ln>
                      <a:noFill/>
                    </a:ln>
                  </pic:spPr>
                </pic:pic>
              </a:graphicData>
            </a:graphic>
          </wp:inline>
        </w:drawing>
      </w:r>
      <w:r w:rsidRPr="00C26A9B">
        <w:rPr>
          <w:rFonts w:ascii="Times New Roman" w:hAnsi="Times New Roman" w:cs="Times New Roman"/>
          <w:sz w:val="24"/>
          <w:szCs w:val="24"/>
          <w:lang w:val="ro-RO"/>
        </w:rPr>
        <w:t xml:space="preserve"> prevăzute la </w:t>
      </w:r>
      <w:r w:rsidR="00124809">
        <w:rPr>
          <w:rFonts w:ascii="Times New Roman" w:hAnsi="Times New Roman" w:cs="Times New Roman"/>
          <w:sz w:val="24"/>
          <w:szCs w:val="24"/>
          <w:lang w:val="ro-RO"/>
        </w:rPr>
        <w:t>pct.122</w:t>
      </w:r>
      <w:r w:rsidRPr="00C26A9B">
        <w:rPr>
          <w:rFonts w:ascii="Times New Roman" w:hAnsi="Times New Roman" w:cs="Times New Roman"/>
          <w:sz w:val="24"/>
          <w:szCs w:val="24"/>
          <w:lang w:val="ro-RO"/>
        </w:rPr>
        <w:t xml:space="preserve"> pentru care </w:t>
      </w:r>
      <w:proofErr w:type="spellStart"/>
      <w:r w:rsidRPr="00C26A9B">
        <w:rPr>
          <w:rFonts w:ascii="Times New Roman" w:hAnsi="Times New Roman" w:cs="Times New Roman"/>
          <w:i/>
          <w:iCs/>
          <w:sz w:val="24"/>
          <w:szCs w:val="24"/>
          <w:lang w:val="ro-RO"/>
        </w:rPr>
        <w:t>x</w:t>
      </w:r>
      <w:r w:rsidRPr="00C26A9B">
        <w:rPr>
          <w:rFonts w:ascii="Times New Roman" w:hAnsi="Times New Roman" w:cs="Times New Roman"/>
          <w:i/>
          <w:iCs/>
          <w:sz w:val="24"/>
          <w:szCs w:val="24"/>
          <w:vertAlign w:val="subscript"/>
          <w:lang w:val="ro-RO"/>
        </w:rPr>
        <w:t>k</w:t>
      </w:r>
      <w:proofErr w:type="spellEnd"/>
      <w:r w:rsidRPr="00C26A9B">
        <w:rPr>
          <w:rFonts w:ascii="Times New Roman" w:hAnsi="Times New Roman" w:cs="Times New Roman"/>
          <w:i/>
          <w:iCs/>
          <w:sz w:val="24"/>
          <w:szCs w:val="24"/>
          <w:lang w:val="ro-RO"/>
        </w:rPr>
        <w:t> </w:t>
      </w:r>
      <w:r w:rsidRPr="00C26A9B">
        <w:rPr>
          <w:rFonts w:ascii="Times New Roman" w:hAnsi="Times New Roman" w:cs="Times New Roman"/>
          <w:sz w:val="24"/>
          <w:szCs w:val="24"/>
          <w:lang w:val="ro-RO"/>
        </w:rPr>
        <w:t>este factorul de risc de schimb valutar între una dintre cele două monede ale elementului-suport și moneda de raportare sau moneda de bază a băncii, după caz.</w:t>
      </w:r>
    </w:p>
    <w:p w14:paraId="60BBC9F4" w14:textId="222BB799" w:rsidR="00E4004F" w:rsidRPr="00C26A9B" w:rsidRDefault="00E4004F" w:rsidP="007376F9">
      <w:pPr>
        <w:rPr>
          <w:rFonts w:ascii="Times New Roman" w:hAnsi="Times New Roman" w:cs="Times New Roman"/>
          <w:sz w:val="24"/>
          <w:szCs w:val="24"/>
          <w:lang w:val="ro-RO"/>
        </w:rPr>
      </w:pPr>
      <w:r w:rsidRPr="00C26A9B">
        <w:rPr>
          <w:rFonts w:ascii="Times New Roman" w:hAnsi="Times New Roman" w:cs="Times New Roman"/>
          <w:sz w:val="24"/>
          <w:szCs w:val="24"/>
          <w:lang w:val="ro-RO"/>
        </w:rPr>
        <w:t>199.   Cu permisiunea BNM, banca poate împărți la 1,5 componentele </w:t>
      </w:r>
      <w:r w:rsidRPr="00C26A9B">
        <w:rPr>
          <w:rFonts w:ascii="Times New Roman" w:hAnsi="Times New Roman" w:cs="Times New Roman"/>
          <w:noProof/>
          <w:sz w:val="24"/>
          <w:szCs w:val="24"/>
          <w:lang w:val="ro-RO"/>
        </w:rPr>
        <w:drawing>
          <wp:inline distT="0" distB="0" distL="0" distR="0" wp14:anchorId="5F5AF9CD" wp14:editId="32492E99">
            <wp:extent cx="292100" cy="127000"/>
            <wp:effectExtent l="0" t="0" r="0" b="6350"/>
            <wp:docPr id="136" name="Picture 13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100" cy="127000"/>
                    </a:xfrm>
                    <a:prstGeom prst="rect">
                      <a:avLst/>
                    </a:prstGeom>
                    <a:noFill/>
                    <a:ln>
                      <a:noFill/>
                    </a:ln>
                  </pic:spPr>
                </pic:pic>
              </a:graphicData>
            </a:graphic>
          </wp:inline>
        </w:drawing>
      </w:r>
      <w:r w:rsidRPr="00C26A9B">
        <w:rPr>
          <w:rFonts w:ascii="Times New Roman" w:hAnsi="Times New Roman" w:cs="Times New Roman"/>
          <w:sz w:val="24"/>
          <w:szCs w:val="24"/>
          <w:lang w:val="ro-RO"/>
        </w:rPr>
        <w:t>și </w:t>
      </w:r>
      <w:r w:rsidRPr="00C26A9B">
        <w:rPr>
          <w:rFonts w:ascii="Times New Roman" w:hAnsi="Times New Roman" w:cs="Times New Roman"/>
          <w:noProof/>
          <w:sz w:val="24"/>
          <w:szCs w:val="24"/>
          <w:lang w:val="ro-RO"/>
        </w:rPr>
        <w:drawing>
          <wp:inline distT="0" distB="0" distL="0" distR="0" wp14:anchorId="42202B1F" wp14:editId="255468E7">
            <wp:extent cx="292100" cy="139700"/>
            <wp:effectExtent l="0" t="0" r="0" b="0"/>
            <wp:docPr id="137" name="Picture 13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100" cy="139700"/>
                    </a:xfrm>
                    <a:prstGeom prst="rect">
                      <a:avLst/>
                    </a:prstGeom>
                    <a:noFill/>
                    <a:ln>
                      <a:noFill/>
                    </a:ln>
                  </pic:spPr>
                </pic:pic>
              </a:graphicData>
            </a:graphic>
          </wp:inline>
        </w:drawing>
      </w:r>
      <w:r w:rsidRPr="00C26A9B">
        <w:rPr>
          <w:rFonts w:ascii="Times New Roman" w:hAnsi="Times New Roman" w:cs="Times New Roman"/>
          <w:sz w:val="24"/>
          <w:szCs w:val="24"/>
          <w:lang w:val="ro-RO"/>
        </w:rPr>
        <w:t xml:space="preserve"> prevăzute la </w:t>
      </w:r>
      <w:r w:rsidR="002E2684" w:rsidRPr="002E2684">
        <w:rPr>
          <w:rFonts w:ascii="Times New Roman" w:hAnsi="Times New Roman" w:cs="Times New Roman"/>
          <w:sz w:val="24"/>
          <w:szCs w:val="24"/>
          <w:lang w:val="ro-RO"/>
        </w:rPr>
        <w:t>pct</w:t>
      </w:r>
      <w:r w:rsidR="002E2684">
        <w:rPr>
          <w:rFonts w:ascii="Times New Roman" w:hAnsi="Times New Roman" w:cs="Times New Roman"/>
          <w:sz w:val="24"/>
          <w:szCs w:val="24"/>
          <w:lang w:val="ro-RO"/>
        </w:rPr>
        <w:t>.122</w:t>
      </w:r>
      <w:r w:rsidRPr="00C26A9B">
        <w:rPr>
          <w:rFonts w:ascii="Times New Roman" w:hAnsi="Times New Roman" w:cs="Times New Roman"/>
          <w:sz w:val="24"/>
          <w:szCs w:val="24"/>
          <w:lang w:val="ro-RO"/>
        </w:rPr>
        <w:t xml:space="preserve"> în mod consecvent pentru toți factorii de risc valutar ai instrumentelor care se raportează la cursul de schimb și care fac obiectul cerinței de fonduri proprii pentru riscul de curbură, cu condiția ca factorii de risc valutar bazați, după caz, pe moneda de raportare a băncii sau pe moneda de bază a băncii care sunt incluși în calculul componentelor respective să facă obiectul unei variații simultane.</w:t>
      </w:r>
    </w:p>
    <w:p w14:paraId="6F256909" w14:textId="77777777" w:rsidR="00E4004F" w:rsidRPr="00C26A9B" w:rsidRDefault="00E4004F" w:rsidP="00E4004F">
      <w:pPr>
        <w:rPr>
          <w:rFonts w:ascii="Times New Roman" w:hAnsi="Times New Roman" w:cs="Times New Roman"/>
          <w:sz w:val="24"/>
          <w:szCs w:val="24"/>
          <w:lang w:val="ro-RO"/>
        </w:rPr>
      </w:pPr>
      <w:r w:rsidRPr="00C26A9B">
        <w:rPr>
          <w:rFonts w:ascii="Times New Roman" w:hAnsi="Times New Roman" w:cs="Times New Roman"/>
          <w:sz w:val="24"/>
          <w:szCs w:val="24"/>
          <w:lang w:val="ro-RO"/>
        </w:rPr>
        <w:t>200.   Prin derogare de la pct.194 și 196, cu permisiunea BNM, o bancă poate înlocui moneda sa de raportare cu o altă monedă („moneda de bază”) în toate cursurile de schimb spot pentru a exprima factorii de risc valutar delta și de curbură în cazul în care sunt îndeplinite toate condițiile următoare:</w:t>
      </w:r>
    </w:p>
    <w:p w14:paraId="093B6394" w14:textId="77777777" w:rsidR="00E4004F" w:rsidRPr="00C26A9B" w:rsidRDefault="00E4004F" w:rsidP="00E4004F">
      <w:pPr>
        <w:rPr>
          <w:rFonts w:ascii="Times New Roman" w:hAnsi="Times New Roman" w:cs="Times New Roman"/>
          <w:sz w:val="24"/>
          <w:szCs w:val="24"/>
          <w:lang w:val="ro-RO"/>
        </w:rPr>
      </w:pPr>
      <w:r w:rsidRPr="00C26A9B">
        <w:rPr>
          <w:rFonts w:ascii="Times New Roman" w:hAnsi="Times New Roman" w:cs="Times New Roman"/>
          <w:sz w:val="24"/>
          <w:szCs w:val="24"/>
          <w:lang w:val="ro-RO"/>
        </w:rPr>
        <w:t>200.1. banca utilizează o singură monedă de bază;</w:t>
      </w:r>
    </w:p>
    <w:p w14:paraId="4667C80F" w14:textId="77777777" w:rsidR="00E4004F" w:rsidRPr="00C26A9B" w:rsidRDefault="00E4004F" w:rsidP="00E4004F">
      <w:pPr>
        <w:rPr>
          <w:rFonts w:ascii="Times New Roman" w:hAnsi="Times New Roman" w:cs="Times New Roman"/>
          <w:sz w:val="24"/>
          <w:szCs w:val="24"/>
          <w:lang w:val="ro-RO"/>
        </w:rPr>
      </w:pPr>
      <w:r w:rsidRPr="00C26A9B">
        <w:rPr>
          <w:rFonts w:ascii="Times New Roman" w:hAnsi="Times New Roman" w:cs="Times New Roman"/>
          <w:sz w:val="24"/>
          <w:szCs w:val="24"/>
          <w:lang w:val="ro-RO"/>
        </w:rPr>
        <w:t>200.2. banca aplică moneda de bază în mod consecvent tuturor pozițiilor sale din portofoliul de tranzacționare și din afara acestuia;</w:t>
      </w:r>
    </w:p>
    <w:p w14:paraId="1672B022" w14:textId="77777777" w:rsidR="00E4004F" w:rsidRPr="00C26A9B" w:rsidRDefault="00E4004F" w:rsidP="00E4004F">
      <w:pPr>
        <w:rPr>
          <w:rFonts w:ascii="Times New Roman" w:hAnsi="Times New Roman" w:cs="Times New Roman"/>
          <w:sz w:val="24"/>
          <w:szCs w:val="24"/>
          <w:lang w:val="ro-RO"/>
        </w:rPr>
      </w:pPr>
      <w:r w:rsidRPr="00C26A9B">
        <w:rPr>
          <w:rFonts w:ascii="Times New Roman" w:hAnsi="Times New Roman" w:cs="Times New Roman"/>
          <w:sz w:val="24"/>
          <w:szCs w:val="24"/>
          <w:lang w:val="ro-RO"/>
        </w:rPr>
        <w:t>200.3. banca a demonstrat în mod satisfăcător  BNM că:</w:t>
      </w:r>
    </w:p>
    <w:p w14:paraId="48DBC32C" w14:textId="77777777" w:rsidR="00E4004F" w:rsidRPr="00C26A9B" w:rsidRDefault="00E4004F" w:rsidP="00E4004F">
      <w:pPr>
        <w:rPr>
          <w:rFonts w:ascii="Times New Roman" w:hAnsi="Times New Roman" w:cs="Times New Roman"/>
          <w:sz w:val="24"/>
          <w:szCs w:val="24"/>
          <w:lang w:val="ro-RO"/>
        </w:rPr>
      </w:pPr>
      <w:r w:rsidRPr="00C26A9B">
        <w:rPr>
          <w:rFonts w:ascii="Times New Roman" w:hAnsi="Times New Roman" w:cs="Times New Roman"/>
          <w:sz w:val="24"/>
          <w:szCs w:val="24"/>
          <w:lang w:val="ro-RO"/>
        </w:rPr>
        <w:t>200.3.1. utilizarea monedei de bază alese oferă o reprezentare adecvată a riscurilor pentru pozițiile băncii care prezintă riscuri valutare;</w:t>
      </w:r>
    </w:p>
    <w:p w14:paraId="31DB3904" w14:textId="77777777" w:rsidR="00E4004F" w:rsidRPr="00C26A9B" w:rsidRDefault="00E4004F" w:rsidP="00E4004F">
      <w:pPr>
        <w:rPr>
          <w:rFonts w:ascii="Times New Roman" w:hAnsi="Times New Roman" w:cs="Times New Roman"/>
          <w:sz w:val="24"/>
          <w:szCs w:val="24"/>
          <w:lang w:val="ro-RO"/>
        </w:rPr>
      </w:pPr>
      <w:r w:rsidRPr="00C26A9B">
        <w:rPr>
          <w:rFonts w:ascii="Times New Roman" w:hAnsi="Times New Roman" w:cs="Times New Roman"/>
          <w:sz w:val="24"/>
          <w:szCs w:val="24"/>
          <w:lang w:val="ro-RO"/>
        </w:rPr>
        <w:t>200.3.2. moneda de bază aleasă este compatibilă cu modul în care banca gestionează aceste riscuri valutare la nivel intern;</w:t>
      </w:r>
    </w:p>
    <w:p w14:paraId="4227139D" w14:textId="77777777" w:rsidR="00E4004F" w:rsidRPr="00C26A9B" w:rsidRDefault="00E4004F" w:rsidP="00E4004F">
      <w:pPr>
        <w:rPr>
          <w:rFonts w:ascii="Times New Roman" w:hAnsi="Times New Roman" w:cs="Times New Roman"/>
          <w:sz w:val="24"/>
          <w:szCs w:val="24"/>
          <w:lang w:val="ro-RO"/>
        </w:rPr>
      </w:pPr>
      <w:r w:rsidRPr="00C26A9B">
        <w:rPr>
          <w:rFonts w:ascii="Times New Roman" w:hAnsi="Times New Roman" w:cs="Times New Roman"/>
          <w:sz w:val="24"/>
          <w:szCs w:val="24"/>
          <w:lang w:val="ro-RO"/>
        </w:rPr>
        <w:t>200.3.3. alegerea monedei de bază nu este motivată în principal de dorința de a diminua cerințele de fonduri proprii ale băncii;</w:t>
      </w:r>
    </w:p>
    <w:p w14:paraId="70283A9C" w14:textId="77777777" w:rsidR="00E4004F" w:rsidRPr="00C26A9B" w:rsidRDefault="00E4004F" w:rsidP="00E4004F">
      <w:pPr>
        <w:rPr>
          <w:rFonts w:ascii="Times New Roman" w:hAnsi="Times New Roman" w:cs="Times New Roman"/>
          <w:sz w:val="24"/>
          <w:szCs w:val="24"/>
          <w:lang w:val="ro-RO"/>
        </w:rPr>
      </w:pPr>
      <w:r w:rsidRPr="00C26A9B">
        <w:rPr>
          <w:rFonts w:ascii="Times New Roman" w:hAnsi="Times New Roman" w:cs="Times New Roman"/>
          <w:sz w:val="24"/>
          <w:szCs w:val="24"/>
          <w:lang w:val="ro-RO"/>
        </w:rPr>
        <w:t>200.4. banca ține cont de riscul de conversie dintre moneda de raportare și moneda de bază.</w:t>
      </w:r>
    </w:p>
    <w:p w14:paraId="0ACFAAC4" w14:textId="0B0BCDCB" w:rsidR="00E4004F" w:rsidRPr="00C26A9B" w:rsidRDefault="00E4004F" w:rsidP="00E4004F">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 xml:space="preserve">201. O bancă care </w:t>
      </w:r>
      <w:r w:rsidR="00FA657D">
        <w:rPr>
          <w:rFonts w:ascii="Times New Roman" w:hAnsi="Times New Roman" w:cs="Times New Roman"/>
          <w:sz w:val="24"/>
          <w:szCs w:val="24"/>
          <w:lang w:val="ro-RO"/>
        </w:rPr>
        <w:t>are permisiunea</w:t>
      </w:r>
      <w:r w:rsidRPr="00C26A9B">
        <w:rPr>
          <w:rFonts w:ascii="Times New Roman" w:hAnsi="Times New Roman" w:cs="Times New Roman"/>
          <w:sz w:val="24"/>
          <w:szCs w:val="24"/>
          <w:lang w:val="ro-RO"/>
        </w:rPr>
        <w:t xml:space="preserve"> să utilizeze o monedă de bază astfel cum se prevede la pct.200 convertește cerințele de fonduri proprii rezultate pentru riscul valutar în moneda de raportare utilizând cursul de schimb spot predominant dintre moneda de bază și moneda de raportare.</w:t>
      </w:r>
    </w:p>
    <w:p w14:paraId="5C3EE698" w14:textId="2F58DE34" w:rsidR="00CB5650" w:rsidRPr="00CC1E9B" w:rsidRDefault="00CB5650" w:rsidP="00CB5650">
      <w:pPr>
        <w:rPr>
          <w:rFonts w:ascii="Times New Roman" w:hAnsi="Times New Roman" w:cs="Times New Roman"/>
          <w:b/>
          <w:bCs/>
          <w:i/>
          <w:iCs/>
          <w:sz w:val="24"/>
          <w:szCs w:val="24"/>
          <w:lang w:val="ro-RO"/>
        </w:rPr>
      </w:pPr>
      <w:r w:rsidRPr="00CC1E9B">
        <w:rPr>
          <w:rFonts w:ascii="Times New Roman" w:hAnsi="Times New Roman" w:cs="Times New Roman"/>
          <w:b/>
          <w:bCs/>
          <w:i/>
          <w:iCs/>
          <w:sz w:val="24"/>
          <w:szCs w:val="24"/>
          <w:lang w:val="ro-RO"/>
        </w:rPr>
        <w:t>Subsecțiunea 2. Definițiile sensibilităților</w:t>
      </w:r>
    </w:p>
    <w:p w14:paraId="53A0F34D" w14:textId="74214BFA" w:rsidR="00CB5650" w:rsidRPr="00C26A9B" w:rsidRDefault="00CB5650" w:rsidP="00CB5650">
      <w:pPr>
        <w:rPr>
          <w:rFonts w:ascii="Times New Roman" w:hAnsi="Times New Roman" w:cs="Times New Roman"/>
          <w:b/>
          <w:bCs/>
          <w:sz w:val="24"/>
          <w:szCs w:val="24"/>
          <w:lang w:val="ro-RO"/>
        </w:rPr>
      </w:pPr>
      <w:bookmarkStart w:id="20" w:name="_Hlk199514330"/>
      <w:r w:rsidRPr="00C26A9B">
        <w:rPr>
          <w:rFonts w:ascii="Times New Roman" w:hAnsi="Times New Roman" w:cs="Times New Roman"/>
          <w:i/>
          <w:iCs/>
          <w:sz w:val="24"/>
          <w:szCs w:val="24"/>
          <w:lang w:val="ro-RO"/>
        </w:rPr>
        <w:t>Paragraful 1</w:t>
      </w:r>
      <w:bookmarkEnd w:id="20"/>
      <w:r w:rsidRPr="00C26A9B">
        <w:rPr>
          <w:rFonts w:ascii="Times New Roman" w:hAnsi="Times New Roman" w:cs="Times New Roman"/>
          <w:i/>
          <w:iCs/>
          <w:sz w:val="24"/>
          <w:szCs w:val="24"/>
          <w:lang w:val="ro-RO"/>
        </w:rPr>
        <w:t>.</w:t>
      </w:r>
      <w:r w:rsidRPr="00C26A9B">
        <w:rPr>
          <w:rFonts w:ascii="Times New Roman" w:hAnsi="Times New Roman" w:cs="Times New Roman"/>
          <w:b/>
          <w:bCs/>
          <w:sz w:val="24"/>
          <w:szCs w:val="24"/>
          <w:lang w:val="ro-RO"/>
        </w:rPr>
        <w:t>Sensibilitățile la riscul delta</w:t>
      </w:r>
    </w:p>
    <w:p w14:paraId="08FFFF8F"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202.   Băncile calculează sensibilitățile la riscul general de rată a dobânzii (GIRR) delta după cum urmează:</w:t>
      </w:r>
    </w:p>
    <w:p w14:paraId="5FFBB7FC"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202.1. sensibilitățile la factori de risc care constau în rate fără risc se calculează după cum urmează:</w:t>
      </w:r>
    </w:p>
    <w:p w14:paraId="56CE30BD"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4864508C" wp14:editId="1970876E">
            <wp:extent cx="3275330" cy="457200"/>
            <wp:effectExtent l="0" t="0" r="1270" b="0"/>
            <wp:docPr id="138" name="Picture 13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mag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87624" cy="458916"/>
                    </a:xfrm>
                    <a:prstGeom prst="rect">
                      <a:avLst/>
                    </a:prstGeom>
                    <a:noFill/>
                    <a:ln>
                      <a:noFill/>
                    </a:ln>
                  </pic:spPr>
                </pic:pic>
              </a:graphicData>
            </a:graphic>
          </wp:inline>
        </w:drawing>
      </w:r>
    </w:p>
    <w:p w14:paraId="3F30959B"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tbl>
      <w:tblPr>
        <w:tblW w:w="9072" w:type="dxa"/>
        <w:tblLayout w:type="fixed"/>
        <w:tblCellMar>
          <w:left w:w="0" w:type="dxa"/>
          <w:right w:w="0" w:type="dxa"/>
        </w:tblCellMar>
        <w:tblLook w:val="04A0" w:firstRow="1" w:lastRow="0" w:firstColumn="1" w:lastColumn="0" w:noHBand="0" w:noVBand="1"/>
      </w:tblPr>
      <w:tblGrid>
        <w:gridCol w:w="754"/>
        <w:gridCol w:w="102"/>
        <w:gridCol w:w="8216"/>
      </w:tblGrid>
      <w:tr w:rsidR="00CB5650" w:rsidRPr="00C26A9B" w14:paraId="342E2D40" w14:textId="77777777" w:rsidTr="00CB5650">
        <w:tc>
          <w:tcPr>
            <w:tcW w:w="754" w:type="dxa"/>
            <w:hideMark/>
          </w:tcPr>
          <w:p w14:paraId="45E83812"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1004AC7D" wp14:editId="1E59FB26">
                  <wp:extent cx="431800" cy="336550"/>
                  <wp:effectExtent l="0" t="0" r="6350" b="6350"/>
                  <wp:docPr id="139" name="Picture 13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imag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1800" cy="336550"/>
                          </a:xfrm>
                          <a:prstGeom prst="rect">
                            <a:avLst/>
                          </a:prstGeom>
                          <a:noFill/>
                          <a:ln>
                            <a:noFill/>
                          </a:ln>
                        </pic:spPr>
                      </pic:pic>
                    </a:graphicData>
                  </a:graphic>
                </wp:inline>
              </w:drawing>
            </w:r>
          </w:p>
        </w:tc>
        <w:tc>
          <w:tcPr>
            <w:tcW w:w="102" w:type="dxa"/>
            <w:hideMark/>
          </w:tcPr>
          <w:p w14:paraId="78BBDF6E"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216" w:type="dxa"/>
            <w:hideMark/>
          </w:tcPr>
          <w:p w14:paraId="5A777772"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sensibilitățile la factori de risc care constau în rate fără risc;</w:t>
            </w:r>
          </w:p>
        </w:tc>
      </w:tr>
    </w:tbl>
    <w:p w14:paraId="6A8ACC1C" w14:textId="77777777" w:rsidR="00CB5650" w:rsidRPr="00C26A9B" w:rsidRDefault="00CB5650" w:rsidP="00CB5650">
      <w:pPr>
        <w:rPr>
          <w:rFonts w:ascii="Times New Roman" w:hAnsi="Times New Roman" w:cs="Times New Roman"/>
          <w:vanish/>
          <w:sz w:val="24"/>
          <w:szCs w:val="24"/>
          <w:lang w:val="ro-RO"/>
        </w:rPr>
      </w:pPr>
    </w:p>
    <w:tbl>
      <w:tblPr>
        <w:tblW w:w="8364" w:type="dxa"/>
        <w:tblLayout w:type="fixed"/>
        <w:tblCellMar>
          <w:left w:w="0" w:type="dxa"/>
          <w:right w:w="0" w:type="dxa"/>
        </w:tblCellMar>
        <w:tblLook w:val="04A0" w:firstRow="1" w:lastRow="0" w:firstColumn="1" w:lastColumn="0" w:noHBand="0" w:noVBand="1"/>
      </w:tblPr>
      <w:tblGrid>
        <w:gridCol w:w="328"/>
        <w:gridCol w:w="144"/>
        <w:gridCol w:w="7892"/>
      </w:tblGrid>
      <w:tr w:rsidR="00CB5650" w:rsidRPr="00C26A9B" w14:paraId="1C494371" w14:textId="77777777" w:rsidTr="00CB5650">
        <w:tc>
          <w:tcPr>
            <w:tcW w:w="328" w:type="dxa"/>
            <w:hideMark/>
          </w:tcPr>
          <w:p w14:paraId="69C54289" w14:textId="77777777" w:rsidR="00CB5650" w:rsidRPr="00C26A9B" w:rsidRDefault="00CB5650" w:rsidP="00CB5650">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r</w:t>
            </w:r>
            <w:r w:rsidRPr="00C26A9B">
              <w:rPr>
                <w:rFonts w:ascii="Times New Roman" w:hAnsi="Times New Roman" w:cs="Times New Roman"/>
                <w:sz w:val="24"/>
                <w:szCs w:val="24"/>
                <w:vertAlign w:val="subscript"/>
                <w:lang w:val="ro-RO"/>
              </w:rPr>
              <w:t>kt</w:t>
            </w:r>
            <w:proofErr w:type="spellEnd"/>
          </w:p>
        </w:tc>
        <w:tc>
          <w:tcPr>
            <w:tcW w:w="144" w:type="dxa"/>
            <w:hideMark/>
          </w:tcPr>
          <w:p w14:paraId="4F965EFB"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7892" w:type="dxa"/>
            <w:hideMark/>
          </w:tcPr>
          <w:p w14:paraId="56C69B86"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rata unei curbe fără risc k cu o scadență „t”;</w:t>
            </w:r>
          </w:p>
        </w:tc>
      </w:tr>
    </w:tbl>
    <w:p w14:paraId="41ACFEC6" w14:textId="77777777" w:rsidR="00CB5650" w:rsidRPr="00C26A9B" w:rsidRDefault="00CB5650" w:rsidP="00CB5650">
      <w:pPr>
        <w:rPr>
          <w:rFonts w:ascii="Times New Roman" w:hAnsi="Times New Roman" w:cs="Times New Roman"/>
          <w:vanish/>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985"/>
        <w:gridCol w:w="284"/>
        <w:gridCol w:w="9197"/>
      </w:tblGrid>
      <w:tr w:rsidR="00CB5650" w:rsidRPr="00C26A9B" w14:paraId="434C3ABE" w14:textId="77777777" w:rsidTr="0003035E">
        <w:tc>
          <w:tcPr>
            <w:tcW w:w="912" w:type="dxa"/>
            <w:hideMark/>
          </w:tcPr>
          <w:p w14:paraId="24B6B8AA"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V</w:t>
            </w:r>
            <w:r w:rsidRPr="00C26A9B">
              <w:rPr>
                <w:rFonts w:ascii="Times New Roman" w:hAnsi="Times New Roman" w:cs="Times New Roman"/>
                <w:sz w:val="24"/>
                <w:szCs w:val="24"/>
                <w:vertAlign w:val="subscript"/>
                <w:lang w:val="ro-RO"/>
              </w:rPr>
              <w:t>i</w:t>
            </w:r>
            <w:r w:rsidRPr="00C26A9B">
              <w:rPr>
                <w:rFonts w:ascii="Times New Roman" w:hAnsi="Times New Roman" w:cs="Times New Roman"/>
                <w:sz w:val="24"/>
                <w:szCs w:val="24"/>
                <w:lang w:val="ro-RO"/>
              </w:rPr>
              <w:t> (.)</w:t>
            </w:r>
          </w:p>
        </w:tc>
        <w:tc>
          <w:tcPr>
            <w:tcW w:w="263" w:type="dxa"/>
            <w:hideMark/>
          </w:tcPr>
          <w:p w14:paraId="10D71738"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514" w:type="dxa"/>
            <w:hideMark/>
          </w:tcPr>
          <w:p w14:paraId="26A2816F"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funcția de evaluare a instrumentului „i”; și</w:t>
            </w:r>
          </w:p>
        </w:tc>
      </w:tr>
    </w:tbl>
    <w:p w14:paraId="5E76666F" w14:textId="77777777" w:rsidR="00CB5650" w:rsidRPr="00C26A9B" w:rsidRDefault="00CB5650" w:rsidP="00CB5650">
      <w:pPr>
        <w:rPr>
          <w:rFonts w:ascii="Times New Roman" w:hAnsi="Times New Roman" w:cs="Times New Roman"/>
          <w:vanish/>
          <w:sz w:val="24"/>
          <w:szCs w:val="24"/>
          <w:lang w:val="ro-RO"/>
        </w:rPr>
      </w:pPr>
    </w:p>
    <w:tbl>
      <w:tblPr>
        <w:tblW w:w="8364" w:type="dxa"/>
        <w:tblLayout w:type="fixed"/>
        <w:tblCellMar>
          <w:left w:w="0" w:type="dxa"/>
          <w:right w:w="0" w:type="dxa"/>
        </w:tblCellMar>
        <w:tblLook w:val="04A0" w:firstRow="1" w:lastRow="0" w:firstColumn="1" w:lastColumn="0" w:noHBand="0" w:noVBand="1"/>
      </w:tblPr>
      <w:tblGrid>
        <w:gridCol w:w="612"/>
        <w:gridCol w:w="120"/>
        <w:gridCol w:w="7632"/>
      </w:tblGrid>
      <w:tr w:rsidR="00CB5650" w:rsidRPr="00C26A9B" w14:paraId="2EE8FC9E" w14:textId="77777777" w:rsidTr="00CB5650">
        <w:tc>
          <w:tcPr>
            <w:tcW w:w="612" w:type="dxa"/>
            <w:hideMark/>
          </w:tcPr>
          <w:p w14:paraId="7F44A13D"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x, y</w:t>
            </w:r>
          </w:p>
        </w:tc>
        <w:tc>
          <w:tcPr>
            <w:tcW w:w="120" w:type="dxa"/>
            <w:hideMark/>
          </w:tcPr>
          <w:p w14:paraId="06EA971A"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7632" w:type="dxa"/>
            <w:hideMark/>
          </w:tcPr>
          <w:p w14:paraId="70B37052"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alți factori de risc decât </w:t>
            </w:r>
            <w:proofErr w:type="spellStart"/>
            <w:r w:rsidRPr="00C26A9B">
              <w:rPr>
                <w:rFonts w:ascii="Times New Roman" w:hAnsi="Times New Roman" w:cs="Times New Roman"/>
                <w:sz w:val="24"/>
                <w:szCs w:val="24"/>
                <w:lang w:val="ro-RO"/>
              </w:rPr>
              <w:t>r</w:t>
            </w:r>
            <w:r w:rsidRPr="00C26A9B">
              <w:rPr>
                <w:rFonts w:ascii="Times New Roman" w:hAnsi="Times New Roman" w:cs="Times New Roman"/>
                <w:sz w:val="24"/>
                <w:szCs w:val="24"/>
                <w:vertAlign w:val="subscript"/>
                <w:lang w:val="ro-RO"/>
              </w:rPr>
              <w:t>kt</w:t>
            </w:r>
            <w:proofErr w:type="spellEnd"/>
            <w:r w:rsidRPr="00C26A9B">
              <w:rPr>
                <w:rFonts w:ascii="Times New Roman" w:hAnsi="Times New Roman" w:cs="Times New Roman"/>
                <w:sz w:val="24"/>
                <w:szCs w:val="24"/>
                <w:lang w:val="ro-RO"/>
              </w:rPr>
              <w:t> din funcția de evaluare V</w:t>
            </w:r>
            <w:r w:rsidRPr="00C26A9B">
              <w:rPr>
                <w:rFonts w:ascii="Times New Roman" w:hAnsi="Times New Roman" w:cs="Times New Roman"/>
                <w:sz w:val="24"/>
                <w:szCs w:val="24"/>
                <w:vertAlign w:val="subscript"/>
                <w:lang w:val="ro-RO"/>
              </w:rPr>
              <w:t>i</w:t>
            </w:r>
            <w:r w:rsidRPr="00C26A9B">
              <w:rPr>
                <w:rFonts w:ascii="Times New Roman" w:hAnsi="Times New Roman" w:cs="Times New Roman"/>
                <w:sz w:val="24"/>
                <w:szCs w:val="24"/>
                <w:lang w:val="ro-RO"/>
              </w:rPr>
              <w:t>;</w:t>
            </w:r>
          </w:p>
        </w:tc>
      </w:tr>
    </w:tbl>
    <w:p w14:paraId="3B2FF292"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202.2. sensibilitățile la factori de risc care constau în riscul de inflație și riscul de bază </w:t>
      </w:r>
      <w:proofErr w:type="spellStart"/>
      <w:r w:rsidRPr="00C26A9B">
        <w:rPr>
          <w:rFonts w:ascii="Times New Roman" w:hAnsi="Times New Roman" w:cs="Times New Roman"/>
          <w:sz w:val="24"/>
          <w:szCs w:val="24"/>
          <w:lang w:val="ro-RO"/>
        </w:rPr>
        <w:t>intervalutară</w:t>
      </w:r>
      <w:proofErr w:type="spellEnd"/>
      <w:r w:rsidRPr="00C26A9B">
        <w:rPr>
          <w:rFonts w:ascii="Times New Roman" w:hAnsi="Times New Roman" w:cs="Times New Roman"/>
          <w:sz w:val="24"/>
          <w:szCs w:val="24"/>
          <w:lang w:val="ro-RO"/>
        </w:rPr>
        <w:t xml:space="preserve"> se calculează după cum urmează:</w:t>
      </w:r>
    </w:p>
    <w:p w14:paraId="39799538"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7D049C12" wp14:editId="56D11EFA">
            <wp:extent cx="3452495" cy="552734"/>
            <wp:effectExtent l="0" t="0" r="0" b="0"/>
            <wp:docPr id="140" name="Picture 14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imag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65425" cy="554804"/>
                    </a:xfrm>
                    <a:prstGeom prst="rect">
                      <a:avLst/>
                    </a:prstGeom>
                    <a:noFill/>
                    <a:ln>
                      <a:noFill/>
                    </a:ln>
                  </pic:spPr>
                </pic:pic>
              </a:graphicData>
            </a:graphic>
          </wp:inline>
        </w:drawing>
      </w:r>
    </w:p>
    <w:p w14:paraId="085E5871"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tbl>
      <w:tblPr>
        <w:tblW w:w="8505" w:type="dxa"/>
        <w:tblLayout w:type="fixed"/>
        <w:tblCellMar>
          <w:left w:w="0" w:type="dxa"/>
          <w:right w:w="0" w:type="dxa"/>
        </w:tblCellMar>
        <w:tblLook w:val="04A0" w:firstRow="1" w:lastRow="0" w:firstColumn="1" w:lastColumn="0" w:noHBand="0" w:noVBand="1"/>
      </w:tblPr>
      <w:tblGrid>
        <w:gridCol w:w="612"/>
        <w:gridCol w:w="76"/>
        <w:gridCol w:w="7817"/>
      </w:tblGrid>
      <w:tr w:rsidR="00CB5650" w:rsidRPr="00C26A9B" w14:paraId="7E8035DB" w14:textId="77777777" w:rsidTr="00CB5650">
        <w:tc>
          <w:tcPr>
            <w:tcW w:w="612" w:type="dxa"/>
            <w:hideMark/>
          </w:tcPr>
          <w:p w14:paraId="2673AB63"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3639262F" wp14:editId="497AB5D6">
                  <wp:extent cx="355600" cy="355600"/>
                  <wp:effectExtent l="0" t="0" r="6350" b="6350"/>
                  <wp:docPr id="141" name="Picture 14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imag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5600" cy="355600"/>
                          </a:xfrm>
                          <a:prstGeom prst="rect">
                            <a:avLst/>
                          </a:prstGeom>
                          <a:noFill/>
                          <a:ln>
                            <a:noFill/>
                          </a:ln>
                        </pic:spPr>
                      </pic:pic>
                    </a:graphicData>
                  </a:graphic>
                </wp:inline>
              </w:drawing>
            </w:r>
          </w:p>
        </w:tc>
        <w:tc>
          <w:tcPr>
            <w:tcW w:w="76" w:type="dxa"/>
            <w:hideMark/>
          </w:tcPr>
          <w:p w14:paraId="3E82C19E"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7817" w:type="dxa"/>
            <w:hideMark/>
          </w:tcPr>
          <w:p w14:paraId="394A9D45"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sensibilitățile la factori de risc care constau în riscul de inflație și riscul de bază </w:t>
            </w:r>
            <w:proofErr w:type="spellStart"/>
            <w:r w:rsidRPr="00C26A9B">
              <w:rPr>
                <w:rFonts w:ascii="Times New Roman" w:hAnsi="Times New Roman" w:cs="Times New Roman"/>
                <w:sz w:val="24"/>
                <w:szCs w:val="24"/>
                <w:lang w:val="ro-RO"/>
              </w:rPr>
              <w:t>intervalutară</w:t>
            </w:r>
            <w:proofErr w:type="spellEnd"/>
            <w:r w:rsidRPr="00C26A9B">
              <w:rPr>
                <w:rFonts w:ascii="Times New Roman" w:hAnsi="Times New Roman" w:cs="Times New Roman"/>
                <w:sz w:val="24"/>
                <w:szCs w:val="24"/>
                <w:lang w:val="ro-RO"/>
              </w:rPr>
              <w:t>;</w:t>
            </w:r>
          </w:p>
        </w:tc>
      </w:tr>
    </w:tbl>
    <w:p w14:paraId="179F11F1" w14:textId="77777777" w:rsidR="00CB5650" w:rsidRPr="00C26A9B" w:rsidRDefault="00CB5650" w:rsidP="00CB5650">
      <w:pPr>
        <w:rPr>
          <w:rFonts w:ascii="Times New Roman" w:hAnsi="Times New Roman" w:cs="Times New Roman"/>
          <w:vanish/>
          <w:sz w:val="24"/>
          <w:szCs w:val="24"/>
          <w:lang w:val="ro-RO"/>
        </w:rPr>
      </w:pPr>
    </w:p>
    <w:tbl>
      <w:tblPr>
        <w:tblW w:w="8364" w:type="dxa"/>
        <w:tblLayout w:type="fixed"/>
        <w:tblCellMar>
          <w:left w:w="0" w:type="dxa"/>
          <w:right w:w="0" w:type="dxa"/>
        </w:tblCellMar>
        <w:tblLook w:val="04A0" w:firstRow="1" w:lastRow="0" w:firstColumn="1" w:lastColumn="0" w:noHBand="0" w:noVBand="1"/>
      </w:tblPr>
      <w:tblGrid>
        <w:gridCol w:w="612"/>
        <w:gridCol w:w="76"/>
        <w:gridCol w:w="7676"/>
      </w:tblGrid>
      <w:tr w:rsidR="00CB5650" w:rsidRPr="00C26A9B" w14:paraId="22B5D3D7" w14:textId="77777777" w:rsidTr="00CB5650">
        <w:tc>
          <w:tcPr>
            <w:tcW w:w="612" w:type="dxa"/>
            <w:hideMark/>
          </w:tcPr>
          <w:p w14:paraId="4C7FF5EF"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039EA7A4" wp14:editId="7891EA55">
                  <wp:extent cx="323850" cy="304800"/>
                  <wp:effectExtent l="0" t="0" r="0" b="0"/>
                  <wp:docPr id="142" name="Picture 14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mag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3850" cy="304800"/>
                          </a:xfrm>
                          <a:prstGeom prst="rect">
                            <a:avLst/>
                          </a:prstGeom>
                          <a:noFill/>
                          <a:ln>
                            <a:noFill/>
                          </a:ln>
                        </pic:spPr>
                      </pic:pic>
                    </a:graphicData>
                  </a:graphic>
                </wp:inline>
              </w:drawing>
            </w:r>
          </w:p>
        </w:tc>
        <w:tc>
          <w:tcPr>
            <w:tcW w:w="76" w:type="dxa"/>
            <w:hideMark/>
          </w:tcPr>
          <w:p w14:paraId="640AB22E"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7676" w:type="dxa"/>
            <w:hideMark/>
          </w:tcPr>
          <w:p w14:paraId="09627F2F"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un vector din m componente reprezentând curba inflației implicite sau curba bazei </w:t>
            </w:r>
            <w:proofErr w:type="spellStart"/>
            <w:r w:rsidRPr="00C26A9B">
              <w:rPr>
                <w:rFonts w:ascii="Times New Roman" w:hAnsi="Times New Roman" w:cs="Times New Roman"/>
                <w:sz w:val="24"/>
                <w:szCs w:val="24"/>
                <w:lang w:val="ro-RO"/>
              </w:rPr>
              <w:t>intervalutare</w:t>
            </w:r>
            <w:proofErr w:type="spellEnd"/>
            <w:r w:rsidRPr="00C26A9B">
              <w:rPr>
                <w:rFonts w:ascii="Times New Roman" w:hAnsi="Times New Roman" w:cs="Times New Roman"/>
                <w:sz w:val="24"/>
                <w:szCs w:val="24"/>
                <w:lang w:val="ro-RO"/>
              </w:rPr>
              <w:t xml:space="preserve"> pentru o anumită monedă „j”, „m” fiind egal cu numărul variabilelor legate de inflație sau de baza </w:t>
            </w:r>
            <w:proofErr w:type="spellStart"/>
            <w:r w:rsidRPr="00C26A9B">
              <w:rPr>
                <w:rFonts w:ascii="Times New Roman" w:hAnsi="Times New Roman" w:cs="Times New Roman"/>
                <w:sz w:val="24"/>
                <w:szCs w:val="24"/>
                <w:lang w:val="ro-RO"/>
              </w:rPr>
              <w:t>intervalutară</w:t>
            </w:r>
            <w:proofErr w:type="spellEnd"/>
            <w:r w:rsidRPr="00C26A9B">
              <w:rPr>
                <w:rFonts w:ascii="Times New Roman" w:hAnsi="Times New Roman" w:cs="Times New Roman"/>
                <w:sz w:val="24"/>
                <w:szCs w:val="24"/>
                <w:lang w:val="ro-RO"/>
              </w:rPr>
              <w:t xml:space="preserve"> utilizate în modelul de evaluare al instrumentului „i”;</w:t>
            </w:r>
          </w:p>
        </w:tc>
      </w:tr>
    </w:tbl>
    <w:p w14:paraId="348CA790" w14:textId="77777777" w:rsidR="00CB5650" w:rsidRPr="00C26A9B" w:rsidRDefault="00CB5650" w:rsidP="00CB5650">
      <w:pPr>
        <w:rPr>
          <w:rFonts w:ascii="Times New Roman" w:hAnsi="Times New Roman" w:cs="Times New Roman"/>
          <w:vanish/>
          <w:sz w:val="24"/>
          <w:szCs w:val="24"/>
          <w:lang w:val="ro-RO"/>
        </w:rPr>
      </w:pPr>
    </w:p>
    <w:tbl>
      <w:tblPr>
        <w:tblW w:w="4857" w:type="dxa"/>
        <w:tblLayout w:type="fixed"/>
        <w:tblCellMar>
          <w:left w:w="0" w:type="dxa"/>
          <w:right w:w="0" w:type="dxa"/>
        </w:tblCellMar>
        <w:tblLook w:val="04A0" w:firstRow="1" w:lastRow="0" w:firstColumn="1" w:lastColumn="0" w:noHBand="0" w:noVBand="1"/>
      </w:tblPr>
      <w:tblGrid>
        <w:gridCol w:w="612"/>
        <w:gridCol w:w="143"/>
        <w:gridCol w:w="4102"/>
      </w:tblGrid>
      <w:tr w:rsidR="00CB5650" w:rsidRPr="00C26A9B" w14:paraId="6B1D7CA9" w14:textId="77777777" w:rsidTr="0003035E">
        <w:tc>
          <w:tcPr>
            <w:tcW w:w="612" w:type="dxa"/>
            <w:hideMark/>
          </w:tcPr>
          <w:p w14:paraId="13050B98"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10D7C215" wp14:editId="403D5534">
                  <wp:extent cx="355600" cy="336550"/>
                  <wp:effectExtent l="0" t="0" r="6350" b="6350"/>
                  <wp:docPr id="143" name="Picture 14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mag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55600" cy="336550"/>
                          </a:xfrm>
                          <a:prstGeom prst="rect">
                            <a:avLst/>
                          </a:prstGeom>
                          <a:noFill/>
                          <a:ln>
                            <a:noFill/>
                          </a:ln>
                        </pic:spPr>
                      </pic:pic>
                    </a:graphicData>
                  </a:graphic>
                </wp:inline>
              </w:drawing>
            </w:r>
          </w:p>
        </w:tc>
        <w:tc>
          <w:tcPr>
            <w:tcW w:w="143" w:type="dxa"/>
            <w:hideMark/>
          </w:tcPr>
          <w:p w14:paraId="439A763F"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4102" w:type="dxa"/>
            <w:hideMark/>
          </w:tcPr>
          <w:p w14:paraId="17B7394A"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matricea unitară de dimensiuni (1 × m);</w:t>
            </w:r>
          </w:p>
        </w:tc>
      </w:tr>
    </w:tbl>
    <w:p w14:paraId="654442BF" w14:textId="77777777" w:rsidR="00CB5650" w:rsidRPr="00C26A9B" w:rsidRDefault="00CB5650" w:rsidP="00CB5650">
      <w:pPr>
        <w:rPr>
          <w:rFonts w:ascii="Times New Roman" w:hAnsi="Times New Roman" w:cs="Times New Roman"/>
          <w:vanish/>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985"/>
        <w:gridCol w:w="284"/>
        <w:gridCol w:w="9197"/>
      </w:tblGrid>
      <w:tr w:rsidR="00CB5650" w:rsidRPr="00C26A9B" w14:paraId="75F1A4F2" w14:textId="77777777" w:rsidTr="0003035E">
        <w:tc>
          <w:tcPr>
            <w:tcW w:w="912" w:type="dxa"/>
            <w:hideMark/>
          </w:tcPr>
          <w:p w14:paraId="06C19433"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V</w:t>
            </w:r>
            <w:r w:rsidRPr="00C26A9B">
              <w:rPr>
                <w:rFonts w:ascii="Times New Roman" w:hAnsi="Times New Roman" w:cs="Times New Roman"/>
                <w:sz w:val="24"/>
                <w:szCs w:val="24"/>
                <w:vertAlign w:val="subscript"/>
                <w:lang w:val="ro-RO"/>
              </w:rPr>
              <w:t>i</w:t>
            </w:r>
            <w:r w:rsidRPr="00C26A9B">
              <w:rPr>
                <w:rFonts w:ascii="Times New Roman" w:hAnsi="Times New Roman" w:cs="Times New Roman"/>
                <w:sz w:val="24"/>
                <w:szCs w:val="24"/>
                <w:lang w:val="ro-RO"/>
              </w:rPr>
              <w:t> (.)</w:t>
            </w:r>
          </w:p>
        </w:tc>
        <w:tc>
          <w:tcPr>
            <w:tcW w:w="263" w:type="dxa"/>
            <w:hideMark/>
          </w:tcPr>
          <w:p w14:paraId="4B5F10D7"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514" w:type="dxa"/>
            <w:hideMark/>
          </w:tcPr>
          <w:p w14:paraId="1915D74F"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funcția de evaluare a instrumentului „i”; și</w:t>
            </w:r>
          </w:p>
        </w:tc>
      </w:tr>
    </w:tbl>
    <w:p w14:paraId="5251E168" w14:textId="77777777" w:rsidR="00CB5650" w:rsidRPr="00C26A9B" w:rsidRDefault="00CB5650" w:rsidP="00CB5650">
      <w:pPr>
        <w:rPr>
          <w:rFonts w:ascii="Times New Roman" w:hAnsi="Times New Roman" w:cs="Times New Roman"/>
          <w:vanish/>
          <w:sz w:val="24"/>
          <w:szCs w:val="24"/>
          <w:lang w:val="ro-RO"/>
        </w:rPr>
      </w:pPr>
    </w:p>
    <w:tbl>
      <w:tblPr>
        <w:tblW w:w="5017" w:type="pct"/>
        <w:tblLayout w:type="fixed"/>
        <w:tblCellMar>
          <w:left w:w="0" w:type="dxa"/>
          <w:right w:w="0" w:type="dxa"/>
        </w:tblCellMar>
        <w:tblLook w:val="04A0" w:firstRow="1" w:lastRow="0" w:firstColumn="1" w:lastColumn="0" w:noHBand="0" w:noVBand="1"/>
      </w:tblPr>
      <w:tblGrid>
        <w:gridCol w:w="769"/>
        <w:gridCol w:w="342"/>
        <w:gridCol w:w="9391"/>
      </w:tblGrid>
      <w:tr w:rsidR="00CB5650" w:rsidRPr="00C26A9B" w14:paraId="5F0E7326" w14:textId="77777777" w:rsidTr="00CB5650">
        <w:tc>
          <w:tcPr>
            <w:tcW w:w="687" w:type="dxa"/>
            <w:hideMark/>
          </w:tcPr>
          <w:p w14:paraId="2A41389C"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y, z</w:t>
            </w:r>
          </w:p>
        </w:tc>
        <w:tc>
          <w:tcPr>
            <w:tcW w:w="306" w:type="dxa"/>
            <w:hideMark/>
          </w:tcPr>
          <w:p w14:paraId="23258CBE"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394" w:type="dxa"/>
            <w:hideMark/>
          </w:tcPr>
          <w:p w14:paraId="3E801128" w14:textId="32DD71EF"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alte variabile ale modelului de evaluare.</w:t>
            </w:r>
          </w:p>
          <w:p w14:paraId="72952738" w14:textId="77777777" w:rsidR="00CB5650" w:rsidRPr="00C26A9B" w:rsidRDefault="00CB5650" w:rsidP="00CB5650">
            <w:pPr>
              <w:rPr>
                <w:rFonts w:ascii="Times New Roman" w:hAnsi="Times New Roman" w:cs="Times New Roman"/>
                <w:sz w:val="24"/>
                <w:szCs w:val="24"/>
                <w:lang w:val="ro-RO"/>
              </w:rPr>
            </w:pPr>
          </w:p>
        </w:tc>
      </w:tr>
    </w:tbl>
    <w:p w14:paraId="41652BD8"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203.  Băncile calculează sensibilitățile la riscul de marjă de credit delta pentru toate pozițiile din securitizare și care nu provin din securitizare după cum urmează:</w:t>
      </w:r>
    </w:p>
    <w:p w14:paraId="614FCE77"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7B0B0DFC" wp14:editId="6A6C7B0C">
            <wp:extent cx="3541395" cy="477672"/>
            <wp:effectExtent l="0" t="0" r="1905" b="0"/>
            <wp:docPr id="144" name="Picture 14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imag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53009" cy="479238"/>
                    </a:xfrm>
                    <a:prstGeom prst="rect">
                      <a:avLst/>
                    </a:prstGeom>
                    <a:noFill/>
                    <a:ln>
                      <a:noFill/>
                    </a:ln>
                  </pic:spPr>
                </pic:pic>
              </a:graphicData>
            </a:graphic>
          </wp:inline>
        </w:drawing>
      </w:r>
    </w:p>
    <w:p w14:paraId="4DB092A2"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tbl>
      <w:tblPr>
        <w:tblW w:w="9214" w:type="dxa"/>
        <w:tblLayout w:type="fixed"/>
        <w:tblCellMar>
          <w:left w:w="0" w:type="dxa"/>
          <w:right w:w="0" w:type="dxa"/>
        </w:tblCellMar>
        <w:tblLook w:val="04A0" w:firstRow="1" w:lastRow="0" w:firstColumn="1" w:lastColumn="0" w:noHBand="0" w:noVBand="1"/>
      </w:tblPr>
      <w:tblGrid>
        <w:gridCol w:w="896"/>
        <w:gridCol w:w="76"/>
        <w:gridCol w:w="8242"/>
      </w:tblGrid>
      <w:tr w:rsidR="00CB5650" w:rsidRPr="00C26A9B" w14:paraId="1DF3762F" w14:textId="77777777" w:rsidTr="00CB5650">
        <w:tc>
          <w:tcPr>
            <w:tcW w:w="896" w:type="dxa"/>
            <w:hideMark/>
          </w:tcPr>
          <w:p w14:paraId="09F61DCE"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lastRenderedPageBreak/>
              <w:drawing>
                <wp:inline distT="0" distB="0" distL="0" distR="0" wp14:anchorId="7C290B0C" wp14:editId="4D99D826">
                  <wp:extent cx="584200" cy="336550"/>
                  <wp:effectExtent l="0" t="0" r="6350" b="6350"/>
                  <wp:docPr id="145" name="Picture 14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imag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4200" cy="336550"/>
                          </a:xfrm>
                          <a:prstGeom prst="rect">
                            <a:avLst/>
                          </a:prstGeom>
                          <a:noFill/>
                          <a:ln>
                            <a:noFill/>
                          </a:ln>
                        </pic:spPr>
                      </pic:pic>
                    </a:graphicData>
                  </a:graphic>
                </wp:inline>
              </w:drawing>
            </w:r>
          </w:p>
        </w:tc>
        <w:tc>
          <w:tcPr>
            <w:tcW w:w="76" w:type="dxa"/>
            <w:hideMark/>
          </w:tcPr>
          <w:p w14:paraId="41E23038"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242" w:type="dxa"/>
            <w:hideMark/>
          </w:tcPr>
          <w:p w14:paraId="1D6099A8"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riscul de marjă de credit delta pentru toate pozițiile din securitizare și care nu provin din securitizare;</w:t>
            </w:r>
          </w:p>
        </w:tc>
      </w:tr>
    </w:tbl>
    <w:p w14:paraId="2009ACBD" w14:textId="77777777" w:rsidR="00CB5650" w:rsidRPr="00C26A9B" w:rsidRDefault="00CB5650" w:rsidP="00CB5650">
      <w:pPr>
        <w:rPr>
          <w:rFonts w:ascii="Times New Roman" w:hAnsi="Times New Roman" w:cs="Times New Roman"/>
          <w:vanish/>
          <w:sz w:val="24"/>
          <w:szCs w:val="24"/>
          <w:lang w:val="ro-RO"/>
        </w:rPr>
      </w:pPr>
    </w:p>
    <w:tbl>
      <w:tblPr>
        <w:tblW w:w="9072" w:type="dxa"/>
        <w:tblLayout w:type="fixed"/>
        <w:tblCellMar>
          <w:left w:w="0" w:type="dxa"/>
          <w:right w:w="0" w:type="dxa"/>
        </w:tblCellMar>
        <w:tblLook w:val="04A0" w:firstRow="1" w:lastRow="0" w:firstColumn="1" w:lastColumn="0" w:noHBand="0" w:noVBand="1"/>
      </w:tblPr>
      <w:tblGrid>
        <w:gridCol w:w="328"/>
        <w:gridCol w:w="114"/>
        <w:gridCol w:w="8630"/>
      </w:tblGrid>
      <w:tr w:rsidR="00CB5650" w:rsidRPr="00C26A9B" w14:paraId="4DFF9083" w14:textId="77777777" w:rsidTr="00CB5650">
        <w:tc>
          <w:tcPr>
            <w:tcW w:w="328" w:type="dxa"/>
            <w:hideMark/>
          </w:tcPr>
          <w:p w14:paraId="2E3482F6" w14:textId="77777777" w:rsidR="00CB5650" w:rsidRPr="00C26A9B" w:rsidRDefault="00CB5650" w:rsidP="00CB5650">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cs</w:t>
            </w:r>
            <w:r w:rsidRPr="00C26A9B">
              <w:rPr>
                <w:rFonts w:ascii="Times New Roman" w:hAnsi="Times New Roman" w:cs="Times New Roman"/>
                <w:sz w:val="24"/>
                <w:szCs w:val="24"/>
                <w:vertAlign w:val="subscript"/>
                <w:lang w:val="ro-RO"/>
              </w:rPr>
              <w:t>kt</w:t>
            </w:r>
            <w:proofErr w:type="spellEnd"/>
          </w:p>
        </w:tc>
        <w:tc>
          <w:tcPr>
            <w:tcW w:w="114" w:type="dxa"/>
            <w:hideMark/>
          </w:tcPr>
          <w:p w14:paraId="2F90E8F7"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630" w:type="dxa"/>
            <w:hideMark/>
          </w:tcPr>
          <w:p w14:paraId="65461E26"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valoarea marjei de credit a emitentului j la scadența „t”;</w:t>
            </w:r>
          </w:p>
        </w:tc>
      </w:tr>
    </w:tbl>
    <w:p w14:paraId="6057E354" w14:textId="77777777" w:rsidR="00CB5650" w:rsidRPr="00C26A9B" w:rsidRDefault="00CB5650" w:rsidP="00CB5650">
      <w:pPr>
        <w:rPr>
          <w:rFonts w:ascii="Times New Roman" w:hAnsi="Times New Roman" w:cs="Times New Roman"/>
          <w:vanish/>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985"/>
        <w:gridCol w:w="284"/>
        <w:gridCol w:w="9197"/>
      </w:tblGrid>
      <w:tr w:rsidR="00CB5650" w:rsidRPr="00C26A9B" w14:paraId="52070436" w14:textId="77777777" w:rsidTr="0003035E">
        <w:tc>
          <w:tcPr>
            <w:tcW w:w="912" w:type="dxa"/>
            <w:hideMark/>
          </w:tcPr>
          <w:p w14:paraId="26B90361"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V</w:t>
            </w:r>
            <w:r w:rsidRPr="00C26A9B">
              <w:rPr>
                <w:rFonts w:ascii="Times New Roman" w:hAnsi="Times New Roman" w:cs="Times New Roman"/>
                <w:sz w:val="24"/>
                <w:szCs w:val="24"/>
                <w:vertAlign w:val="subscript"/>
                <w:lang w:val="ro-RO"/>
              </w:rPr>
              <w:t>i</w:t>
            </w:r>
            <w:r w:rsidRPr="00C26A9B">
              <w:rPr>
                <w:rFonts w:ascii="Times New Roman" w:hAnsi="Times New Roman" w:cs="Times New Roman"/>
                <w:sz w:val="24"/>
                <w:szCs w:val="24"/>
                <w:lang w:val="ro-RO"/>
              </w:rPr>
              <w:t> (.)</w:t>
            </w:r>
          </w:p>
        </w:tc>
        <w:tc>
          <w:tcPr>
            <w:tcW w:w="263" w:type="dxa"/>
            <w:hideMark/>
          </w:tcPr>
          <w:p w14:paraId="22C36F5D"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514" w:type="dxa"/>
            <w:hideMark/>
          </w:tcPr>
          <w:p w14:paraId="3E94156E"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funcția de evaluare a instrumentului „i”; și</w:t>
            </w:r>
          </w:p>
        </w:tc>
      </w:tr>
    </w:tbl>
    <w:p w14:paraId="723970FE" w14:textId="77777777" w:rsidR="00CB5650" w:rsidRPr="00C26A9B" w:rsidRDefault="00CB5650" w:rsidP="00CB5650">
      <w:pPr>
        <w:rPr>
          <w:rFonts w:ascii="Times New Roman" w:hAnsi="Times New Roman" w:cs="Times New Roman"/>
          <w:vanish/>
          <w:sz w:val="24"/>
          <w:szCs w:val="24"/>
          <w:lang w:val="ro-RO"/>
        </w:rPr>
      </w:pPr>
    </w:p>
    <w:tbl>
      <w:tblPr>
        <w:tblW w:w="9072" w:type="dxa"/>
        <w:tblLayout w:type="fixed"/>
        <w:tblCellMar>
          <w:left w:w="0" w:type="dxa"/>
          <w:right w:w="0" w:type="dxa"/>
        </w:tblCellMar>
        <w:tblLook w:val="04A0" w:firstRow="1" w:lastRow="0" w:firstColumn="1" w:lastColumn="0" w:noHBand="0" w:noVBand="1"/>
      </w:tblPr>
      <w:tblGrid>
        <w:gridCol w:w="470"/>
        <w:gridCol w:w="118"/>
        <w:gridCol w:w="8484"/>
      </w:tblGrid>
      <w:tr w:rsidR="00CB5650" w:rsidRPr="00C26A9B" w14:paraId="56E3C50B" w14:textId="77777777" w:rsidTr="00CB5650">
        <w:tc>
          <w:tcPr>
            <w:tcW w:w="470" w:type="dxa"/>
            <w:hideMark/>
          </w:tcPr>
          <w:p w14:paraId="20B0B743"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x, y</w:t>
            </w:r>
          </w:p>
        </w:tc>
        <w:tc>
          <w:tcPr>
            <w:tcW w:w="118" w:type="dxa"/>
            <w:hideMark/>
          </w:tcPr>
          <w:p w14:paraId="367349E6"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484" w:type="dxa"/>
            <w:hideMark/>
          </w:tcPr>
          <w:p w14:paraId="7FE6DE1C"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alți factori de risc decât </w:t>
            </w:r>
            <w:proofErr w:type="spellStart"/>
            <w:r w:rsidRPr="00C26A9B">
              <w:rPr>
                <w:rFonts w:ascii="Times New Roman" w:hAnsi="Times New Roman" w:cs="Times New Roman"/>
                <w:sz w:val="24"/>
                <w:szCs w:val="24"/>
                <w:lang w:val="ro-RO"/>
              </w:rPr>
              <w:t>cs</w:t>
            </w:r>
            <w:r w:rsidRPr="00C26A9B">
              <w:rPr>
                <w:rFonts w:ascii="Times New Roman" w:hAnsi="Times New Roman" w:cs="Times New Roman"/>
                <w:sz w:val="24"/>
                <w:szCs w:val="24"/>
                <w:vertAlign w:val="subscript"/>
                <w:lang w:val="ro-RO"/>
              </w:rPr>
              <w:t>kt</w:t>
            </w:r>
            <w:proofErr w:type="spellEnd"/>
            <w:r w:rsidRPr="00C26A9B">
              <w:rPr>
                <w:rFonts w:ascii="Times New Roman" w:hAnsi="Times New Roman" w:cs="Times New Roman"/>
                <w:sz w:val="24"/>
                <w:szCs w:val="24"/>
                <w:lang w:val="ro-RO"/>
              </w:rPr>
              <w:t> din funcția de evaluare V</w:t>
            </w:r>
            <w:r w:rsidRPr="00C26A9B">
              <w:rPr>
                <w:rFonts w:ascii="Times New Roman" w:hAnsi="Times New Roman" w:cs="Times New Roman"/>
                <w:sz w:val="24"/>
                <w:szCs w:val="24"/>
                <w:vertAlign w:val="subscript"/>
                <w:lang w:val="ro-RO"/>
              </w:rPr>
              <w:t>i</w:t>
            </w:r>
            <w:r w:rsidRPr="00C26A9B">
              <w:rPr>
                <w:rFonts w:ascii="Times New Roman" w:hAnsi="Times New Roman" w:cs="Times New Roman"/>
                <w:sz w:val="24"/>
                <w:szCs w:val="24"/>
                <w:lang w:val="ro-RO"/>
              </w:rPr>
              <w:t>.</w:t>
            </w:r>
          </w:p>
        </w:tc>
      </w:tr>
    </w:tbl>
    <w:p w14:paraId="59A2A906"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204.   Băncile calculează sensibilitățile la riscul de devalorizare a titlurilor de capital delta după cum urmează:</w:t>
      </w:r>
    </w:p>
    <w:p w14:paraId="503B410B"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204.1. sensibilitățile la factorii de risc care constau în prețuri spot ale titlurilor de capital se calculează după cum urmează:</w:t>
      </w:r>
    </w:p>
    <w:p w14:paraId="0C3B1220"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6BAB6203" wp14:editId="000ADE7D">
            <wp:extent cx="3684270" cy="566382"/>
            <wp:effectExtent l="0" t="0" r="0" b="5715"/>
            <wp:docPr id="146" name="Picture 14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mag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95796" cy="568154"/>
                    </a:xfrm>
                    <a:prstGeom prst="rect">
                      <a:avLst/>
                    </a:prstGeom>
                    <a:noFill/>
                    <a:ln>
                      <a:noFill/>
                    </a:ln>
                  </pic:spPr>
                </pic:pic>
              </a:graphicData>
            </a:graphic>
          </wp:inline>
        </w:drawing>
      </w:r>
    </w:p>
    <w:p w14:paraId="513301E8"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tbl>
      <w:tblPr>
        <w:tblW w:w="8461" w:type="dxa"/>
        <w:tblInd w:w="44" w:type="dxa"/>
        <w:tblLayout w:type="fixed"/>
        <w:tblCellMar>
          <w:left w:w="0" w:type="dxa"/>
          <w:right w:w="0" w:type="dxa"/>
        </w:tblCellMar>
        <w:tblLook w:val="04A0" w:firstRow="1" w:lastRow="0" w:firstColumn="1" w:lastColumn="0" w:noHBand="0" w:noVBand="1"/>
      </w:tblPr>
      <w:tblGrid>
        <w:gridCol w:w="284"/>
        <w:gridCol w:w="83"/>
        <w:gridCol w:w="8094"/>
      </w:tblGrid>
      <w:tr w:rsidR="00CB5650" w:rsidRPr="00C26A9B" w14:paraId="17976F81" w14:textId="77777777" w:rsidTr="00CB5650">
        <w:tc>
          <w:tcPr>
            <w:tcW w:w="284" w:type="dxa"/>
            <w:hideMark/>
          </w:tcPr>
          <w:p w14:paraId="2CDD0889" w14:textId="77777777" w:rsidR="00CB5650" w:rsidRPr="00C26A9B" w:rsidRDefault="00CB5650" w:rsidP="00CB5650">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s</w:t>
            </w:r>
            <w:r w:rsidRPr="00C26A9B">
              <w:rPr>
                <w:rFonts w:ascii="Times New Roman" w:hAnsi="Times New Roman" w:cs="Times New Roman"/>
                <w:sz w:val="24"/>
                <w:szCs w:val="24"/>
                <w:vertAlign w:val="subscript"/>
                <w:lang w:val="ro-RO"/>
              </w:rPr>
              <w:t>k</w:t>
            </w:r>
            <w:proofErr w:type="spellEnd"/>
          </w:p>
        </w:tc>
        <w:tc>
          <w:tcPr>
            <w:tcW w:w="83" w:type="dxa"/>
            <w:hideMark/>
          </w:tcPr>
          <w:p w14:paraId="369D2EC9"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094" w:type="dxa"/>
            <w:hideMark/>
          </w:tcPr>
          <w:p w14:paraId="4718A5A4"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sensibilitățile la factorii de risc care constau în prețuri spot ale titlurilor de capital;</w:t>
            </w:r>
          </w:p>
        </w:tc>
      </w:tr>
    </w:tbl>
    <w:p w14:paraId="279D630F" w14:textId="77777777" w:rsidR="00CB5650" w:rsidRPr="00C26A9B" w:rsidRDefault="00CB5650" w:rsidP="00CB5650">
      <w:pPr>
        <w:rPr>
          <w:rFonts w:ascii="Times New Roman" w:hAnsi="Times New Roman" w:cs="Times New Roman"/>
          <w:vanish/>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456"/>
        <w:gridCol w:w="481"/>
        <w:gridCol w:w="9529"/>
      </w:tblGrid>
      <w:tr w:rsidR="00CB5650" w:rsidRPr="00C26A9B" w14:paraId="30A288BC" w14:textId="77777777" w:rsidTr="0003035E">
        <w:tc>
          <w:tcPr>
            <w:tcW w:w="422" w:type="dxa"/>
            <w:hideMark/>
          </w:tcPr>
          <w:p w14:paraId="5BEDFCF5"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k</w:t>
            </w:r>
          </w:p>
        </w:tc>
        <w:tc>
          <w:tcPr>
            <w:tcW w:w="445" w:type="dxa"/>
            <w:hideMark/>
          </w:tcPr>
          <w:p w14:paraId="540E19EB"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822" w:type="dxa"/>
            <w:hideMark/>
          </w:tcPr>
          <w:p w14:paraId="3C05412F"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un anumit titlu de capital;</w:t>
            </w:r>
          </w:p>
        </w:tc>
      </w:tr>
    </w:tbl>
    <w:p w14:paraId="666453E9" w14:textId="77777777" w:rsidR="00CB5650" w:rsidRPr="00C26A9B" w:rsidRDefault="00CB5650" w:rsidP="00CB5650">
      <w:pPr>
        <w:rPr>
          <w:rFonts w:ascii="Times New Roman" w:hAnsi="Times New Roman" w:cs="Times New Roman"/>
          <w:vanish/>
          <w:sz w:val="24"/>
          <w:szCs w:val="24"/>
          <w:lang w:val="ro-RO"/>
        </w:rPr>
      </w:pPr>
    </w:p>
    <w:tbl>
      <w:tblPr>
        <w:tblW w:w="7655" w:type="dxa"/>
        <w:tblLayout w:type="fixed"/>
        <w:tblCellMar>
          <w:left w:w="0" w:type="dxa"/>
          <w:right w:w="0" w:type="dxa"/>
        </w:tblCellMar>
        <w:tblLook w:val="04A0" w:firstRow="1" w:lastRow="0" w:firstColumn="1" w:lastColumn="0" w:noHBand="0" w:noVBand="1"/>
      </w:tblPr>
      <w:tblGrid>
        <w:gridCol w:w="470"/>
        <w:gridCol w:w="119"/>
        <w:gridCol w:w="7066"/>
      </w:tblGrid>
      <w:tr w:rsidR="00CB5650" w:rsidRPr="00C26A9B" w14:paraId="2E9BDB46" w14:textId="77777777" w:rsidTr="00CB5650">
        <w:tc>
          <w:tcPr>
            <w:tcW w:w="470" w:type="dxa"/>
            <w:hideMark/>
          </w:tcPr>
          <w:p w14:paraId="31F3F3A7" w14:textId="77777777" w:rsidR="00CB5650" w:rsidRPr="00C26A9B" w:rsidRDefault="00CB5650" w:rsidP="00CB5650">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EQ</w:t>
            </w:r>
            <w:r w:rsidRPr="00C26A9B">
              <w:rPr>
                <w:rFonts w:ascii="Times New Roman" w:hAnsi="Times New Roman" w:cs="Times New Roman"/>
                <w:sz w:val="24"/>
                <w:szCs w:val="24"/>
                <w:vertAlign w:val="subscript"/>
                <w:lang w:val="ro-RO"/>
              </w:rPr>
              <w:t>k</w:t>
            </w:r>
            <w:proofErr w:type="spellEnd"/>
          </w:p>
        </w:tc>
        <w:tc>
          <w:tcPr>
            <w:tcW w:w="119" w:type="dxa"/>
            <w:hideMark/>
          </w:tcPr>
          <w:p w14:paraId="76D7179F"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7066" w:type="dxa"/>
            <w:hideMark/>
          </w:tcPr>
          <w:p w14:paraId="34B21351"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valoarea prețului spot al titlului de capital respectiv;</w:t>
            </w:r>
          </w:p>
        </w:tc>
      </w:tr>
    </w:tbl>
    <w:p w14:paraId="2C37E5E5" w14:textId="77777777" w:rsidR="00CB5650" w:rsidRPr="00C26A9B" w:rsidRDefault="00CB5650" w:rsidP="00CB5650">
      <w:pPr>
        <w:rPr>
          <w:rFonts w:ascii="Times New Roman" w:hAnsi="Times New Roman" w:cs="Times New Roman"/>
          <w:vanish/>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985"/>
        <w:gridCol w:w="284"/>
        <w:gridCol w:w="9197"/>
      </w:tblGrid>
      <w:tr w:rsidR="00CB5650" w:rsidRPr="00C26A9B" w14:paraId="7998DB2F" w14:textId="77777777" w:rsidTr="0003035E">
        <w:tc>
          <w:tcPr>
            <w:tcW w:w="912" w:type="dxa"/>
            <w:hideMark/>
          </w:tcPr>
          <w:p w14:paraId="777B5762"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V</w:t>
            </w:r>
            <w:r w:rsidRPr="00C26A9B">
              <w:rPr>
                <w:rFonts w:ascii="Times New Roman" w:hAnsi="Times New Roman" w:cs="Times New Roman"/>
                <w:sz w:val="24"/>
                <w:szCs w:val="24"/>
                <w:vertAlign w:val="subscript"/>
                <w:lang w:val="ro-RO"/>
              </w:rPr>
              <w:t>i</w:t>
            </w:r>
            <w:r w:rsidRPr="00C26A9B">
              <w:rPr>
                <w:rFonts w:ascii="Times New Roman" w:hAnsi="Times New Roman" w:cs="Times New Roman"/>
                <w:sz w:val="24"/>
                <w:szCs w:val="24"/>
                <w:lang w:val="ro-RO"/>
              </w:rPr>
              <w:t> (.)</w:t>
            </w:r>
          </w:p>
        </w:tc>
        <w:tc>
          <w:tcPr>
            <w:tcW w:w="263" w:type="dxa"/>
            <w:hideMark/>
          </w:tcPr>
          <w:p w14:paraId="51D43898"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514" w:type="dxa"/>
            <w:hideMark/>
          </w:tcPr>
          <w:p w14:paraId="558C11EF"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funcția de evaluare a instrumentului „i”; și</w:t>
            </w:r>
          </w:p>
        </w:tc>
      </w:tr>
    </w:tbl>
    <w:p w14:paraId="781D8059" w14:textId="77777777" w:rsidR="00CB5650" w:rsidRPr="00C26A9B" w:rsidRDefault="00CB5650" w:rsidP="00CB5650">
      <w:pPr>
        <w:rPr>
          <w:rFonts w:ascii="Times New Roman" w:hAnsi="Times New Roman" w:cs="Times New Roman"/>
          <w:vanish/>
          <w:sz w:val="24"/>
          <w:szCs w:val="24"/>
          <w:lang w:val="ro-RO"/>
        </w:rPr>
      </w:pPr>
    </w:p>
    <w:tbl>
      <w:tblPr>
        <w:tblW w:w="7230" w:type="dxa"/>
        <w:tblLayout w:type="fixed"/>
        <w:tblCellMar>
          <w:left w:w="0" w:type="dxa"/>
          <w:right w:w="0" w:type="dxa"/>
        </w:tblCellMar>
        <w:tblLook w:val="04A0" w:firstRow="1" w:lastRow="0" w:firstColumn="1" w:lastColumn="0" w:noHBand="0" w:noVBand="1"/>
      </w:tblPr>
      <w:tblGrid>
        <w:gridCol w:w="470"/>
        <w:gridCol w:w="117"/>
        <w:gridCol w:w="6643"/>
      </w:tblGrid>
      <w:tr w:rsidR="00CB5650" w:rsidRPr="00C26A9B" w14:paraId="2A217816" w14:textId="77777777" w:rsidTr="00CB5650">
        <w:tc>
          <w:tcPr>
            <w:tcW w:w="470" w:type="dxa"/>
            <w:hideMark/>
          </w:tcPr>
          <w:p w14:paraId="1ED1D44A"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x, y</w:t>
            </w:r>
          </w:p>
        </w:tc>
        <w:tc>
          <w:tcPr>
            <w:tcW w:w="117" w:type="dxa"/>
            <w:hideMark/>
          </w:tcPr>
          <w:p w14:paraId="72C9DB65"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6643" w:type="dxa"/>
            <w:hideMark/>
          </w:tcPr>
          <w:p w14:paraId="44F29A97"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alți factori de risc decât </w:t>
            </w:r>
            <w:proofErr w:type="spellStart"/>
            <w:r w:rsidRPr="00C26A9B">
              <w:rPr>
                <w:rFonts w:ascii="Times New Roman" w:hAnsi="Times New Roman" w:cs="Times New Roman"/>
                <w:sz w:val="24"/>
                <w:szCs w:val="24"/>
                <w:lang w:val="ro-RO"/>
              </w:rPr>
              <w:t>EQ</w:t>
            </w:r>
            <w:r w:rsidRPr="00C26A9B">
              <w:rPr>
                <w:rFonts w:ascii="Times New Roman" w:hAnsi="Times New Roman" w:cs="Times New Roman"/>
                <w:sz w:val="24"/>
                <w:szCs w:val="24"/>
                <w:vertAlign w:val="subscript"/>
                <w:lang w:val="ro-RO"/>
              </w:rPr>
              <w:t>k</w:t>
            </w:r>
            <w:proofErr w:type="spellEnd"/>
            <w:r w:rsidRPr="00C26A9B">
              <w:rPr>
                <w:rFonts w:ascii="Times New Roman" w:hAnsi="Times New Roman" w:cs="Times New Roman"/>
                <w:sz w:val="24"/>
                <w:szCs w:val="24"/>
                <w:lang w:val="ro-RO"/>
              </w:rPr>
              <w:t> din funcția de evaluare V</w:t>
            </w:r>
            <w:r w:rsidRPr="00C26A9B">
              <w:rPr>
                <w:rFonts w:ascii="Times New Roman" w:hAnsi="Times New Roman" w:cs="Times New Roman"/>
                <w:sz w:val="24"/>
                <w:szCs w:val="24"/>
                <w:vertAlign w:val="subscript"/>
                <w:lang w:val="ro-RO"/>
              </w:rPr>
              <w:t>i</w:t>
            </w:r>
            <w:r w:rsidRPr="00C26A9B">
              <w:rPr>
                <w:rFonts w:ascii="Times New Roman" w:hAnsi="Times New Roman" w:cs="Times New Roman"/>
                <w:sz w:val="24"/>
                <w:szCs w:val="24"/>
                <w:lang w:val="ro-RO"/>
              </w:rPr>
              <w:t>;</w:t>
            </w:r>
          </w:p>
        </w:tc>
      </w:tr>
    </w:tbl>
    <w:p w14:paraId="6108A6AD"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204.2. sensibilitățile la factori de risc care constau în rate </w:t>
      </w:r>
      <w:proofErr w:type="spellStart"/>
      <w:r w:rsidRPr="00C26A9B">
        <w:rPr>
          <w:rFonts w:ascii="Times New Roman" w:hAnsi="Times New Roman" w:cs="Times New Roman"/>
          <w:sz w:val="24"/>
          <w:szCs w:val="24"/>
          <w:lang w:val="ro-RO"/>
        </w:rPr>
        <w:t>repo</w:t>
      </w:r>
      <w:proofErr w:type="spellEnd"/>
      <w:r w:rsidRPr="00C26A9B">
        <w:rPr>
          <w:rFonts w:ascii="Times New Roman" w:hAnsi="Times New Roman" w:cs="Times New Roman"/>
          <w:sz w:val="24"/>
          <w:szCs w:val="24"/>
          <w:lang w:val="ro-RO"/>
        </w:rPr>
        <w:t xml:space="preserve"> ale titlurilor de capital se calculează după cum urmează:</w:t>
      </w:r>
    </w:p>
    <w:p w14:paraId="23EF2E04"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1C5B8EFB" wp14:editId="7F88E588">
            <wp:extent cx="3055620" cy="395605"/>
            <wp:effectExtent l="0" t="0" r="0" b="4445"/>
            <wp:docPr id="147" name="Picture 14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imag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55620" cy="395605"/>
                    </a:xfrm>
                    <a:prstGeom prst="rect">
                      <a:avLst/>
                    </a:prstGeom>
                    <a:noFill/>
                    <a:ln>
                      <a:noFill/>
                    </a:ln>
                  </pic:spPr>
                </pic:pic>
              </a:graphicData>
            </a:graphic>
          </wp:inline>
        </w:drawing>
      </w:r>
    </w:p>
    <w:p w14:paraId="29C509E6"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tbl>
      <w:tblPr>
        <w:tblW w:w="8647" w:type="dxa"/>
        <w:tblLayout w:type="fixed"/>
        <w:tblCellMar>
          <w:left w:w="0" w:type="dxa"/>
          <w:right w:w="0" w:type="dxa"/>
        </w:tblCellMar>
        <w:tblLook w:val="04A0" w:firstRow="1" w:lastRow="0" w:firstColumn="1" w:lastColumn="0" w:noHBand="0" w:noVBand="1"/>
      </w:tblPr>
      <w:tblGrid>
        <w:gridCol w:w="754"/>
        <w:gridCol w:w="82"/>
        <w:gridCol w:w="7811"/>
      </w:tblGrid>
      <w:tr w:rsidR="00CB5650" w:rsidRPr="00C26A9B" w14:paraId="0B87B266" w14:textId="77777777" w:rsidTr="00CB5650">
        <w:tc>
          <w:tcPr>
            <w:tcW w:w="754" w:type="dxa"/>
            <w:hideMark/>
          </w:tcPr>
          <w:p w14:paraId="07198A1C"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41DA9502" wp14:editId="79933847">
                  <wp:extent cx="393700" cy="323850"/>
                  <wp:effectExtent l="0" t="0" r="6350" b="0"/>
                  <wp:docPr id="148" name="Picture 14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imag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3700" cy="323850"/>
                          </a:xfrm>
                          <a:prstGeom prst="rect">
                            <a:avLst/>
                          </a:prstGeom>
                          <a:noFill/>
                          <a:ln>
                            <a:noFill/>
                          </a:ln>
                        </pic:spPr>
                      </pic:pic>
                    </a:graphicData>
                  </a:graphic>
                </wp:inline>
              </w:drawing>
            </w:r>
          </w:p>
        </w:tc>
        <w:tc>
          <w:tcPr>
            <w:tcW w:w="82" w:type="dxa"/>
            <w:hideMark/>
          </w:tcPr>
          <w:p w14:paraId="79D40792"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7811" w:type="dxa"/>
            <w:hideMark/>
          </w:tcPr>
          <w:p w14:paraId="56335D1B" w14:textId="19E3FA88" w:rsidR="00CB5650" w:rsidRPr="00C26A9B" w:rsidRDefault="00702CE2"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 </w:t>
            </w:r>
            <w:r w:rsidR="00CB5650" w:rsidRPr="00C26A9B">
              <w:rPr>
                <w:rFonts w:ascii="Times New Roman" w:hAnsi="Times New Roman" w:cs="Times New Roman"/>
                <w:sz w:val="24"/>
                <w:szCs w:val="24"/>
                <w:lang w:val="ro-RO"/>
              </w:rPr>
              <w:t xml:space="preserve">sensibilitățile la factori de risc care constau în rate </w:t>
            </w:r>
            <w:proofErr w:type="spellStart"/>
            <w:r w:rsidR="00CB5650" w:rsidRPr="00C26A9B">
              <w:rPr>
                <w:rFonts w:ascii="Times New Roman" w:hAnsi="Times New Roman" w:cs="Times New Roman"/>
                <w:sz w:val="24"/>
                <w:szCs w:val="24"/>
                <w:lang w:val="ro-RO"/>
              </w:rPr>
              <w:t>repo</w:t>
            </w:r>
            <w:proofErr w:type="spellEnd"/>
            <w:r w:rsidR="00CB5650" w:rsidRPr="00C26A9B">
              <w:rPr>
                <w:rFonts w:ascii="Times New Roman" w:hAnsi="Times New Roman" w:cs="Times New Roman"/>
                <w:sz w:val="24"/>
                <w:szCs w:val="24"/>
                <w:lang w:val="ro-RO"/>
              </w:rPr>
              <w:t xml:space="preserve"> ale titlurilor de capital;</w:t>
            </w:r>
          </w:p>
        </w:tc>
      </w:tr>
    </w:tbl>
    <w:p w14:paraId="6FD3A182" w14:textId="77777777" w:rsidR="00CB5650" w:rsidRPr="00C26A9B" w:rsidRDefault="00CB5650" w:rsidP="00CB5650">
      <w:pPr>
        <w:rPr>
          <w:rFonts w:ascii="Times New Roman" w:hAnsi="Times New Roman" w:cs="Times New Roman"/>
          <w:vanish/>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292"/>
        <w:gridCol w:w="308"/>
        <w:gridCol w:w="9866"/>
      </w:tblGrid>
      <w:tr w:rsidR="00CB5650" w:rsidRPr="00C26A9B" w14:paraId="1B4E080D" w14:textId="77777777" w:rsidTr="0003035E">
        <w:tc>
          <w:tcPr>
            <w:tcW w:w="270" w:type="dxa"/>
            <w:hideMark/>
          </w:tcPr>
          <w:p w14:paraId="24E7E9BF"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k</w:t>
            </w:r>
          </w:p>
        </w:tc>
        <w:tc>
          <w:tcPr>
            <w:tcW w:w="285" w:type="dxa"/>
            <w:hideMark/>
          </w:tcPr>
          <w:p w14:paraId="6FFEFF0E"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9134" w:type="dxa"/>
            <w:hideMark/>
          </w:tcPr>
          <w:p w14:paraId="248B9E8B"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indicele care desemnează titlul de capital;</w:t>
            </w:r>
          </w:p>
        </w:tc>
      </w:tr>
    </w:tbl>
    <w:p w14:paraId="1B978E20" w14:textId="77777777" w:rsidR="00CB5650" w:rsidRPr="00C26A9B" w:rsidRDefault="00CB5650" w:rsidP="00CB5650">
      <w:pPr>
        <w:rPr>
          <w:rFonts w:ascii="Times New Roman" w:hAnsi="Times New Roman" w:cs="Times New Roman"/>
          <w:vanish/>
          <w:sz w:val="24"/>
          <w:szCs w:val="24"/>
          <w:lang w:val="ro-RO"/>
        </w:rPr>
      </w:pPr>
    </w:p>
    <w:tbl>
      <w:tblPr>
        <w:tblW w:w="8364" w:type="dxa"/>
        <w:tblLayout w:type="fixed"/>
        <w:tblCellMar>
          <w:left w:w="0" w:type="dxa"/>
          <w:right w:w="0" w:type="dxa"/>
        </w:tblCellMar>
        <w:tblLook w:val="04A0" w:firstRow="1" w:lastRow="0" w:firstColumn="1" w:lastColumn="0" w:noHBand="0" w:noVBand="1"/>
      </w:tblPr>
      <w:tblGrid>
        <w:gridCol w:w="612"/>
        <w:gridCol w:w="76"/>
        <w:gridCol w:w="7676"/>
      </w:tblGrid>
      <w:tr w:rsidR="00CB5650" w:rsidRPr="00C26A9B" w14:paraId="428513F7" w14:textId="77777777" w:rsidTr="00CB5650">
        <w:tc>
          <w:tcPr>
            <w:tcW w:w="612" w:type="dxa"/>
            <w:hideMark/>
          </w:tcPr>
          <w:p w14:paraId="20342C55"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1FE2F1BB" wp14:editId="6060692D">
                  <wp:extent cx="361950" cy="279400"/>
                  <wp:effectExtent l="0" t="0" r="0" b="6350"/>
                  <wp:docPr id="149" name="Picture 14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imag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1950" cy="279400"/>
                          </a:xfrm>
                          <a:prstGeom prst="rect">
                            <a:avLst/>
                          </a:prstGeom>
                          <a:noFill/>
                          <a:ln>
                            <a:noFill/>
                          </a:ln>
                        </pic:spPr>
                      </pic:pic>
                    </a:graphicData>
                  </a:graphic>
                </wp:inline>
              </w:drawing>
            </w:r>
          </w:p>
        </w:tc>
        <w:tc>
          <w:tcPr>
            <w:tcW w:w="76" w:type="dxa"/>
            <w:hideMark/>
          </w:tcPr>
          <w:p w14:paraId="0C957008"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7676" w:type="dxa"/>
            <w:hideMark/>
          </w:tcPr>
          <w:p w14:paraId="5BF78A64" w14:textId="5A0F0587" w:rsidR="00CB5650" w:rsidRPr="00C26A9B" w:rsidRDefault="00702CE2"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 </w:t>
            </w:r>
            <w:r w:rsidR="00CB5650" w:rsidRPr="00C26A9B">
              <w:rPr>
                <w:rFonts w:ascii="Times New Roman" w:hAnsi="Times New Roman" w:cs="Times New Roman"/>
                <w:sz w:val="24"/>
                <w:szCs w:val="24"/>
                <w:lang w:val="ro-RO"/>
              </w:rPr>
              <w:t xml:space="preserve">un vector din m componente care reprezintă structura termenului </w:t>
            </w:r>
            <w:proofErr w:type="spellStart"/>
            <w:r w:rsidR="00CB5650" w:rsidRPr="00C26A9B">
              <w:rPr>
                <w:rFonts w:ascii="Times New Roman" w:hAnsi="Times New Roman" w:cs="Times New Roman"/>
                <w:sz w:val="24"/>
                <w:szCs w:val="24"/>
                <w:lang w:val="ro-RO"/>
              </w:rPr>
              <w:t>repo</w:t>
            </w:r>
            <w:proofErr w:type="spellEnd"/>
            <w:r w:rsidR="00CB5650" w:rsidRPr="00C26A9B">
              <w:rPr>
                <w:rFonts w:ascii="Times New Roman" w:hAnsi="Times New Roman" w:cs="Times New Roman"/>
                <w:sz w:val="24"/>
                <w:szCs w:val="24"/>
                <w:lang w:val="ro-RO"/>
              </w:rPr>
              <w:t xml:space="preserve"> pentru un anumit titlu de capital k, m fiind egal cu numărul de rate </w:t>
            </w:r>
            <w:proofErr w:type="spellStart"/>
            <w:r w:rsidR="00CB5650" w:rsidRPr="00C26A9B">
              <w:rPr>
                <w:rFonts w:ascii="Times New Roman" w:hAnsi="Times New Roman" w:cs="Times New Roman"/>
                <w:sz w:val="24"/>
                <w:szCs w:val="24"/>
                <w:lang w:val="ro-RO"/>
              </w:rPr>
              <w:t>repo</w:t>
            </w:r>
            <w:proofErr w:type="spellEnd"/>
            <w:r w:rsidR="00CB5650" w:rsidRPr="00C26A9B">
              <w:rPr>
                <w:rFonts w:ascii="Times New Roman" w:hAnsi="Times New Roman" w:cs="Times New Roman"/>
                <w:sz w:val="24"/>
                <w:szCs w:val="24"/>
                <w:lang w:val="ro-RO"/>
              </w:rPr>
              <w:t xml:space="preserve"> care corespund diferitelor scadențe utilizate în modelul de evaluare al instrumentului i;</w:t>
            </w:r>
          </w:p>
        </w:tc>
      </w:tr>
    </w:tbl>
    <w:p w14:paraId="065BCB51" w14:textId="77777777" w:rsidR="00CB5650" w:rsidRPr="00C26A9B" w:rsidRDefault="00CB5650" w:rsidP="00CB5650">
      <w:pPr>
        <w:rPr>
          <w:rFonts w:ascii="Times New Roman" w:hAnsi="Times New Roman" w:cs="Times New Roman"/>
          <w:vanish/>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1237"/>
        <w:gridCol w:w="296"/>
        <w:gridCol w:w="8933"/>
      </w:tblGrid>
      <w:tr w:rsidR="00CB5650" w:rsidRPr="00C26A9B" w14:paraId="1D223F1B" w14:textId="77777777" w:rsidTr="0003035E">
        <w:tc>
          <w:tcPr>
            <w:tcW w:w="1145" w:type="dxa"/>
            <w:hideMark/>
          </w:tcPr>
          <w:p w14:paraId="0A939B13"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6DAFBFCF" wp14:editId="0A5E4796">
                  <wp:extent cx="355600" cy="336550"/>
                  <wp:effectExtent l="0" t="0" r="6350" b="6350"/>
                  <wp:docPr id="150" name="Picture 15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imag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55600" cy="336550"/>
                          </a:xfrm>
                          <a:prstGeom prst="rect">
                            <a:avLst/>
                          </a:prstGeom>
                          <a:noFill/>
                          <a:ln>
                            <a:noFill/>
                          </a:ln>
                        </pic:spPr>
                      </pic:pic>
                    </a:graphicData>
                  </a:graphic>
                </wp:inline>
              </w:drawing>
            </w:r>
          </w:p>
        </w:tc>
        <w:tc>
          <w:tcPr>
            <w:tcW w:w="274" w:type="dxa"/>
            <w:hideMark/>
          </w:tcPr>
          <w:p w14:paraId="5BB0E7AA"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270" w:type="dxa"/>
            <w:hideMark/>
          </w:tcPr>
          <w:p w14:paraId="2CB454B4"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matricea unitară de dimensiuni (1 · m);</w:t>
            </w:r>
          </w:p>
        </w:tc>
      </w:tr>
    </w:tbl>
    <w:p w14:paraId="45DBADC0" w14:textId="77777777" w:rsidR="00CB5650" w:rsidRPr="00C26A9B" w:rsidRDefault="00CB5650" w:rsidP="00CB5650">
      <w:pPr>
        <w:rPr>
          <w:rFonts w:ascii="Times New Roman" w:hAnsi="Times New Roman" w:cs="Times New Roman"/>
          <w:vanish/>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985"/>
        <w:gridCol w:w="284"/>
        <w:gridCol w:w="9197"/>
      </w:tblGrid>
      <w:tr w:rsidR="00CB5650" w:rsidRPr="00C26A9B" w14:paraId="42AFE2C1" w14:textId="77777777" w:rsidTr="0003035E">
        <w:tc>
          <w:tcPr>
            <w:tcW w:w="912" w:type="dxa"/>
            <w:hideMark/>
          </w:tcPr>
          <w:p w14:paraId="17A56868"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V</w:t>
            </w:r>
            <w:r w:rsidRPr="00C26A9B">
              <w:rPr>
                <w:rFonts w:ascii="Times New Roman" w:hAnsi="Times New Roman" w:cs="Times New Roman"/>
                <w:sz w:val="24"/>
                <w:szCs w:val="24"/>
                <w:vertAlign w:val="subscript"/>
                <w:lang w:val="ro-RO"/>
              </w:rPr>
              <w:t>i</w:t>
            </w:r>
            <w:r w:rsidRPr="00C26A9B">
              <w:rPr>
                <w:rFonts w:ascii="Times New Roman" w:hAnsi="Times New Roman" w:cs="Times New Roman"/>
                <w:sz w:val="24"/>
                <w:szCs w:val="24"/>
                <w:lang w:val="ro-RO"/>
              </w:rPr>
              <w:t> (.)</w:t>
            </w:r>
          </w:p>
        </w:tc>
        <w:tc>
          <w:tcPr>
            <w:tcW w:w="263" w:type="dxa"/>
            <w:hideMark/>
          </w:tcPr>
          <w:p w14:paraId="3FA32676"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514" w:type="dxa"/>
            <w:hideMark/>
          </w:tcPr>
          <w:p w14:paraId="71075E0C"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funcția de evaluare a instrumentului „i”; și</w:t>
            </w:r>
          </w:p>
        </w:tc>
      </w:tr>
    </w:tbl>
    <w:p w14:paraId="709ACB45" w14:textId="77777777" w:rsidR="00CB5650" w:rsidRPr="00C26A9B" w:rsidRDefault="00CB5650" w:rsidP="00CB5650">
      <w:pPr>
        <w:rPr>
          <w:rFonts w:ascii="Times New Roman" w:hAnsi="Times New Roman" w:cs="Times New Roman"/>
          <w:vanish/>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940"/>
        <w:gridCol w:w="377"/>
        <w:gridCol w:w="9149"/>
      </w:tblGrid>
      <w:tr w:rsidR="00CB5650" w:rsidRPr="00C26A9B" w14:paraId="6E87D2B5" w14:textId="77777777" w:rsidTr="00CE3013">
        <w:tc>
          <w:tcPr>
            <w:tcW w:w="840" w:type="dxa"/>
            <w:hideMark/>
          </w:tcPr>
          <w:p w14:paraId="7D750901"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y, z</w:t>
            </w:r>
          </w:p>
        </w:tc>
        <w:tc>
          <w:tcPr>
            <w:tcW w:w="337" w:type="dxa"/>
            <w:hideMark/>
          </w:tcPr>
          <w:p w14:paraId="0DE75DC8" w14:textId="77777777" w:rsidR="00CB5650"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178" w:type="dxa"/>
            <w:hideMark/>
          </w:tcPr>
          <w:p w14:paraId="5B6CC69A" w14:textId="5E3F9EFE" w:rsidR="00CE3013" w:rsidRPr="00C26A9B" w:rsidRDefault="00CB5650"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alți factori de risc decât</w:t>
            </w:r>
            <w:r w:rsidRPr="00C26A9B">
              <w:rPr>
                <w:rFonts w:ascii="Times New Roman" w:hAnsi="Times New Roman" w:cs="Times New Roman"/>
                <w:noProof/>
                <w:sz w:val="24"/>
                <w:szCs w:val="24"/>
                <w:lang w:val="ro-RO"/>
              </w:rPr>
              <w:drawing>
                <wp:inline distT="0" distB="0" distL="0" distR="0" wp14:anchorId="5DED01CF" wp14:editId="686B4481">
                  <wp:extent cx="361950" cy="279400"/>
                  <wp:effectExtent l="0" t="0" r="0" b="6350"/>
                  <wp:docPr id="151" name="Picture 15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imag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1950" cy="279400"/>
                          </a:xfrm>
                          <a:prstGeom prst="rect">
                            <a:avLst/>
                          </a:prstGeom>
                          <a:noFill/>
                          <a:ln>
                            <a:noFill/>
                          </a:ln>
                        </pic:spPr>
                      </pic:pic>
                    </a:graphicData>
                  </a:graphic>
                </wp:inline>
              </w:drawing>
            </w:r>
            <w:r w:rsidRPr="00C26A9B">
              <w:rPr>
                <w:rFonts w:ascii="Times New Roman" w:hAnsi="Times New Roman" w:cs="Times New Roman"/>
                <w:sz w:val="24"/>
                <w:szCs w:val="24"/>
                <w:lang w:val="ro-RO"/>
              </w:rPr>
              <w:t> din funcția de evaluare V</w:t>
            </w:r>
            <w:r w:rsidRPr="00C26A9B">
              <w:rPr>
                <w:rFonts w:ascii="Times New Roman" w:hAnsi="Times New Roman" w:cs="Times New Roman"/>
                <w:sz w:val="24"/>
                <w:szCs w:val="24"/>
                <w:vertAlign w:val="subscript"/>
                <w:lang w:val="ro-RO"/>
              </w:rPr>
              <w:t>i</w:t>
            </w:r>
            <w:r w:rsidRPr="00C26A9B">
              <w:rPr>
                <w:rFonts w:ascii="Times New Roman" w:hAnsi="Times New Roman" w:cs="Times New Roman"/>
                <w:sz w:val="24"/>
                <w:szCs w:val="24"/>
                <w:lang w:val="ro-RO"/>
              </w:rPr>
              <w:t>.</w:t>
            </w:r>
          </w:p>
          <w:p w14:paraId="00058339" w14:textId="19599746" w:rsidR="00CE3013" w:rsidRPr="00C26A9B" w:rsidRDefault="00CE3013" w:rsidP="00CB5650">
            <w:pPr>
              <w:rPr>
                <w:rFonts w:ascii="Times New Roman" w:hAnsi="Times New Roman" w:cs="Times New Roman"/>
                <w:sz w:val="24"/>
                <w:szCs w:val="24"/>
                <w:lang w:val="ro-RO"/>
              </w:rPr>
            </w:pPr>
          </w:p>
        </w:tc>
      </w:tr>
    </w:tbl>
    <w:p w14:paraId="799652FC" w14:textId="77777777" w:rsidR="00CE3013" w:rsidRPr="00C26A9B" w:rsidRDefault="00CE3013" w:rsidP="00CE3013">
      <w:pPr>
        <w:rPr>
          <w:rFonts w:ascii="Times New Roman" w:hAnsi="Times New Roman" w:cs="Times New Roman"/>
          <w:sz w:val="24"/>
          <w:szCs w:val="24"/>
          <w:lang w:val="ro-RO"/>
        </w:rPr>
      </w:pPr>
      <w:r w:rsidRPr="00C26A9B">
        <w:rPr>
          <w:rFonts w:ascii="Times New Roman" w:hAnsi="Times New Roman" w:cs="Times New Roman"/>
          <w:sz w:val="24"/>
          <w:szCs w:val="24"/>
          <w:lang w:val="ro-RO"/>
        </w:rPr>
        <w:t>205.  Băncile calculează sensibilitățile la riscul de marfă delta pentru fiecare factor de risc după cum urmează:</w:t>
      </w:r>
    </w:p>
    <w:p w14:paraId="16FA7447" w14:textId="77777777" w:rsidR="00CE3013" w:rsidRPr="00C26A9B" w:rsidRDefault="00CE3013" w:rsidP="00CE3013">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lastRenderedPageBreak/>
        <w:drawing>
          <wp:inline distT="0" distB="0" distL="0" distR="0" wp14:anchorId="166F0B50" wp14:editId="4317C61E">
            <wp:extent cx="3336290" cy="539086"/>
            <wp:effectExtent l="0" t="0" r="0" b="0"/>
            <wp:docPr id="152" name="Picture 15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imag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56593" cy="542367"/>
                    </a:xfrm>
                    <a:prstGeom prst="rect">
                      <a:avLst/>
                    </a:prstGeom>
                    <a:noFill/>
                    <a:ln>
                      <a:noFill/>
                    </a:ln>
                  </pic:spPr>
                </pic:pic>
              </a:graphicData>
            </a:graphic>
          </wp:inline>
        </w:drawing>
      </w:r>
    </w:p>
    <w:p w14:paraId="214B7C78" w14:textId="77777777" w:rsidR="00CE3013" w:rsidRPr="00C26A9B" w:rsidRDefault="00CE3013" w:rsidP="00CE3013">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tbl>
      <w:tblPr>
        <w:tblW w:w="5000" w:type="pct"/>
        <w:tblLayout w:type="fixed"/>
        <w:tblCellMar>
          <w:left w:w="0" w:type="dxa"/>
          <w:right w:w="0" w:type="dxa"/>
        </w:tblCellMar>
        <w:tblLook w:val="04A0" w:firstRow="1" w:lastRow="0" w:firstColumn="1" w:lastColumn="0" w:noHBand="0" w:noVBand="1"/>
      </w:tblPr>
      <w:tblGrid>
        <w:gridCol w:w="408"/>
        <w:gridCol w:w="337"/>
        <w:gridCol w:w="9721"/>
      </w:tblGrid>
      <w:tr w:rsidR="00CE3013" w:rsidRPr="00C26A9B" w14:paraId="1ABA2AF0" w14:textId="77777777" w:rsidTr="0003035E">
        <w:tc>
          <w:tcPr>
            <w:tcW w:w="378" w:type="dxa"/>
            <w:hideMark/>
          </w:tcPr>
          <w:p w14:paraId="67F2D5AB" w14:textId="77777777" w:rsidR="00CE3013" w:rsidRPr="00C26A9B" w:rsidRDefault="00CE3013" w:rsidP="00CE3013">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s</w:t>
            </w:r>
            <w:r w:rsidRPr="00C26A9B">
              <w:rPr>
                <w:rFonts w:ascii="Times New Roman" w:hAnsi="Times New Roman" w:cs="Times New Roman"/>
                <w:sz w:val="24"/>
                <w:szCs w:val="24"/>
                <w:vertAlign w:val="subscript"/>
                <w:lang w:val="ro-RO"/>
              </w:rPr>
              <w:t>k</w:t>
            </w:r>
            <w:proofErr w:type="spellEnd"/>
          </w:p>
        </w:tc>
        <w:tc>
          <w:tcPr>
            <w:tcW w:w="312" w:type="dxa"/>
            <w:hideMark/>
          </w:tcPr>
          <w:p w14:paraId="69FBE54C" w14:textId="77777777" w:rsidR="00CE3013" w:rsidRPr="00C26A9B" w:rsidRDefault="00CE3013" w:rsidP="00CE3013">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999" w:type="dxa"/>
            <w:hideMark/>
          </w:tcPr>
          <w:p w14:paraId="7F988F30" w14:textId="77777777" w:rsidR="00CE3013" w:rsidRPr="00C26A9B" w:rsidRDefault="00CE3013" w:rsidP="00CE3013">
            <w:pPr>
              <w:rPr>
                <w:rFonts w:ascii="Times New Roman" w:hAnsi="Times New Roman" w:cs="Times New Roman"/>
                <w:sz w:val="24"/>
                <w:szCs w:val="24"/>
                <w:lang w:val="ro-RO"/>
              </w:rPr>
            </w:pPr>
            <w:r w:rsidRPr="00C26A9B">
              <w:rPr>
                <w:rFonts w:ascii="Times New Roman" w:hAnsi="Times New Roman" w:cs="Times New Roman"/>
                <w:sz w:val="24"/>
                <w:szCs w:val="24"/>
                <w:lang w:val="ro-RO"/>
              </w:rPr>
              <w:t>sensibilitățile la riscul de marfă delta;</w:t>
            </w:r>
          </w:p>
        </w:tc>
      </w:tr>
    </w:tbl>
    <w:p w14:paraId="730DEE75" w14:textId="77777777" w:rsidR="00CE3013" w:rsidRPr="00C26A9B" w:rsidRDefault="00CE3013" w:rsidP="00CE3013">
      <w:pPr>
        <w:rPr>
          <w:rFonts w:ascii="Times New Roman" w:hAnsi="Times New Roman" w:cs="Times New Roman"/>
          <w:vanish/>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397"/>
        <w:gridCol w:w="419"/>
        <w:gridCol w:w="9650"/>
      </w:tblGrid>
      <w:tr w:rsidR="00CE3013" w:rsidRPr="00C26A9B" w14:paraId="7ECECFFE" w14:textId="77777777" w:rsidTr="0003035E">
        <w:tc>
          <w:tcPr>
            <w:tcW w:w="367" w:type="dxa"/>
            <w:hideMark/>
          </w:tcPr>
          <w:p w14:paraId="78820453" w14:textId="77777777" w:rsidR="00CE3013" w:rsidRPr="00C26A9B" w:rsidRDefault="00CE3013" w:rsidP="00CE3013">
            <w:pPr>
              <w:rPr>
                <w:rFonts w:ascii="Times New Roman" w:hAnsi="Times New Roman" w:cs="Times New Roman"/>
                <w:sz w:val="24"/>
                <w:szCs w:val="24"/>
                <w:lang w:val="ro-RO"/>
              </w:rPr>
            </w:pPr>
            <w:r w:rsidRPr="00C26A9B">
              <w:rPr>
                <w:rFonts w:ascii="Times New Roman" w:hAnsi="Times New Roman" w:cs="Times New Roman"/>
                <w:sz w:val="24"/>
                <w:szCs w:val="24"/>
                <w:lang w:val="ro-RO"/>
              </w:rPr>
              <w:t>k</w:t>
            </w:r>
          </w:p>
        </w:tc>
        <w:tc>
          <w:tcPr>
            <w:tcW w:w="388" w:type="dxa"/>
            <w:hideMark/>
          </w:tcPr>
          <w:p w14:paraId="2EECCDE1" w14:textId="77777777" w:rsidR="00CE3013" w:rsidRPr="00C26A9B" w:rsidRDefault="00CE3013" w:rsidP="00CE3013">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934" w:type="dxa"/>
            <w:hideMark/>
          </w:tcPr>
          <w:p w14:paraId="4DA2EF9A" w14:textId="77777777" w:rsidR="00CE3013" w:rsidRPr="00C26A9B" w:rsidRDefault="00CE3013" w:rsidP="00CE3013">
            <w:pPr>
              <w:rPr>
                <w:rFonts w:ascii="Times New Roman" w:hAnsi="Times New Roman" w:cs="Times New Roman"/>
                <w:sz w:val="24"/>
                <w:szCs w:val="24"/>
                <w:lang w:val="ro-RO"/>
              </w:rPr>
            </w:pPr>
            <w:r w:rsidRPr="00C26A9B">
              <w:rPr>
                <w:rFonts w:ascii="Times New Roman" w:hAnsi="Times New Roman" w:cs="Times New Roman"/>
                <w:sz w:val="24"/>
                <w:szCs w:val="24"/>
                <w:lang w:val="ro-RO"/>
              </w:rPr>
              <w:t>un factor de risc de marfă dat;</w:t>
            </w:r>
          </w:p>
        </w:tc>
      </w:tr>
    </w:tbl>
    <w:p w14:paraId="5F0E3670" w14:textId="77777777" w:rsidR="00CE3013" w:rsidRPr="00C26A9B" w:rsidRDefault="00CE3013" w:rsidP="00CE3013">
      <w:pPr>
        <w:rPr>
          <w:rFonts w:ascii="Times New Roman" w:hAnsi="Times New Roman" w:cs="Times New Roman"/>
          <w:vanish/>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526"/>
        <w:gridCol w:w="100"/>
        <w:gridCol w:w="360"/>
        <w:gridCol w:w="285"/>
        <w:gridCol w:w="68"/>
        <w:gridCol w:w="378"/>
        <w:gridCol w:w="7798"/>
        <w:gridCol w:w="951"/>
      </w:tblGrid>
      <w:tr w:rsidR="00CE3013" w:rsidRPr="00C26A9B" w14:paraId="1659694D" w14:textId="77777777" w:rsidTr="00CE3013">
        <w:tc>
          <w:tcPr>
            <w:tcW w:w="1197" w:type="dxa"/>
            <w:gridSpan w:val="5"/>
            <w:hideMark/>
          </w:tcPr>
          <w:p w14:paraId="3F4B4792" w14:textId="77777777" w:rsidR="00CE3013" w:rsidRPr="00C26A9B" w:rsidRDefault="00CE3013" w:rsidP="00CE3013">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CTY</w:t>
            </w:r>
            <w:r w:rsidRPr="00C26A9B">
              <w:rPr>
                <w:rFonts w:ascii="Times New Roman" w:hAnsi="Times New Roman" w:cs="Times New Roman"/>
                <w:sz w:val="24"/>
                <w:szCs w:val="24"/>
                <w:vertAlign w:val="subscript"/>
                <w:lang w:val="ro-RO"/>
              </w:rPr>
              <w:t>k</w:t>
            </w:r>
            <w:proofErr w:type="spellEnd"/>
          </w:p>
        </w:tc>
        <w:tc>
          <w:tcPr>
            <w:tcW w:w="338" w:type="dxa"/>
            <w:hideMark/>
          </w:tcPr>
          <w:p w14:paraId="4605808F" w14:textId="77777777" w:rsidR="00CE3013" w:rsidRPr="00C26A9B" w:rsidRDefault="00CE3013" w:rsidP="00CE3013">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7820" w:type="dxa"/>
            <w:gridSpan w:val="2"/>
            <w:hideMark/>
          </w:tcPr>
          <w:p w14:paraId="5C21C397" w14:textId="77777777" w:rsidR="00CE3013" w:rsidRPr="00C26A9B" w:rsidRDefault="00CE3013" w:rsidP="00CE3013">
            <w:pPr>
              <w:rPr>
                <w:rFonts w:ascii="Times New Roman" w:hAnsi="Times New Roman" w:cs="Times New Roman"/>
                <w:sz w:val="24"/>
                <w:szCs w:val="24"/>
                <w:lang w:val="ro-RO"/>
              </w:rPr>
            </w:pPr>
            <w:r w:rsidRPr="00C26A9B">
              <w:rPr>
                <w:rFonts w:ascii="Times New Roman" w:hAnsi="Times New Roman" w:cs="Times New Roman"/>
                <w:sz w:val="24"/>
                <w:szCs w:val="24"/>
                <w:lang w:val="ro-RO"/>
              </w:rPr>
              <w:t>valoarea factorului de risc „k”;</w:t>
            </w:r>
          </w:p>
        </w:tc>
      </w:tr>
      <w:tr w:rsidR="00CE3013" w:rsidRPr="00C26A9B" w14:paraId="74DE8231" w14:textId="77777777" w:rsidTr="00CE3013">
        <w:tc>
          <w:tcPr>
            <w:tcW w:w="881" w:type="dxa"/>
            <w:gridSpan w:val="3"/>
            <w:hideMark/>
          </w:tcPr>
          <w:p w14:paraId="71B86730" w14:textId="77777777" w:rsidR="00CE3013" w:rsidRPr="00C26A9B" w:rsidRDefault="00CE3013" w:rsidP="00CE3013">
            <w:pPr>
              <w:rPr>
                <w:rFonts w:ascii="Times New Roman" w:hAnsi="Times New Roman" w:cs="Times New Roman"/>
                <w:sz w:val="24"/>
                <w:szCs w:val="24"/>
                <w:lang w:val="ro-RO"/>
              </w:rPr>
            </w:pPr>
            <w:r w:rsidRPr="00C26A9B">
              <w:rPr>
                <w:rFonts w:ascii="Times New Roman" w:hAnsi="Times New Roman" w:cs="Times New Roman"/>
                <w:sz w:val="24"/>
                <w:szCs w:val="24"/>
                <w:lang w:val="ro-RO"/>
              </w:rPr>
              <w:t>V</w:t>
            </w:r>
            <w:r w:rsidRPr="00C26A9B">
              <w:rPr>
                <w:rFonts w:ascii="Times New Roman" w:hAnsi="Times New Roman" w:cs="Times New Roman"/>
                <w:sz w:val="24"/>
                <w:szCs w:val="24"/>
                <w:vertAlign w:val="subscript"/>
                <w:lang w:val="ro-RO"/>
              </w:rPr>
              <w:t>i</w:t>
            </w:r>
            <w:r w:rsidRPr="00C26A9B">
              <w:rPr>
                <w:rFonts w:ascii="Times New Roman" w:hAnsi="Times New Roman" w:cs="Times New Roman"/>
                <w:sz w:val="24"/>
                <w:szCs w:val="24"/>
                <w:lang w:val="ro-RO"/>
              </w:rPr>
              <w:t> (.)</w:t>
            </w:r>
          </w:p>
        </w:tc>
        <w:tc>
          <w:tcPr>
            <w:tcW w:w="255" w:type="dxa"/>
            <w:hideMark/>
          </w:tcPr>
          <w:p w14:paraId="4A5B93F3" w14:textId="77777777" w:rsidR="00CE3013" w:rsidRPr="00C26A9B" w:rsidRDefault="00CE3013" w:rsidP="00CE3013">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219" w:type="dxa"/>
            <w:gridSpan w:val="4"/>
            <w:hideMark/>
          </w:tcPr>
          <w:p w14:paraId="3647A054" w14:textId="77777777" w:rsidR="00CE3013" w:rsidRPr="00C26A9B" w:rsidRDefault="00CE3013" w:rsidP="00CE3013">
            <w:pPr>
              <w:rPr>
                <w:rFonts w:ascii="Times New Roman" w:hAnsi="Times New Roman" w:cs="Times New Roman"/>
                <w:sz w:val="24"/>
                <w:szCs w:val="24"/>
                <w:lang w:val="ro-RO"/>
              </w:rPr>
            </w:pPr>
            <w:r w:rsidRPr="00C26A9B">
              <w:rPr>
                <w:rFonts w:ascii="Times New Roman" w:hAnsi="Times New Roman" w:cs="Times New Roman"/>
                <w:sz w:val="24"/>
                <w:szCs w:val="24"/>
                <w:lang w:val="ro-RO"/>
              </w:rPr>
              <w:t>funcția de evaluare a instrumentului „i”; și</w:t>
            </w:r>
          </w:p>
        </w:tc>
      </w:tr>
      <w:tr w:rsidR="00CE3013" w:rsidRPr="00C26A9B" w14:paraId="4A115823" w14:textId="77777777" w:rsidTr="00CE3013">
        <w:trPr>
          <w:gridAfter w:val="1"/>
          <w:wAfter w:w="850" w:type="dxa"/>
        </w:trPr>
        <w:tc>
          <w:tcPr>
            <w:tcW w:w="470" w:type="dxa"/>
            <w:hideMark/>
          </w:tcPr>
          <w:p w14:paraId="7A0FE60F" w14:textId="77777777" w:rsidR="00CE3013" w:rsidRPr="00C26A9B" w:rsidRDefault="00CE3013" w:rsidP="00CE3013">
            <w:pPr>
              <w:rPr>
                <w:rFonts w:ascii="Times New Roman" w:hAnsi="Times New Roman" w:cs="Times New Roman"/>
                <w:sz w:val="24"/>
                <w:szCs w:val="24"/>
                <w:lang w:val="ro-RO"/>
              </w:rPr>
            </w:pPr>
            <w:r w:rsidRPr="00C26A9B">
              <w:rPr>
                <w:rFonts w:ascii="Times New Roman" w:hAnsi="Times New Roman" w:cs="Times New Roman"/>
                <w:sz w:val="24"/>
                <w:szCs w:val="24"/>
                <w:lang w:val="ro-RO"/>
              </w:rPr>
              <w:t>y, z</w:t>
            </w:r>
          </w:p>
        </w:tc>
        <w:tc>
          <w:tcPr>
            <w:tcW w:w="89" w:type="dxa"/>
            <w:hideMark/>
          </w:tcPr>
          <w:p w14:paraId="4EF9CEED" w14:textId="77777777" w:rsidR="00CE3013" w:rsidRPr="00C26A9B" w:rsidRDefault="00CE3013" w:rsidP="00CE3013">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7946" w:type="dxa"/>
            <w:gridSpan w:val="5"/>
            <w:hideMark/>
          </w:tcPr>
          <w:p w14:paraId="60842F24" w14:textId="77777777" w:rsidR="00CE3013" w:rsidRPr="00C26A9B" w:rsidRDefault="00CE3013" w:rsidP="00CE3013">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alți factori de risc decât </w:t>
            </w:r>
            <w:proofErr w:type="spellStart"/>
            <w:r w:rsidRPr="00C26A9B">
              <w:rPr>
                <w:rFonts w:ascii="Times New Roman" w:hAnsi="Times New Roman" w:cs="Times New Roman"/>
                <w:sz w:val="24"/>
                <w:szCs w:val="24"/>
                <w:lang w:val="ro-RO"/>
              </w:rPr>
              <w:t>CTY</w:t>
            </w:r>
            <w:r w:rsidRPr="00C26A9B">
              <w:rPr>
                <w:rFonts w:ascii="Times New Roman" w:hAnsi="Times New Roman" w:cs="Times New Roman"/>
                <w:sz w:val="24"/>
                <w:szCs w:val="24"/>
                <w:vertAlign w:val="subscript"/>
                <w:lang w:val="ro-RO"/>
              </w:rPr>
              <w:t>k</w:t>
            </w:r>
            <w:proofErr w:type="spellEnd"/>
            <w:r w:rsidRPr="00C26A9B">
              <w:rPr>
                <w:rFonts w:ascii="Times New Roman" w:hAnsi="Times New Roman" w:cs="Times New Roman"/>
                <w:sz w:val="24"/>
                <w:szCs w:val="24"/>
                <w:lang w:val="ro-RO"/>
              </w:rPr>
              <w:t> din modelul de evaluare al instrumentului „i”.</w:t>
            </w:r>
          </w:p>
        </w:tc>
      </w:tr>
    </w:tbl>
    <w:p w14:paraId="07290AE3" w14:textId="77777777" w:rsidR="00F5238C" w:rsidRPr="00C26A9B" w:rsidRDefault="00F5238C" w:rsidP="00F5238C">
      <w:pPr>
        <w:rPr>
          <w:rFonts w:ascii="Times New Roman" w:hAnsi="Times New Roman" w:cs="Times New Roman"/>
          <w:sz w:val="24"/>
          <w:szCs w:val="24"/>
          <w:lang w:val="ro-RO"/>
        </w:rPr>
      </w:pPr>
      <w:r w:rsidRPr="00C26A9B">
        <w:rPr>
          <w:rFonts w:ascii="Times New Roman" w:hAnsi="Times New Roman" w:cs="Times New Roman"/>
          <w:sz w:val="24"/>
          <w:szCs w:val="24"/>
          <w:lang w:val="ro-RO"/>
        </w:rPr>
        <w:t>206.  Băncile calculează sensibilitățile la riscul valutar delta pentru fiecare factor de risc valutar k după cum urmează:</w:t>
      </w:r>
    </w:p>
    <w:p w14:paraId="4C936BD9" w14:textId="77777777" w:rsidR="00F5238C" w:rsidRPr="00C26A9B" w:rsidRDefault="00F5238C" w:rsidP="00F5238C">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6ACBF8D3" wp14:editId="37722656">
            <wp:extent cx="3370580" cy="470848"/>
            <wp:effectExtent l="0" t="0" r="1270" b="5715"/>
            <wp:docPr id="153" name="Picture 15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imag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378789" cy="471995"/>
                    </a:xfrm>
                    <a:prstGeom prst="rect">
                      <a:avLst/>
                    </a:prstGeom>
                    <a:noFill/>
                    <a:ln>
                      <a:noFill/>
                    </a:ln>
                  </pic:spPr>
                </pic:pic>
              </a:graphicData>
            </a:graphic>
          </wp:inline>
        </w:drawing>
      </w:r>
    </w:p>
    <w:p w14:paraId="4E9D4550" w14:textId="77777777" w:rsidR="00F5238C" w:rsidRPr="00C26A9B" w:rsidRDefault="00F5238C" w:rsidP="00F5238C">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tbl>
      <w:tblPr>
        <w:tblW w:w="5000" w:type="pct"/>
        <w:tblLayout w:type="fixed"/>
        <w:tblCellMar>
          <w:left w:w="0" w:type="dxa"/>
          <w:right w:w="0" w:type="dxa"/>
        </w:tblCellMar>
        <w:tblLook w:val="04A0" w:firstRow="1" w:lastRow="0" w:firstColumn="1" w:lastColumn="0" w:noHBand="0" w:noVBand="1"/>
      </w:tblPr>
      <w:tblGrid>
        <w:gridCol w:w="426"/>
        <w:gridCol w:w="352"/>
        <w:gridCol w:w="9688"/>
      </w:tblGrid>
      <w:tr w:rsidR="00F5238C" w:rsidRPr="00C26A9B" w14:paraId="6219C2D5" w14:textId="77777777" w:rsidTr="0003035E">
        <w:tc>
          <w:tcPr>
            <w:tcW w:w="394" w:type="dxa"/>
            <w:hideMark/>
          </w:tcPr>
          <w:p w14:paraId="0278F3F8" w14:textId="77777777" w:rsidR="00F5238C" w:rsidRPr="00C26A9B" w:rsidRDefault="00F5238C" w:rsidP="00F5238C">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s</w:t>
            </w:r>
            <w:r w:rsidRPr="00C26A9B">
              <w:rPr>
                <w:rFonts w:ascii="Times New Roman" w:hAnsi="Times New Roman" w:cs="Times New Roman"/>
                <w:sz w:val="24"/>
                <w:szCs w:val="24"/>
                <w:vertAlign w:val="subscript"/>
                <w:lang w:val="ro-RO"/>
              </w:rPr>
              <w:t>k</w:t>
            </w:r>
            <w:proofErr w:type="spellEnd"/>
          </w:p>
        </w:tc>
        <w:tc>
          <w:tcPr>
            <w:tcW w:w="326" w:type="dxa"/>
            <w:hideMark/>
          </w:tcPr>
          <w:p w14:paraId="753425C4" w14:textId="77777777" w:rsidR="00F5238C" w:rsidRPr="00C26A9B" w:rsidRDefault="00F5238C" w:rsidP="00F5238C">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969" w:type="dxa"/>
            <w:hideMark/>
          </w:tcPr>
          <w:p w14:paraId="6C99C4A4" w14:textId="77777777" w:rsidR="00F5238C" w:rsidRPr="00C26A9B" w:rsidRDefault="00F5238C" w:rsidP="00F5238C">
            <w:pPr>
              <w:rPr>
                <w:rFonts w:ascii="Times New Roman" w:hAnsi="Times New Roman" w:cs="Times New Roman"/>
                <w:sz w:val="24"/>
                <w:szCs w:val="24"/>
                <w:lang w:val="ro-RO"/>
              </w:rPr>
            </w:pPr>
            <w:r w:rsidRPr="00C26A9B">
              <w:rPr>
                <w:rFonts w:ascii="Times New Roman" w:hAnsi="Times New Roman" w:cs="Times New Roman"/>
                <w:sz w:val="24"/>
                <w:szCs w:val="24"/>
                <w:lang w:val="ro-RO"/>
              </w:rPr>
              <w:t>sensibilitățile la riscul valutar delta;</w:t>
            </w:r>
          </w:p>
        </w:tc>
      </w:tr>
    </w:tbl>
    <w:p w14:paraId="11545DF1" w14:textId="77777777" w:rsidR="00F5238C" w:rsidRPr="00C26A9B" w:rsidRDefault="00F5238C" w:rsidP="00F5238C">
      <w:pPr>
        <w:rPr>
          <w:rFonts w:ascii="Times New Roman" w:hAnsi="Times New Roman" w:cs="Times New Roman"/>
          <w:vanish/>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419"/>
        <w:gridCol w:w="442"/>
        <w:gridCol w:w="9605"/>
      </w:tblGrid>
      <w:tr w:rsidR="00F5238C" w:rsidRPr="00C26A9B" w14:paraId="0C274095" w14:textId="77777777" w:rsidTr="0003035E">
        <w:tc>
          <w:tcPr>
            <w:tcW w:w="388" w:type="dxa"/>
            <w:hideMark/>
          </w:tcPr>
          <w:p w14:paraId="6CA4A3FD" w14:textId="77777777" w:rsidR="00F5238C" w:rsidRPr="00C26A9B" w:rsidRDefault="00F5238C" w:rsidP="00F5238C">
            <w:pPr>
              <w:rPr>
                <w:rFonts w:ascii="Times New Roman" w:hAnsi="Times New Roman" w:cs="Times New Roman"/>
                <w:sz w:val="24"/>
                <w:szCs w:val="24"/>
                <w:lang w:val="ro-RO"/>
              </w:rPr>
            </w:pPr>
            <w:r w:rsidRPr="00C26A9B">
              <w:rPr>
                <w:rFonts w:ascii="Times New Roman" w:hAnsi="Times New Roman" w:cs="Times New Roman"/>
                <w:sz w:val="24"/>
                <w:szCs w:val="24"/>
                <w:lang w:val="ro-RO"/>
              </w:rPr>
              <w:t>k</w:t>
            </w:r>
          </w:p>
        </w:tc>
        <w:tc>
          <w:tcPr>
            <w:tcW w:w="409" w:type="dxa"/>
            <w:hideMark/>
          </w:tcPr>
          <w:p w14:paraId="03341F05" w14:textId="77777777" w:rsidR="00F5238C" w:rsidRPr="00C26A9B" w:rsidRDefault="00F5238C" w:rsidP="00F5238C">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892" w:type="dxa"/>
            <w:hideMark/>
          </w:tcPr>
          <w:p w14:paraId="0196AAE8" w14:textId="77777777" w:rsidR="00F5238C" w:rsidRPr="00C26A9B" w:rsidRDefault="00F5238C" w:rsidP="00F5238C">
            <w:pPr>
              <w:rPr>
                <w:rFonts w:ascii="Times New Roman" w:hAnsi="Times New Roman" w:cs="Times New Roman"/>
                <w:sz w:val="24"/>
                <w:szCs w:val="24"/>
                <w:lang w:val="ro-RO"/>
              </w:rPr>
            </w:pPr>
            <w:r w:rsidRPr="00C26A9B">
              <w:rPr>
                <w:rFonts w:ascii="Times New Roman" w:hAnsi="Times New Roman" w:cs="Times New Roman"/>
                <w:sz w:val="24"/>
                <w:szCs w:val="24"/>
                <w:lang w:val="ro-RO"/>
              </w:rPr>
              <w:t>un factor de risc valutar dat;</w:t>
            </w:r>
          </w:p>
        </w:tc>
      </w:tr>
    </w:tbl>
    <w:p w14:paraId="58E54460" w14:textId="77777777" w:rsidR="00F5238C" w:rsidRPr="00C26A9B" w:rsidRDefault="00F5238C" w:rsidP="00F5238C">
      <w:pPr>
        <w:rPr>
          <w:rFonts w:ascii="Times New Roman" w:hAnsi="Times New Roman" w:cs="Times New Roman"/>
          <w:vanish/>
          <w:sz w:val="24"/>
          <w:szCs w:val="24"/>
          <w:lang w:val="ro-RO"/>
        </w:rPr>
      </w:pPr>
    </w:p>
    <w:tbl>
      <w:tblPr>
        <w:tblW w:w="6382" w:type="pct"/>
        <w:tblLayout w:type="fixed"/>
        <w:tblCellMar>
          <w:left w:w="0" w:type="dxa"/>
          <w:right w:w="0" w:type="dxa"/>
        </w:tblCellMar>
        <w:tblLook w:val="04A0" w:firstRow="1" w:lastRow="0" w:firstColumn="1" w:lastColumn="0" w:noHBand="0" w:noVBand="1"/>
      </w:tblPr>
      <w:tblGrid>
        <w:gridCol w:w="525"/>
        <w:gridCol w:w="101"/>
        <w:gridCol w:w="359"/>
        <w:gridCol w:w="79"/>
        <w:gridCol w:w="206"/>
        <w:gridCol w:w="232"/>
        <w:gridCol w:w="7063"/>
        <w:gridCol w:w="4794"/>
      </w:tblGrid>
      <w:tr w:rsidR="00F5238C" w:rsidRPr="00C26A9B" w14:paraId="38492F46" w14:textId="77777777" w:rsidTr="00095024">
        <w:tc>
          <w:tcPr>
            <w:tcW w:w="952" w:type="dxa"/>
            <w:gridSpan w:val="4"/>
            <w:hideMark/>
          </w:tcPr>
          <w:p w14:paraId="6E7D030D" w14:textId="77777777" w:rsidR="00F5238C" w:rsidRPr="00C26A9B" w:rsidRDefault="00F5238C" w:rsidP="00F5238C">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FX</w:t>
            </w:r>
            <w:r w:rsidRPr="00C26A9B">
              <w:rPr>
                <w:rFonts w:ascii="Times New Roman" w:hAnsi="Times New Roman" w:cs="Times New Roman"/>
                <w:sz w:val="24"/>
                <w:szCs w:val="24"/>
                <w:vertAlign w:val="subscript"/>
                <w:lang w:val="ro-RO"/>
              </w:rPr>
              <w:t>k</w:t>
            </w:r>
            <w:proofErr w:type="spellEnd"/>
          </w:p>
        </w:tc>
        <w:tc>
          <w:tcPr>
            <w:tcW w:w="391" w:type="dxa"/>
            <w:gridSpan w:val="2"/>
            <w:hideMark/>
          </w:tcPr>
          <w:p w14:paraId="4CEAF685" w14:textId="77777777" w:rsidR="00F5238C" w:rsidRPr="00C26A9B" w:rsidRDefault="00F5238C" w:rsidP="00F5238C">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10598" w:type="dxa"/>
            <w:gridSpan w:val="2"/>
            <w:hideMark/>
          </w:tcPr>
          <w:p w14:paraId="6D001C43" w14:textId="77777777" w:rsidR="00F5238C" w:rsidRPr="00C26A9B" w:rsidRDefault="00F5238C" w:rsidP="00F5238C">
            <w:pPr>
              <w:rPr>
                <w:rFonts w:ascii="Times New Roman" w:hAnsi="Times New Roman" w:cs="Times New Roman"/>
                <w:sz w:val="24"/>
                <w:szCs w:val="24"/>
                <w:lang w:val="ro-RO"/>
              </w:rPr>
            </w:pPr>
            <w:r w:rsidRPr="00C26A9B">
              <w:rPr>
                <w:rFonts w:ascii="Times New Roman" w:hAnsi="Times New Roman" w:cs="Times New Roman"/>
                <w:sz w:val="24"/>
                <w:szCs w:val="24"/>
                <w:lang w:val="ro-RO"/>
              </w:rPr>
              <w:t>valoarea factorului de risc;</w:t>
            </w:r>
          </w:p>
        </w:tc>
      </w:tr>
      <w:tr w:rsidR="00F5238C" w:rsidRPr="00C26A9B" w14:paraId="392DDC81" w14:textId="77777777" w:rsidTr="00095024">
        <w:tc>
          <w:tcPr>
            <w:tcW w:w="881" w:type="dxa"/>
            <w:gridSpan w:val="3"/>
            <w:hideMark/>
          </w:tcPr>
          <w:p w14:paraId="34A19F5C" w14:textId="77777777" w:rsidR="00F5238C" w:rsidRPr="00C26A9B" w:rsidRDefault="00F5238C" w:rsidP="00F5238C">
            <w:pPr>
              <w:rPr>
                <w:rFonts w:ascii="Times New Roman" w:hAnsi="Times New Roman" w:cs="Times New Roman"/>
                <w:sz w:val="24"/>
                <w:szCs w:val="24"/>
                <w:lang w:val="ro-RO"/>
              </w:rPr>
            </w:pPr>
            <w:r w:rsidRPr="00C26A9B">
              <w:rPr>
                <w:rFonts w:ascii="Times New Roman" w:hAnsi="Times New Roman" w:cs="Times New Roman"/>
                <w:sz w:val="24"/>
                <w:szCs w:val="24"/>
                <w:lang w:val="ro-RO"/>
              </w:rPr>
              <w:t>V</w:t>
            </w:r>
            <w:r w:rsidRPr="00C26A9B">
              <w:rPr>
                <w:rFonts w:ascii="Times New Roman" w:hAnsi="Times New Roman" w:cs="Times New Roman"/>
                <w:sz w:val="24"/>
                <w:szCs w:val="24"/>
                <w:vertAlign w:val="subscript"/>
                <w:lang w:val="ro-RO"/>
              </w:rPr>
              <w:t>i</w:t>
            </w:r>
            <w:r w:rsidRPr="00C26A9B">
              <w:rPr>
                <w:rFonts w:ascii="Times New Roman" w:hAnsi="Times New Roman" w:cs="Times New Roman"/>
                <w:sz w:val="24"/>
                <w:szCs w:val="24"/>
                <w:lang w:val="ro-RO"/>
              </w:rPr>
              <w:t> (.)</w:t>
            </w:r>
          </w:p>
        </w:tc>
        <w:tc>
          <w:tcPr>
            <w:tcW w:w="255" w:type="dxa"/>
            <w:gridSpan w:val="2"/>
            <w:hideMark/>
          </w:tcPr>
          <w:p w14:paraId="376B546E" w14:textId="77777777" w:rsidR="00F5238C" w:rsidRPr="00C26A9B" w:rsidRDefault="00F5238C" w:rsidP="00F5238C">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10805" w:type="dxa"/>
            <w:gridSpan w:val="3"/>
            <w:hideMark/>
          </w:tcPr>
          <w:p w14:paraId="2B92C8CB" w14:textId="77777777" w:rsidR="00F5238C" w:rsidRPr="00C26A9B" w:rsidRDefault="00F5238C" w:rsidP="00F5238C">
            <w:pPr>
              <w:rPr>
                <w:rFonts w:ascii="Times New Roman" w:hAnsi="Times New Roman" w:cs="Times New Roman"/>
                <w:sz w:val="24"/>
                <w:szCs w:val="24"/>
                <w:lang w:val="ro-RO"/>
              </w:rPr>
            </w:pPr>
            <w:r w:rsidRPr="00C26A9B">
              <w:rPr>
                <w:rFonts w:ascii="Times New Roman" w:hAnsi="Times New Roman" w:cs="Times New Roman"/>
                <w:sz w:val="24"/>
                <w:szCs w:val="24"/>
                <w:lang w:val="ro-RO"/>
              </w:rPr>
              <w:t>funcția de evaluare a instrumentului „i”; și</w:t>
            </w:r>
          </w:p>
        </w:tc>
      </w:tr>
      <w:tr w:rsidR="00F5238C" w:rsidRPr="00C26A9B" w14:paraId="1E3B7A35" w14:textId="77777777" w:rsidTr="00095024">
        <w:trPr>
          <w:gridAfter w:val="1"/>
          <w:wAfter w:w="4285" w:type="dxa"/>
        </w:trPr>
        <w:tc>
          <w:tcPr>
            <w:tcW w:w="470" w:type="dxa"/>
            <w:hideMark/>
          </w:tcPr>
          <w:p w14:paraId="1D7F8694" w14:textId="77777777" w:rsidR="00F5238C" w:rsidRPr="00C26A9B" w:rsidRDefault="00F5238C" w:rsidP="00F5238C">
            <w:pPr>
              <w:rPr>
                <w:rFonts w:ascii="Times New Roman" w:hAnsi="Times New Roman" w:cs="Times New Roman"/>
                <w:sz w:val="24"/>
                <w:szCs w:val="24"/>
                <w:lang w:val="ro-RO"/>
              </w:rPr>
            </w:pPr>
            <w:r w:rsidRPr="00C26A9B">
              <w:rPr>
                <w:rFonts w:ascii="Times New Roman" w:hAnsi="Times New Roman" w:cs="Times New Roman"/>
                <w:sz w:val="24"/>
                <w:szCs w:val="24"/>
                <w:lang w:val="ro-RO"/>
              </w:rPr>
              <w:t>y, z</w:t>
            </w:r>
          </w:p>
        </w:tc>
        <w:tc>
          <w:tcPr>
            <w:tcW w:w="90" w:type="dxa"/>
            <w:hideMark/>
          </w:tcPr>
          <w:p w14:paraId="405AA14D" w14:textId="77777777" w:rsidR="00F5238C" w:rsidRPr="00C26A9B" w:rsidRDefault="00F5238C" w:rsidP="00F5238C">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7096" w:type="dxa"/>
            <w:gridSpan w:val="5"/>
            <w:hideMark/>
          </w:tcPr>
          <w:p w14:paraId="6FEAD006" w14:textId="77777777" w:rsidR="00F5238C" w:rsidRPr="00C26A9B" w:rsidRDefault="00F5238C" w:rsidP="00F5238C">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alți factori de risc decât </w:t>
            </w:r>
            <w:proofErr w:type="spellStart"/>
            <w:r w:rsidRPr="00C26A9B">
              <w:rPr>
                <w:rFonts w:ascii="Times New Roman" w:hAnsi="Times New Roman" w:cs="Times New Roman"/>
                <w:sz w:val="24"/>
                <w:szCs w:val="24"/>
                <w:lang w:val="ro-RO"/>
              </w:rPr>
              <w:t>FX</w:t>
            </w:r>
            <w:r w:rsidRPr="00C26A9B">
              <w:rPr>
                <w:rFonts w:ascii="Times New Roman" w:hAnsi="Times New Roman" w:cs="Times New Roman"/>
                <w:sz w:val="24"/>
                <w:szCs w:val="24"/>
                <w:vertAlign w:val="subscript"/>
                <w:lang w:val="ro-RO"/>
              </w:rPr>
              <w:t>k</w:t>
            </w:r>
            <w:proofErr w:type="spellEnd"/>
            <w:r w:rsidRPr="00C26A9B">
              <w:rPr>
                <w:rFonts w:ascii="Times New Roman" w:hAnsi="Times New Roman" w:cs="Times New Roman"/>
                <w:sz w:val="24"/>
                <w:szCs w:val="24"/>
                <w:lang w:val="ro-RO"/>
              </w:rPr>
              <w:t> din modelul de evaluare al instrumentului „i”.</w:t>
            </w:r>
          </w:p>
        </w:tc>
      </w:tr>
    </w:tbl>
    <w:p w14:paraId="12A89F27" w14:textId="29FABC89" w:rsidR="00CB5650" w:rsidRPr="00C26A9B" w:rsidRDefault="00095024" w:rsidP="00CB5650">
      <w:pPr>
        <w:rPr>
          <w:rFonts w:ascii="Times New Roman" w:hAnsi="Times New Roman" w:cs="Times New Roman"/>
          <w:b/>
          <w:bCs/>
          <w:sz w:val="24"/>
          <w:szCs w:val="24"/>
          <w:lang w:val="ro-RO"/>
        </w:rPr>
      </w:pPr>
      <w:bookmarkStart w:id="21" w:name="_Hlk195091541"/>
      <w:r w:rsidRPr="00C26A9B">
        <w:rPr>
          <w:rFonts w:ascii="Times New Roman" w:hAnsi="Times New Roman" w:cs="Times New Roman"/>
          <w:i/>
          <w:iCs/>
          <w:sz w:val="24"/>
          <w:szCs w:val="24"/>
          <w:lang w:val="ro-RO"/>
        </w:rPr>
        <w:t xml:space="preserve">Paragraful 2. </w:t>
      </w:r>
      <w:r w:rsidRPr="00C26A9B">
        <w:rPr>
          <w:rFonts w:ascii="Times New Roman" w:hAnsi="Times New Roman" w:cs="Times New Roman"/>
          <w:b/>
          <w:bCs/>
          <w:sz w:val="24"/>
          <w:szCs w:val="24"/>
          <w:lang w:val="ro-RO"/>
        </w:rPr>
        <w:t xml:space="preserve">Sensibilitățile la riscul </w:t>
      </w:r>
      <w:proofErr w:type="spellStart"/>
      <w:r w:rsidRPr="00C26A9B">
        <w:rPr>
          <w:rFonts w:ascii="Times New Roman" w:hAnsi="Times New Roman" w:cs="Times New Roman"/>
          <w:b/>
          <w:bCs/>
          <w:sz w:val="24"/>
          <w:szCs w:val="24"/>
          <w:lang w:val="ro-RO"/>
        </w:rPr>
        <w:t>vega</w:t>
      </w:r>
      <w:bookmarkEnd w:id="21"/>
      <w:proofErr w:type="spellEnd"/>
    </w:p>
    <w:p w14:paraId="5741DC34" w14:textId="77777777" w:rsidR="00095024" w:rsidRPr="00C26A9B" w:rsidRDefault="00095024" w:rsidP="00095024">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207.   Băncile calculează sensibilitatea la risc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al unei opțiuni față de un factor de risc dat „k” după cum urmează:</w:t>
      </w:r>
    </w:p>
    <w:p w14:paraId="14A98B43" w14:textId="77777777" w:rsidR="00095024" w:rsidRPr="00C26A9B" w:rsidRDefault="00095024" w:rsidP="00095024">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2342B7CC" wp14:editId="5191DBD2">
            <wp:extent cx="3055620" cy="514350"/>
            <wp:effectExtent l="0" t="0" r="0" b="0"/>
            <wp:docPr id="154" name="Picture 15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image"/>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55620" cy="514350"/>
                    </a:xfrm>
                    <a:prstGeom prst="rect">
                      <a:avLst/>
                    </a:prstGeom>
                    <a:noFill/>
                    <a:ln>
                      <a:noFill/>
                    </a:ln>
                  </pic:spPr>
                </pic:pic>
              </a:graphicData>
            </a:graphic>
          </wp:inline>
        </w:drawing>
      </w:r>
    </w:p>
    <w:p w14:paraId="4750510C" w14:textId="77777777" w:rsidR="00095024" w:rsidRPr="00C26A9B" w:rsidRDefault="00095024" w:rsidP="00095024">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tbl>
      <w:tblPr>
        <w:tblW w:w="5000" w:type="pct"/>
        <w:tblLayout w:type="fixed"/>
        <w:tblCellMar>
          <w:left w:w="0" w:type="dxa"/>
          <w:right w:w="0" w:type="dxa"/>
        </w:tblCellMar>
        <w:tblLook w:val="04A0" w:firstRow="1" w:lastRow="0" w:firstColumn="1" w:lastColumn="0" w:noHBand="0" w:noVBand="1"/>
      </w:tblPr>
      <w:tblGrid>
        <w:gridCol w:w="378"/>
        <w:gridCol w:w="313"/>
        <w:gridCol w:w="9775"/>
      </w:tblGrid>
      <w:tr w:rsidR="00095024" w:rsidRPr="00C26A9B" w14:paraId="399411D4" w14:textId="77777777" w:rsidTr="0003035E">
        <w:tc>
          <w:tcPr>
            <w:tcW w:w="350" w:type="dxa"/>
            <w:hideMark/>
          </w:tcPr>
          <w:p w14:paraId="6F420CAD" w14:textId="77777777" w:rsidR="00095024" w:rsidRPr="00C26A9B" w:rsidRDefault="00095024" w:rsidP="00095024">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s</w:t>
            </w:r>
            <w:r w:rsidRPr="00C26A9B">
              <w:rPr>
                <w:rFonts w:ascii="Times New Roman" w:hAnsi="Times New Roman" w:cs="Times New Roman"/>
                <w:sz w:val="24"/>
                <w:szCs w:val="24"/>
                <w:vertAlign w:val="subscript"/>
                <w:lang w:val="ro-RO"/>
              </w:rPr>
              <w:t>k</w:t>
            </w:r>
            <w:proofErr w:type="spellEnd"/>
          </w:p>
        </w:tc>
        <w:tc>
          <w:tcPr>
            <w:tcW w:w="290" w:type="dxa"/>
            <w:hideMark/>
          </w:tcPr>
          <w:p w14:paraId="53ED4873" w14:textId="77777777" w:rsidR="00095024" w:rsidRPr="00C26A9B" w:rsidRDefault="00095024" w:rsidP="00095024">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9049" w:type="dxa"/>
            <w:hideMark/>
          </w:tcPr>
          <w:p w14:paraId="51014A81" w14:textId="77777777" w:rsidR="00095024" w:rsidRPr="00C26A9B" w:rsidRDefault="00095024" w:rsidP="00095024">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sensibilitatea la risc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al unei opțiuni;</w:t>
            </w:r>
          </w:p>
        </w:tc>
      </w:tr>
    </w:tbl>
    <w:p w14:paraId="007CB920" w14:textId="77777777" w:rsidR="00095024" w:rsidRPr="00C26A9B" w:rsidRDefault="00095024" w:rsidP="00095024">
      <w:pPr>
        <w:rPr>
          <w:rFonts w:ascii="Times New Roman" w:hAnsi="Times New Roman" w:cs="Times New Roman"/>
          <w:vanish/>
          <w:sz w:val="24"/>
          <w:szCs w:val="24"/>
          <w:lang w:val="ro-RO"/>
        </w:rPr>
      </w:pPr>
    </w:p>
    <w:tbl>
      <w:tblPr>
        <w:tblW w:w="9072" w:type="dxa"/>
        <w:tblLayout w:type="fixed"/>
        <w:tblCellMar>
          <w:left w:w="0" w:type="dxa"/>
          <w:right w:w="0" w:type="dxa"/>
        </w:tblCellMar>
        <w:tblLook w:val="04A0" w:firstRow="1" w:lastRow="0" w:firstColumn="1" w:lastColumn="0" w:noHBand="0" w:noVBand="1"/>
      </w:tblPr>
      <w:tblGrid>
        <w:gridCol w:w="328"/>
        <w:gridCol w:w="97"/>
        <w:gridCol w:w="8647"/>
      </w:tblGrid>
      <w:tr w:rsidR="00095024" w:rsidRPr="00C26A9B" w14:paraId="35C15375" w14:textId="77777777" w:rsidTr="00095024">
        <w:tc>
          <w:tcPr>
            <w:tcW w:w="328" w:type="dxa"/>
            <w:hideMark/>
          </w:tcPr>
          <w:p w14:paraId="4BD6C290" w14:textId="77777777" w:rsidR="00095024" w:rsidRPr="00C26A9B" w:rsidRDefault="00095024" w:rsidP="00095024">
            <w:pPr>
              <w:rPr>
                <w:rFonts w:ascii="Times New Roman" w:hAnsi="Times New Roman" w:cs="Times New Roman"/>
                <w:sz w:val="24"/>
                <w:szCs w:val="24"/>
                <w:lang w:val="ro-RO"/>
              </w:rPr>
            </w:pPr>
            <w:r w:rsidRPr="00C26A9B">
              <w:rPr>
                <w:rFonts w:ascii="Times New Roman" w:hAnsi="Times New Roman" w:cs="Times New Roman"/>
                <w:sz w:val="24"/>
                <w:szCs w:val="24"/>
                <w:lang w:val="ro-RO"/>
              </w:rPr>
              <w:t>k</w:t>
            </w:r>
          </w:p>
        </w:tc>
        <w:tc>
          <w:tcPr>
            <w:tcW w:w="97" w:type="dxa"/>
            <w:hideMark/>
          </w:tcPr>
          <w:p w14:paraId="08F2E22A" w14:textId="77777777" w:rsidR="00095024" w:rsidRPr="00C26A9B" w:rsidRDefault="00095024" w:rsidP="00095024">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647" w:type="dxa"/>
            <w:hideMark/>
          </w:tcPr>
          <w:p w14:paraId="68DB07A6" w14:textId="77777777" w:rsidR="00095024" w:rsidRPr="00C26A9B" w:rsidRDefault="00095024" w:rsidP="00095024">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un anumit factor de risc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care constă într-o volatilitate implicită;</w:t>
            </w:r>
          </w:p>
        </w:tc>
      </w:tr>
    </w:tbl>
    <w:p w14:paraId="54AB7569" w14:textId="77777777" w:rsidR="00095024" w:rsidRPr="00C26A9B" w:rsidRDefault="00095024" w:rsidP="00095024">
      <w:pPr>
        <w:rPr>
          <w:rFonts w:ascii="Times New Roman" w:hAnsi="Times New Roman" w:cs="Times New Roman"/>
          <w:vanish/>
          <w:sz w:val="24"/>
          <w:szCs w:val="24"/>
          <w:lang w:val="ro-RO"/>
        </w:rPr>
      </w:pPr>
    </w:p>
    <w:tbl>
      <w:tblPr>
        <w:tblW w:w="8931" w:type="dxa"/>
        <w:tblLayout w:type="fixed"/>
        <w:tblCellMar>
          <w:left w:w="0" w:type="dxa"/>
          <w:right w:w="0" w:type="dxa"/>
        </w:tblCellMar>
        <w:tblLook w:val="04A0" w:firstRow="1" w:lastRow="0" w:firstColumn="1" w:lastColumn="0" w:noHBand="0" w:noVBand="1"/>
      </w:tblPr>
      <w:tblGrid>
        <w:gridCol w:w="470"/>
        <w:gridCol w:w="83"/>
        <w:gridCol w:w="8378"/>
      </w:tblGrid>
      <w:tr w:rsidR="00095024" w:rsidRPr="00C26A9B" w14:paraId="78820F63" w14:textId="77777777" w:rsidTr="00095024">
        <w:tc>
          <w:tcPr>
            <w:tcW w:w="470" w:type="dxa"/>
            <w:hideMark/>
          </w:tcPr>
          <w:p w14:paraId="50C4290A" w14:textId="77777777" w:rsidR="00095024" w:rsidRPr="00C26A9B" w:rsidRDefault="00095024" w:rsidP="00095024">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vol</w:t>
            </w:r>
            <w:r w:rsidRPr="00C26A9B">
              <w:rPr>
                <w:rFonts w:ascii="Times New Roman" w:hAnsi="Times New Roman" w:cs="Times New Roman"/>
                <w:sz w:val="24"/>
                <w:szCs w:val="24"/>
                <w:vertAlign w:val="subscript"/>
                <w:lang w:val="ro-RO"/>
              </w:rPr>
              <w:t>k</w:t>
            </w:r>
            <w:proofErr w:type="spellEnd"/>
          </w:p>
        </w:tc>
        <w:tc>
          <w:tcPr>
            <w:tcW w:w="83" w:type="dxa"/>
            <w:hideMark/>
          </w:tcPr>
          <w:p w14:paraId="1067540E" w14:textId="77777777" w:rsidR="00095024" w:rsidRPr="00C26A9B" w:rsidRDefault="00095024" w:rsidP="00095024">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378" w:type="dxa"/>
            <w:hideMark/>
          </w:tcPr>
          <w:p w14:paraId="67105462" w14:textId="77777777" w:rsidR="00095024" w:rsidRPr="00C26A9B" w:rsidRDefault="00095024" w:rsidP="00095024">
            <w:pPr>
              <w:rPr>
                <w:rFonts w:ascii="Times New Roman" w:hAnsi="Times New Roman" w:cs="Times New Roman"/>
                <w:sz w:val="24"/>
                <w:szCs w:val="24"/>
                <w:lang w:val="ro-RO"/>
              </w:rPr>
            </w:pPr>
            <w:r w:rsidRPr="00C26A9B">
              <w:rPr>
                <w:rFonts w:ascii="Times New Roman" w:hAnsi="Times New Roman" w:cs="Times New Roman"/>
                <w:sz w:val="24"/>
                <w:szCs w:val="24"/>
                <w:lang w:val="ro-RO"/>
              </w:rPr>
              <w:t>valoarea factorului de risc respectiv, care ar trebui să fie exprimată ca procent; și</w:t>
            </w:r>
          </w:p>
        </w:tc>
      </w:tr>
    </w:tbl>
    <w:p w14:paraId="3095365D" w14:textId="77777777" w:rsidR="00095024" w:rsidRPr="00C26A9B" w:rsidRDefault="00095024" w:rsidP="00095024">
      <w:pPr>
        <w:rPr>
          <w:rFonts w:ascii="Times New Roman" w:hAnsi="Times New Roman" w:cs="Times New Roman"/>
          <w:vanish/>
          <w:sz w:val="24"/>
          <w:szCs w:val="24"/>
          <w:lang w:val="ro-RO"/>
        </w:rPr>
      </w:pPr>
    </w:p>
    <w:tbl>
      <w:tblPr>
        <w:tblW w:w="8364" w:type="dxa"/>
        <w:tblLayout w:type="fixed"/>
        <w:tblCellMar>
          <w:left w:w="0" w:type="dxa"/>
          <w:right w:w="0" w:type="dxa"/>
        </w:tblCellMar>
        <w:tblLook w:val="04A0" w:firstRow="1" w:lastRow="0" w:firstColumn="1" w:lastColumn="0" w:noHBand="0" w:noVBand="1"/>
      </w:tblPr>
      <w:tblGrid>
        <w:gridCol w:w="470"/>
        <w:gridCol w:w="117"/>
        <w:gridCol w:w="7777"/>
      </w:tblGrid>
      <w:tr w:rsidR="00095024" w:rsidRPr="00C26A9B" w14:paraId="1DD22E30" w14:textId="77777777" w:rsidTr="00095024">
        <w:tc>
          <w:tcPr>
            <w:tcW w:w="470" w:type="dxa"/>
            <w:hideMark/>
          </w:tcPr>
          <w:p w14:paraId="675348C0" w14:textId="77777777" w:rsidR="00095024" w:rsidRPr="00C26A9B" w:rsidRDefault="00095024" w:rsidP="00095024">
            <w:pPr>
              <w:rPr>
                <w:rFonts w:ascii="Times New Roman" w:hAnsi="Times New Roman" w:cs="Times New Roman"/>
                <w:sz w:val="24"/>
                <w:szCs w:val="24"/>
                <w:lang w:val="ro-RO"/>
              </w:rPr>
            </w:pPr>
            <w:r w:rsidRPr="00C26A9B">
              <w:rPr>
                <w:rFonts w:ascii="Times New Roman" w:hAnsi="Times New Roman" w:cs="Times New Roman"/>
                <w:sz w:val="24"/>
                <w:szCs w:val="24"/>
                <w:lang w:val="ro-RO"/>
              </w:rPr>
              <w:t>x, y</w:t>
            </w:r>
          </w:p>
        </w:tc>
        <w:tc>
          <w:tcPr>
            <w:tcW w:w="117" w:type="dxa"/>
            <w:hideMark/>
          </w:tcPr>
          <w:p w14:paraId="011AEC15" w14:textId="77777777" w:rsidR="00095024" w:rsidRPr="00C26A9B" w:rsidRDefault="00095024" w:rsidP="00095024">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7777" w:type="dxa"/>
            <w:hideMark/>
          </w:tcPr>
          <w:p w14:paraId="00DF9E8D" w14:textId="77777777" w:rsidR="00095024" w:rsidRPr="00C26A9B" w:rsidRDefault="00095024" w:rsidP="00095024">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alți factori de risc decât </w:t>
            </w:r>
            <w:proofErr w:type="spellStart"/>
            <w:r w:rsidRPr="00C26A9B">
              <w:rPr>
                <w:rFonts w:ascii="Times New Roman" w:hAnsi="Times New Roman" w:cs="Times New Roman"/>
                <w:sz w:val="24"/>
                <w:szCs w:val="24"/>
                <w:lang w:val="ro-RO"/>
              </w:rPr>
              <w:t>vol</w:t>
            </w:r>
            <w:r w:rsidRPr="00C26A9B">
              <w:rPr>
                <w:rFonts w:ascii="Times New Roman" w:hAnsi="Times New Roman" w:cs="Times New Roman"/>
                <w:sz w:val="24"/>
                <w:szCs w:val="24"/>
                <w:vertAlign w:val="subscript"/>
                <w:lang w:val="ro-RO"/>
              </w:rPr>
              <w:t>k</w:t>
            </w:r>
            <w:proofErr w:type="spellEnd"/>
            <w:r w:rsidRPr="00C26A9B">
              <w:rPr>
                <w:rFonts w:ascii="Times New Roman" w:hAnsi="Times New Roman" w:cs="Times New Roman"/>
                <w:sz w:val="24"/>
                <w:szCs w:val="24"/>
                <w:lang w:val="ro-RO"/>
              </w:rPr>
              <w:t> din funcția de evaluare V</w:t>
            </w:r>
            <w:r w:rsidRPr="00C26A9B">
              <w:rPr>
                <w:rFonts w:ascii="Times New Roman" w:hAnsi="Times New Roman" w:cs="Times New Roman"/>
                <w:sz w:val="24"/>
                <w:szCs w:val="24"/>
                <w:vertAlign w:val="subscript"/>
                <w:lang w:val="ro-RO"/>
              </w:rPr>
              <w:t>i</w:t>
            </w:r>
            <w:r w:rsidRPr="00C26A9B">
              <w:rPr>
                <w:rFonts w:ascii="Times New Roman" w:hAnsi="Times New Roman" w:cs="Times New Roman"/>
                <w:sz w:val="24"/>
                <w:szCs w:val="24"/>
                <w:lang w:val="ro-RO"/>
              </w:rPr>
              <w:t>.</w:t>
            </w:r>
          </w:p>
        </w:tc>
      </w:tr>
    </w:tbl>
    <w:p w14:paraId="0A076960" w14:textId="621D822D" w:rsidR="00095024" w:rsidRPr="00C26A9B" w:rsidRDefault="00095024"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208.   În cazul claselor de risc în care factorii de risc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au o dimensiune legată de scadență, dar normele care prevăd punerea în corespondență a factorilor de risc nu se aplică, deoarece opțiunile nu au o scadență, băncile pun în corespondență factorii respectivi cu cea mai lungă scadență indicată. Opțiunile în cauză fac obiectul majorării pentru riscul rezidual.</w:t>
      </w:r>
    </w:p>
    <w:p w14:paraId="29D3C927" w14:textId="752BC067" w:rsidR="00095024" w:rsidRPr="00C26A9B" w:rsidRDefault="00095024"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209.   În cazul opțiunilor care nu au un preț de exercitare sau o barieră și al opțiunilor care au mai multe prețuri de exercitare sau bariere, băncile realizează punerea în corespondență în funcție de prețurile de </w:t>
      </w:r>
      <w:r w:rsidRPr="00C26A9B">
        <w:rPr>
          <w:rFonts w:ascii="Times New Roman" w:hAnsi="Times New Roman" w:cs="Times New Roman"/>
          <w:sz w:val="24"/>
          <w:szCs w:val="24"/>
          <w:lang w:val="ro-RO"/>
        </w:rPr>
        <w:lastRenderedPageBreak/>
        <w:t>exercitare și de scadența utilizate la nivel intern de către bănci pentru a evalua opțiunea. Opțiunile în cauză fac, de asemenea, obiectul majorării pentru riscul rezidual.</w:t>
      </w:r>
    </w:p>
    <w:p w14:paraId="3DBEB3A4" w14:textId="52891BC3" w:rsidR="00095024" w:rsidRPr="00C26A9B" w:rsidRDefault="00095024" w:rsidP="00CB5650">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210. Băncile nu calculează riscul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pentru tranșele din securitizare incluse în ACTP, astfel cum sunt menționate la </w:t>
      </w:r>
      <w:r w:rsidR="002E2684" w:rsidRPr="002E2684">
        <w:rPr>
          <w:rFonts w:ascii="Times New Roman" w:hAnsi="Times New Roman" w:cs="Times New Roman"/>
          <w:sz w:val="24"/>
          <w:szCs w:val="24"/>
          <w:lang w:val="ro-RO"/>
        </w:rPr>
        <w:t>pct</w:t>
      </w:r>
      <w:r w:rsidR="002E2684">
        <w:rPr>
          <w:rFonts w:ascii="Times New Roman" w:hAnsi="Times New Roman" w:cs="Times New Roman"/>
          <w:sz w:val="24"/>
          <w:szCs w:val="24"/>
          <w:lang w:val="ro-RO"/>
        </w:rPr>
        <w:t>.75-78</w:t>
      </w:r>
      <w:r w:rsidRPr="00C26A9B">
        <w:rPr>
          <w:rFonts w:ascii="Times New Roman" w:hAnsi="Times New Roman" w:cs="Times New Roman"/>
          <w:sz w:val="24"/>
          <w:szCs w:val="24"/>
          <w:lang w:val="ro-RO"/>
        </w:rPr>
        <w:t xml:space="preserve"> care nu au o volatilitate implicită. Cerințele de fonduri proprii pentru riscul delta și riscul de curbură se calculează pentru tranșele din securitizare respective.</w:t>
      </w:r>
    </w:p>
    <w:p w14:paraId="48F53EAF" w14:textId="147CF9E1" w:rsidR="00E5311D" w:rsidRPr="00C26A9B" w:rsidRDefault="00E95D11" w:rsidP="00CB5650">
      <w:pPr>
        <w:rPr>
          <w:rFonts w:ascii="Times New Roman" w:hAnsi="Times New Roman" w:cs="Times New Roman"/>
          <w:b/>
          <w:bCs/>
          <w:sz w:val="24"/>
          <w:szCs w:val="24"/>
          <w:lang w:val="ro-RO"/>
        </w:rPr>
      </w:pPr>
      <w:bookmarkStart w:id="22" w:name="_Hlk195091573"/>
      <w:r w:rsidRPr="00C26A9B">
        <w:rPr>
          <w:rFonts w:ascii="Times New Roman" w:hAnsi="Times New Roman" w:cs="Times New Roman"/>
          <w:i/>
          <w:iCs/>
          <w:sz w:val="24"/>
          <w:szCs w:val="24"/>
          <w:lang w:val="ro-RO"/>
        </w:rPr>
        <w:t xml:space="preserve">Paragraful 3. </w:t>
      </w:r>
      <w:r w:rsidRPr="00C26A9B">
        <w:rPr>
          <w:rFonts w:ascii="Times New Roman" w:hAnsi="Times New Roman" w:cs="Times New Roman"/>
          <w:b/>
          <w:bCs/>
          <w:sz w:val="24"/>
          <w:szCs w:val="24"/>
          <w:lang w:val="ro-RO"/>
        </w:rPr>
        <w:t>Cerințe privind calcularea sensibilităților</w:t>
      </w:r>
      <w:bookmarkEnd w:id="22"/>
    </w:p>
    <w:p w14:paraId="776A7665" w14:textId="77777777" w:rsidR="00B17C24" w:rsidRPr="00C26A9B" w:rsidRDefault="00B17C24" w:rsidP="00B17C24">
      <w:pPr>
        <w:rPr>
          <w:rFonts w:ascii="Times New Roman" w:hAnsi="Times New Roman" w:cs="Times New Roman"/>
          <w:sz w:val="24"/>
          <w:szCs w:val="24"/>
          <w:lang w:val="ro-RO"/>
        </w:rPr>
      </w:pPr>
      <w:r w:rsidRPr="00C26A9B">
        <w:rPr>
          <w:rFonts w:ascii="Times New Roman" w:hAnsi="Times New Roman" w:cs="Times New Roman"/>
          <w:sz w:val="24"/>
          <w:szCs w:val="24"/>
          <w:lang w:val="ro-RO"/>
        </w:rPr>
        <w:t>211.   Băncile determină sensibilitățile pornind de la modelele de evaluare utilizate de bancă ca bază pentru raportarea profiturilor și a pierderilor către conducerea superioară, utilizând formulele stabilite în prezenta subsecțiune.</w:t>
      </w:r>
    </w:p>
    <w:p w14:paraId="246F813F" w14:textId="64CD3514" w:rsidR="00B17C24" w:rsidRPr="00C26A9B" w:rsidRDefault="00B17C24" w:rsidP="00B17C24">
      <w:pPr>
        <w:rPr>
          <w:rFonts w:ascii="Times New Roman" w:hAnsi="Times New Roman" w:cs="Times New Roman"/>
          <w:sz w:val="24"/>
          <w:szCs w:val="24"/>
          <w:lang w:val="ro-RO"/>
        </w:rPr>
      </w:pPr>
      <w:r w:rsidRPr="00C26A9B">
        <w:rPr>
          <w:rFonts w:ascii="Times New Roman" w:hAnsi="Times New Roman" w:cs="Times New Roman"/>
          <w:sz w:val="24"/>
          <w:szCs w:val="24"/>
          <w:lang w:val="ro-RO"/>
        </w:rPr>
        <w:t>212. Prin derogare de la pct.211, BNM poate solicita unei bănci căreia i s-a acordat aprobarea de a utiliza abordarea bazată pe modele interne alternativă prevăzută în capitolul III să utilizeze funcțiile de evaluare ale sistemului de măsurare a riscului din cadrul abordării lor bazate pe modele interne la calcularea sensibilităților în temeiul prezentului capitol în scopul calculului și al cerințelor de raportare prevăzute la</w:t>
      </w:r>
      <w:r w:rsidR="003A19D1">
        <w:rPr>
          <w:rFonts w:ascii="Times New Roman" w:hAnsi="Times New Roman" w:cs="Times New Roman"/>
          <w:sz w:val="24"/>
          <w:szCs w:val="24"/>
          <w:lang w:val="ro-RO"/>
        </w:rPr>
        <w:t xml:space="preserve"> pct.72</w:t>
      </w:r>
      <w:r w:rsidRPr="00C26A9B">
        <w:rPr>
          <w:rFonts w:ascii="Times New Roman" w:hAnsi="Times New Roman" w:cs="Times New Roman"/>
          <w:sz w:val="24"/>
          <w:szCs w:val="24"/>
          <w:lang w:val="ro-RO"/>
        </w:rPr>
        <w:t>.</w:t>
      </w:r>
    </w:p>
    <w:p w14:paraId="148EB770" w14:textId="2F7A27BE" w:rsidR="00B17C24" w:rsidRPr="00C26A9B" w:rsidRDefault="00B17C24" w:rsidP="00B17C24">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213.   Atunci când calculează sensibilitățile la riscul delta ale instrumentelor cu opționalitate sau ale celor menționate la </w:t>
      </w:r>
      <w:r w:rsidR="003A19D1">
        <w:rPr>
          <w:rFonts w:ascii="Times New Roman" w:hAnsi="Times New Roman" w:cs="Times New Roman"/>
          <w:sz w:val="24"/>
          <w:szCs w:val="24"/>
          <w:lang w:val="ro-RO"/>
        </w:rPr>
        <w:t>subpct.105.</w:t>
      </w:r>
      <w:r w:rsidR="00421206">
        <w:rPr>
          <w:rFonts w:ascii="Times New Roman" w:hAnsi="Times New Roman" w:cs="Times New Roman"/>
          <w:sz w:val="24"/>
          <w:szCs w:val="24"/>
          <w:lang w:val="ro-RO"/>
        </w:rPr>
        <w:t>1</w:t>
      </w:r>
      <w:r w:rsidRPr="00C26A9B">
        <w:rPr>
          <w:rFonts w:ascii="Times New Roman" w:hAnsi="Times New Roman" w:cs="Times New Roman"/>
          <w:sz w:val="24"/>
          <w:szCs w:val="24"/>
          <w:lang w:val="ro-RO"/>
        </w:rPr>
        <w:t>, băncile pot presupune că factorii de risc privind volatilitatea implicită rămân constanți.</w:t>
      </w:r>
    </w:p>
    <w:p w14:paraId="649629C4" w14:textId="292D432D" w:rsidR="00B17C24" w:rsidRPr="00C26A9B" w:rsidRDefault="00B17C24" w:rsidP="00B17C24">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214.   Atunci când se calculează sensibilitățile la riscul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ale instrumentelor cu opționalitate menționate </w:t>
      </w:r>
      <w:r w:rsidRPr="00421206">
        <w:rPr>
          <w:rFonts w:ascii="Times New Roman" w:hAnsi="Times New Roman" w:cs="Times New Roman"/>
          <w:sz w:val="24"/>
          <w:szCs w:val="24"/>
          <w:lang w:val="ro-RO"/>
        </w:rPr>
        <w:t>la</w:t>
      </w:r>
      <w:r w:rsidR="00421206">
        <w:rPr>
          <w:rFonts w:ascii="Times New Roman" w:hAnsi="Times New Roman" w:cs="Times New Roman"/>
          <w:sz w:val="24"/>
          <w:szCs w:val="24"/>
          <w:lang w:val="ro-RO"/>
        </w:rPr>
        <w:t xml:space="preserve"> </w:t>
      </w:r>
      <w:r w:rsidR="00421206" w:rsidRPr="00421206">
        <w:rPr>
          <w:rFonts w:ascii="Times New Roman" w:hAnsi="Times New Roman" w:cs="Times New Roman"/>
          <w:sz w:val="24"/>
          <w:szCs w:val="24"/>
          <w:lang w:val="ro-RO"/>
        </w:rPr>
        <w:t>subpct</w:t>
      </w:r>
      <w:r w:rsidR="00421206">
        <w:rPr>
          <w:rFonts w:ascii="Times New Roman" w:hAnsi="Times New Roman" w:cs="Times New Roman"/>
          <w:sz w:val="24"/>
          <w:szCs w:val="24"/>
          <w:lang w:val="ro-RO"/>
        </w:rPr>
        <w:t>.105.2</w:t>
      </w:r>
      <w:r w:rsidRPr="00C26A9B">
        <w:rPr>
          <w:rFonts w:ascii="Times New Roman" w:hAnsi="Times New Roman" w:cs="Times New Roman"/>
          <w:sz w:val="24"/>
          <w:szCs w:val="24"/>
          <w:lang w:val="ro-RO"/>
        </w:rPr>
        <w:t>, se aplică următoarele cerințe:</w:t>
      </w:r>
    </w:p>
    <w:p w14:paraId="6FCD21F0" w14:textId="77777777" w:rsidR="00B17C24" w:rsidRPr="00C26A9B" w:rsidRDefault="00B17C24" w:rsidP="00B17C24">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214.1. pentru riscul general de rată a dobânzii și riscul de marjă de credit, băncile presupun, pentru fiecare monedă, că instrumentul-suport al factorilor de risc pentru volatilitate pentru care este calculat riscul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urmează o distribuție fie log-normală, fie normală în cadrul modelelor de evaluare utilizate pentru instrumentele respective;</w:t>
      </w:r>
    </w:p>
    <w:p w14:paraId="5DB62AE6" w14:textId="2B9BD6F2" w:rsidR="00B17C24" w:rsidRPr="00C26A9B" w:rsidRDefault="00B17C24" w:rsidP="00B17C24">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214.2. pentru riscul de devalorizare a titlurilor de capital, riscul de marfă și riscul valutar, băncile presupun că instrumentul-suport al factorilor de risc pentru volatilitate pentru care este calculat riscul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urmează o distribuție log-normală în cadrul modelelor de evaluare utilizate pentru instrumentele respective.</w:t>
      </w:r>
    </w:p>
    <w:p w14:paraId="3FA87D08" w14:textId="4D851451" w:rsidR="00B17C24" w:rsidRPr="00C26A9B" w:rsidRDefault="00B17C24" w:rsidP="00B17C24">
      <w:pPr>
        <w:rPr>
          <w:rFonts w:ascii="Times New Roman" w:hAnsi="Times New Roman" w:cs="Times New Roman"/>
          <w:sz w:val="24"/>
          <w:szCs w:val="24"/>
          <w:lang w:val="ro-RO"/>
        </w:rPr>
      </w:pPr>
      <w:r w:rsidRPr="00C26A9B">
        <w:rPr>
          <w:rFonts w:ascii="Times New Roman" w:hAnsi="Times New Roman" w:cs="Times New Roman"/>
          <w:sz w:val="24"/>
          <w:szCs w:val="24"/>
          <w:lang w:val="ro-RO"/>
        </w:rPr>
        <w:t>215.   Băncile calculează toate sensibilitățile cu excepția sensibilităților la ajustările evaluării creditului.</w:t>
      </w:r>
    </w:p>
    <w:p w14:paraId="2CC5544F" w14:textId="77777777" w:rsidR="00B17C24" w:rsidRPr="00C26A9B" w:rsidRDefault="00B17C24" w:rsidP="00B17C24">
      <w:pPr>
        <w:rPr>
          <w:rFonts w:ascii="Times New Roman" w:hAnsi="Times New Roman" w:cs="Times New Roman"/>
          <w:sz w:val="24"/>
          <w:szCs w:val="24"/>
          <w:lang w:val="ro-RO"/>
        </w:rPr>
      </w:pPr>
      <w:r w:rsidRPr="00C26A9B">
        <w:rPr>
          <w:rFonts w:ascii="Times New Roman" w:hAnsi="Times New Roman" w:cs="Times New Roman"/>
          <w:sz w:val="24"/>
          <w:szCs w:val="24"/>
          <w:lang w:val="ro-RO"/>
        </w:rPr>
        <w:t>216. Prin derogare de la pct.212, sub rezerva aprobării de către BNM, o bancă poate să utilizeze definiții alternative ale sensibilităților la riscul delta la calcularea cerințelor de fonduri proprii ale unei poziții din portofoliul de tranzacționare în conformitate cu prezentul capitol, dacă banca îndeplinește cumulativ următoarele condiții:</w:t>
      </w:r>
    </w:p>
    <w:p w14:paraId="29401E5C" w14:textId="77777777" w:rsidR="00B17C24" w:rsidRPr="00C26A9B" w:rsidRDefault="00B17C24" w:rsidP="00B17C24">
      <w:pPr>
        <w:rPr>
          <w:rFonts w:ascii="Times New Roman" w:hAnsi="Times New Roman" w:cs="Times New Roman"/>
          <w:sz w:val="24"/>
          <w:szCs w:val="24"/>
          <w:lang w:val="ro-RO"/>
        </w:rPr>
      </w:pPr>
      <w:r w:rsidRPr="00C26A9B">
        <w:rPr>
          <w:rFonts w:ascii="Times New Roman" w:hAnsi="Times New Roman" w:cs="Times New Roman"/>
          <w:sz w:val="24"/>
          <w:szCs w:val="24"/>
          <w:lang w:val="ro-RO"/>
        </w:rPr>
        <w:t>216.1. definițiile alternative respective sunt utilizate în vederea gestionării interne a riscului sau a raportării către conducerea superioară a profiturilor și a pierderilor de către o unitate independentă de control al riscului din cadrul băncii;</w:t>
      </w:r>
    </w:p>
    <w:p w14:paraId="6FF1DD57" w14:textId="1BD98A16" w:rsidR="00B17C24" w:rsidRPr="00C26A9B" w:rsidRDefault="00B17C24" w:rsidP="00B17C24">
      <w:pPr>
        <w:rPr>
          <w:rFonts w:ascii="Times New Roman" w:hAnsi="Times New Roman" w:cs="Times New Roman"/>
          <w:sz w:val="24"/>
          <w:szCs w:val="24"/>
          <w:lang w:val="ro-RO"/>
        </w:rPr>
      </w:pPr>
      <w:r w:rsidRPr="00C26A9B">
        <w:rPr>
          <w:rFonts w:ascii="Times New Roman" w:hAnsi="Times New Roman" w:cs="Times New Roman"/>
          <w:sz w:val="24"/>
          <w:szCs w:val="24"/>
          <w:lang w:val="ro-RO"/>
        </w:rPr>
        <w:t>216.2. banca demonstrează că aceste definiții alternative sunt mai adecvate pentru a reflecta sensibilitățile pentru poziție decât formulele prevăzute în prezenta subsecțiune și că sensibilitățile rezultate nu diferă semnificativ de aceste formule.</w:t>
      </w:r>
    </w:p>
    <w:p w14:paraId="3609A059" w14:textId="0C6593C3" w:rsidR="00B17C24" w:rsidRPr="00C26A9B" w:rsidRDefault="00B17C24" w:rsidP="00B17C24">
      <w:pPr>
        <w:rPr>
          <w:rFonts w:ascii="Times New Roman" w:hAnsi="Times New Roman" w:cs="Times New Roman"/>
          <w:sz w:val="24"/>
          <w:szCs w:val="24"/>
          <w:lang w:val="ro-RO"/>
        </w:rPr>
      </w:pPr>
      <w:r w:rsidRPr="00C26A9B">
        <w:rPr>
          <w:rFonts w:ascii="Times New Roman" w:hAnsi="Times New Roman" w:cs="Times New Roman"/>
          <w:sz w:val="24"/>
          <w:szCs w:val="24"/>
          <w:lang w:val="ro-RO"/>
        </w:rPr>
        <w:t>217.   Prin derogare de la</w:t>
      </w:r>
      <w:r w:rsidR="0009113F">
        <w:rPr>
          <w:rFonts w:ascii="Times New Roman" w:hAnsi="Times New Roman" w:cs="Times New Roman"/>
          <w:sz w:val="24"/>
          <w:szCs w:val="24"/>
          <w:lang w:val="ro-RO"/>
        </w:rPr>
        <w:t xml:space="preserve"> </w:t>
      </w:r>
      <w:r w:rsidRPr="00C26A9B">
        <w:rPr>
          <w:rFonts w:ascii="Times New Roman" w:hAnsi="Times New Roman" w:cs="Times New Roman"/>
          <w:sz w:val="24"/>
          <w:szCs w:val="24"/>
          <w:lang w:val="ro-RO"/>
        </w:rPr>
        <w:t xml:space="preserve">pct.212, sub rezerva aprobării de către BNM, o bancă poate să calculeze sensibilitățile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pe baza unei transformări liniare a definițiilor alternative ale sensibilităților la calcularea cerințelor de fonduri proprii ale unei poziții din portofoliul de tranzacționare în conformitate cu prezentul capitol, dacă banca îndeplinește cumulativ următoarele două condiții:</w:t>
      </w:r>
    </w:p>
    <w:p w14:paraId="2A59520C" w14:textId="77777777" w:rsidR="00B17C24" w:rsidRPr="00C26A9B" w:rsidRDefault="00B17C24" w:rsidP="00B17C24">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217.1. definițiile alternative respective sunt utilizate în vederea gestionării interne a riscului sau a raportării către conducerea superioară a profiturilor și a pierderilor de către o unitate independentă de control al riscului din cadrul băncii;</w:t>
      </w:r>
    </w:p>
    <w:p w14:paraId="78525A71" w14:textId="3FAD566C" w:rsidR="00B17C24" w:rsidRPr="00C26A9B" w:rsidRDefault="00B17C24" w:rsidP="00B17C24">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217.2. banca demonstrează că aceste definiții alternative sunt mai adecvate pentru a reflecta sensibilitățile relevante pentru poziție decât formulele prevăzute în prezenta subsecțiune, că transformarea liniară menționată la pct.217 reflectă o sensibilitate la riscul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și că sensibilitățile rezultate nu diferă semnificativ de cele obținute aplicând respectivele formule.</w:t>
      </w:r>
    </w:p>
    <w:p w14:paraId="75BCB332" w14:textId="293CDCDD" w:rsidR="00167C93" w:rsidRPr="00C26A9B" w:rsidRDefault="00167C93" w:rsidP="00167C93">
      <w:pPr>
        <w:rPr>
          <w:rFonts w:ascii="Times New Roman" w:hAnsi="Times New Roman" w:cs="Times New Roman"/>
          <w:b/>
          <w:bCs/>
          <w:sz w:val="24"/>
          <w:szCs w:val="24"/>
          <w:lang w:val="ro-RO"/>
        </w:rPr>
      </w:pPr>
      <w:bookmarkStart w:id="23" w:name="_Hlk195091634"/>
      <w:r w:rsidRPr="00C26A9B">
        <w:rPr>
          <w:rFonts w:ascii="Times New Roman" w:hAnsi="Times New Roman" w:cs="Times New Roman"/>
          <w:b/>
          <w:bCs/>
          <w:sz w:val="24"/>
          <w:szCs w:val="24"/>
          <w:lang w:val="ro-RO"/>
        </w:rPr>
        <w:t>Secțiunea 4</w:t>
      </w:r>
      <w:r w:rsidR="009A1F02">
        <w:rPr>
          <w:rFonts w:ascii="Times New Roman" w:hAnsi="Times New Roman" w:cs="Times New Roman"/>
          <w:b/>
          <w:bCs/>
          <w:sz w:val="24"/>
          <w:szCs w:val="24"/>
          <w:lang w:val="ro-RO"/>
        </w:rPr>
        <w:t xml:space="preserve">. </w:t>
      </w:r>
      <w:r w:rsidRPr="00C26A9B">
        <w:rPr>
          <w:rFonts w:ascii="Times New Roman" w:hAnsi="Times New Roman" w:cs="Times New Roman"/>
          <w:b/>
          <w:bCs/>
          <w:sz w:val="24"/>
          <w:szCs w:val="24"/>
          <w:lang w:val="ro-RO"/>
        </w:rPr>
        <w:t>Majorarea pentru riscul rezidual și cerințe de fonduri proprii pentru riscurile reziduale</w:t>
      </w:r>
      <w:bookmarkEnd w:id="23"/>
    </w:p>
    <w:p w14:paraId="1EB32C98" w14:textId="0CF157F5" w:rsidR="00167C93" w:rsidRPr="00C26A9B" w:rsidRDefault="00167C93" w:rsidP="00167C93">
      <w:pPr>
        <w:rPr>
          <w:rFonts w:ascii="Times New Roman" w:hAnsi="Times New Roman" w:cs="Times New Roman"/>
          <w:sz w:val="24"/>
          <w:szCs w:val="24"/>
          <w:lang w:val="ro-RO"/>
        </w:rPr>
      </w:pPr>
      <w:r w:rsidRPr="00C26A9B">
        <w:rPr>
          <w:rFonts w:ascii="Times New Roman" w:hAnsi="Times New Roman" w:cs="Times New Roman"/>
          <w:sz w:val="24"/>
          <w:szCs w:val="24"/>
          <w:lang w:val="ro-RO"/>
        </w:rPr>
        <w:t>218.   În plus față de cerințele de fonduri proprii pentru riscul de piață prevăzute în secțiunea 2, băncile aplică cerințe de fonduri proprii suplimentare instrumentelor expuse la riscuri reziduale în conformitate cu prezenta secțiune</w:t>
      </w:r>
      <w:r w:rsidR="00CD09C3" w:rsidRPr="00CD09C3">
        <w:t xml:space="preserve"> </w:t>
      </w:r>
      <w:r w:rsidR="00CD09C3" w:rsidRPr="00CD09C3">
        <w:rPr>
          <w:rFonts w:ascii="Times New Roman" w:hAnsi="Times New Roman" w:cs="Times New Roman"/>
          <w:sz w:val="24"/>
          <w:szCs w:val="24"/>
          <w:lang w:val="ro-RO"/>
        </w:rPr>
        <w:t>și anexa nr.</w:t>
      </w:r>
      <w:r w:rsidR="003050FA">
        <w:rPr>
          <w:rFonts w:ascii="Times New Roman" w:hAnsi="Times New Roman" w:cs="Times New Roman"/>
          <w:sz w:val="24"/>
          <w:szCs w:val="24"/>
          <w:lang w:val="ro-RO"/>
        </w:rPr>
        <w:t>2</w:t>
      </w:r>
      <w:r w:rsidRPr="00C26A9B">
        <w:rPr>
          <w:rFonts w:ascii="Times New Roman" w:hAnsi="Times New Roman" w:cs="Times New Roman"/>
          <w:sz w:val="24"/>
          <w:szCs w:val="24"/>
          <w:lang w:val="ro-RO"/>
        </w:rPr>
        <w:t>.</w:t>
      </w:r>
    </w:p>
    <w:p w14:paraId="74B6473A" w14:textId="77777777" w:rsidR="00167C93" w:rsidRPr="00C26A9B" w:rsidRDefault="00167C93" w:rsidP="00167C93">
      <w:pPr>
        <w:rPr>
          <w:rFonts w:ascii="Times New Roman" w:hAnsi="Times New Roman" w:cs="Times New Roman"/>
          <w:sz w:val="24"/>
          <w:szCs w:val="24"/>
          <w:lang w:val="ro-RO"/>
        </w:rPr>
      </w:pPr>
      <w:r w:rsidRPr="00C26A9B">
        <w:rPr>
          <w:rFonts w:ascii="Times New Roman" w:hAnsi="Times New Roman" w:cs="Times New Roman"/>
          <w:sz w:val="24"/>
          <w:szCs w:val="24"/>
          <w:lang w:val="ro-RO"/>
        </w:rPr>
        <w:t>219.   Instrumentele sunt considerate a fi expuse la riscuri reziduale în cazul în care îndeplinesc una dintre următoarele condiții:</w:t>
      </w:r>
    </w:p>
    <w:p w14:paraId="0FD78558" w14:textId="7411F6BB" w:rsidR="00167C93" w:rsidRPr="00C26A9B" w:rsidRDefault="00167C93" w:rsidP="00167C93">
      <w:pPr>
        <w:rPr>
          <w:rFonts w:ascii="Times New Roman" w:hAnsi="Times New Roman" w:cs="Times New Roman"/>
          <w:sz w:val="24"/>
          <w:szCs w:val="24"/>
          <w:lang w:val="ro-RO"/>
        </w:rPr>
      </w:pPr>
      <w:r w:rsidRPr="00C26A9B">
        <w:rPr>
          <w:rFonts w:ascii="Times New Roman" w:hAnsi="Times New Roman" w:cs="Times New Roman"/>
          <w:sz w:val="24"/>
          <w:szCs w:val="24"/>
          <w:lang w:val="ro-RO"/>
        </w:rPr>
        <w:t>219.1. instrumentul se raportează la un instrument-suport exotic</w:t>
      </w:r>
      <w:r w:rsidR="00CD09C3" w:rsidRPr="00CD09C3">
        <w:t xml:space="preserve"> </w:t>
      </w:r>
      <w:r w:rsidR="00CD09C3" w:rsidRPr="00CD09C3">
        <w:rPr>
          <w:rFonts w:ascii="Times New Roman" w:hAnsi="Times New Roman" w:cs="Times New Roman"/>
          <w:sz w:val="24"/>
          <w:szCs w:val="24"/>
          <w:lang w:val="ro-RO"/>
        </w:rPr>
        <w:t>prevăzut în pct.1 din anexa nr.</w:t>
      </w:r>
      <w:r w:rsidR="003050FA">
        <w:rPr>
          <w:rFonts w:ascii="Times New Roman" w:hAnsi="Times New Roman" w:cs="Times New Roman"/>
          <w:sz w:val="24"/>
          <w:szCs w:val="24"/>
          <w:lang w:val="ro-RO"/>
        </w:rPr>
        <w:t>2</w:t>
      </w:r>
      <w:r w:rsidRPr="00C26A9B">
        <w:rPr>
          <w:rFonts w:ascii="Times New Roman" w:hAnsi="Times New Roman" w:cs="Times New Roman"/>
          <w:sz w:val="24"/>
          <w:szCs w:val="24"/>
          <w:lang w:val="ro-RO"/>
        </w:rPr>
        <w:t xml:space="preserve">, ceea ce, în sensul prezentului capitol, înseamnă că un instrument din portofoliul de tranzacționare se raportează la o expunere-suport care nu este inclusă în domeniul de aplicare al tratamentului riscului delta,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sau de curbură în conformitate cu metoda bazată pe sensibilități prevăzută în secțiunea 2 sau al cerințelor de fonduri proprii pentru riscul de nerambursare prevăzute în secțiunea 5;</w:t>
      </w:r>
    </w:p>
    <w:p w14:paraId="5A232B74" w14:textId="7D64B22B" w:rsidR="00167C93" w:rsidRPr="00C26A9B" w:rsidRDefault="00167C93" w:rsidP="00167C93">
      <w:pPr>
        <w:rPr>
          <w:rFonts w:ascii="Times New Roman" w:hAnsi="Times New Roman" w:cs="Times New Roman"/>
          <w:sz w:val="24"/>
          <w:szCs w:val="24"/>
          <w:lang w:val="ro-RO"/>
        </w:rPr>
      </w:pPr>
      <w:r w:rsidRPr="00C26A9B">
        <w:rPr>
          <w:rFonts w:ascii="Times New Roman" w:hAnsi="Times New Roman" w:cs="Times New Roman"/>
          <w:sz w:val="24"/>
          <w:szCs w:val="24"/>
          <w:lang w:val="ro-RO"/>
        </w:rPr>
        <w:t>219.2. instrumentul este un instrument care prezintă alte riscuri reziduale</w:t>
      </w:r>
      <w:r w:rsidR="00CD09C3" w:rsidRPr="00CD09C3">
        <w:t xml:space="preserve"> </w:t>
      </w:r>
      <w:r w:rsidR="00CD09C3" w:rsidRPr="00CD09C3">
        <w:rPr>
          <w:rFonts w:ascii="Times New Roman" w:hAnsi="Times New Roman" w:cs="Times New Roman"/>
          <w:sz w:val="24"/>
          <w:szCs w:val="24"/>
          <w:lang w:val="ro-RO"/>
        </w:rPr>
        <w:t>potrivit pct.3 din anexa nr.</w:t>
      </w:r>
      <w:r w:rsidR="003050FA">
        <w:rPr>
          <w:rFonts w:ascii="Times New Roman" w:hAnsi="Times New Roman" w:cs="Times New Roman"/>
          <w:sz w:val="24"/>
          <w:szCs w:val="24"/>
          <w:lang w:val="ro-RO"/>
        </w:rPr>
        <w:t>2</w:t>
      </w:r>
      <w:r w:rsidRPr="00C26A9B">
        <w:rPr>
          <w:rFonts w:ascii="Times New Roman" w:hAnsi="Times New Roman" w:cs="Times New Roman"/>
          <w:sz w:val="24"/>
          <w:szCs w:val="24"/>
          <w:lang w:val="ro-RO"/>
        </w:rPr>
        <w:t>, care, în sensul prezentului capitol, înseamnă oricare dintre următoarele instrumente:</w:t>
      </w:r>
    </w:p>
    <w:p w14:paraId="1246DA9C" w14:textId="77777777" w:rsidR="00167C93" w:rsidRPr="00C26A9B" w:rsidRDefault="00167C93" w:rsidP="00167C93">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219.2.1. instrumente care fac obiectul cerințelor de fonduri proprii pentru riscul </w:t>
      </w:r>
      <w:proofErr w:type="spellStart"/>
      <w:r w:rsidRPr="00C26A9B">
        <w:rPr>
          <w:rFonts w:ascii="Times New Roman" w:hAnsi="Times New Roman" w:cs="Times New Roman"/>
          <w:sz w:val="24"/>
          <w:szCs w:val="24"/>
          <w:lang w:val="ro-RO"/>
        </w:rPr>
        <w:t>vega</w:t>
      </w:r>
      <w:proofErr w:type="spellEnd"/>
      <w:r w:rsidRPr="00C26A9B">
        <w:rPr>
          <w:rFonts w:ascii="Times New Roman" w:hAnsi="Times New Roman" w:cs="Times New Roman"/>
          <w:sz w:val="24"/>
          <w:szCs w:val="24"/>
          <w:lang w:val="ro-RO"/>
        </w:rPr>
        <w:t xml:space="preserve"> și riscul de curbură conform metodei bazate pe sensibilități prevăzute în secțiunea 2 și care generează rezultate care nu pot fi reproduse sub forma unei combinații liniare finite de opțiuni „</w:t>
      </w:r>
      <w:proofErr w:type="spellStart"/>
      <w:r w:rsidRPr="00C26A9B">
        <w:rPr>
          <w:rFonts w:ascii="Times New Roman" w:hAnsi="Times New Roman" w:cs="Times New Roman"/>
          <w:sz w:val="24"/>
          <w:szCs w:val="24"/>
          <w:lang w:val="ro-RO"/>
        </w:rPr>
        <w:t>plain</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vanilla</w:t>
      </w:r>
      <w:proofErr w:type="spellEnd"/>
      <w:r w:rsidRPr="00C26A9B">
        <w:rPr>
          <w:rFonts w:ascii="Times New Roman" w:hAnsi="Times New Roman" w:cs="Times New Roman"/>
          <w:sz w:val="24"/>
          <w:szCs w:val="24"/>
          <w:lang w:val="ro-RO"/>
        </w:rPr>
        <w:t xml:space="preserve">” cu un singur suport reprezentând un preț al titlurilor de capital, un preț al mărfurilor, un curs de schimb, un preț al obligațiunilor, un preț al instrumentului de tip credit </w:t>
      </w:r>
      <w:proofErr w:type="spellStart"/>
      <w:r w:rsidRPr="00C26A9B">
        <w:rPr>
          <w:rFonts w:ascii="Times New Roman" w:hAnsi="Times New Roman" w:cs="Times New Roman"/>
          <w:sz w:val="24"/>
          <w:szCs w:val="24"/>
          <w:lang w:val="ro-RO"/>
        </w:rPr>
        <w:t>default</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swap</w:t>
      </w:r>
      <w:proofErr w:type="spellEnd"/>
      <w:r w:rsidRPr="00C26A9B">
        <w:rPr>
          <w:rFonts w:ascii="Times New Roman" w:hAnsi="Times New Roman" w:cs="Times New Roman"/>
          <w:sz w:val="24"/>
          <w:szCs w:val="24"/>
          <w:lang w:val="ro-RO"/>
        </w:rPr>
        <w:t xml:space="preserve"> sau al </w:t>
      </w:r>
      <w:proofErr w:type="spellStart"/>
      <w:r w:rsidRPr="00C26A9B">
        <w:rPr>
          <w:rFonts w:ascii="Times New Roman" w:hAnsi="Times New Roman" w:cs="Times New Roman"/>
          <w:sz w:val="24"/>
          <w:szCs w:val="24"/>
          <w:lang w:val="ro-RO"/>
        </w:rPr>
        <w:t>swapului</w:t>
      </w:r>
      <w:proofErr w:type="spellEnd"/>
      <w:r w:rsidRPr="00C26A9B">
        <w:rPr>
          <w:rFonts w:ascii="Times New Roman" w:hAnsi="Times New Roman" w:cs="Times New Roman"/>
          <w:sz w:val="24"/>
          <w:szCs w:val="24"/>
          <w:lang w:val="ro-RO"/>
        </w:rPr>
        <w:t xml:space="preserve"> pe rata dobânzii;</w:t>
      </w:r>
    </w:p>
    <w:p w14:paraId="4A940B37" w14:textId="42B09984" w:rsidR="00167C93" w:rsidRPr="00C26A9B" w:rsidRDefault="00167C93" w:rsidP="00167C93">
      <w:pPr>
        <w:rPr>
          <w:rFonts w:ascii="Times New Roman" w:hAnsi="Times New Roman" w:cs="Times New Roman"/>
          <w:sz w:val="24"/>
          <w:szCs w:val="24"/>
          <w:lang w:val="ro-RO"/>
        </w:rPr>
      </w:pPr>
      <w:r w:rsidRPr="00421206">
        <w:rPr>
          <w:rFonts w:ascii="Times New Roman" w:hAnsi="Times New Roman" w:cs="Times New Roman"/>
          <w:sz w:val="24"/>
          <w:szCs w:val="24"/>
          <w:lang w:val="ro-RO"/>
        </w:rPr>
        <w:t>219.2.2. instrumente care sunt poziții care sunt incluse în ACTP menționate la</w:t>
      </w:r>
      <w:r w:rsidR="00421206" w:rsidRPr="00421206">
        <w:rPr>
          <w:rFonts w:ascii="Times New Roman" w:hAnsi="Times New Roman" w:cs="Times New Roman"/>
          <w:sz w:val="24"/>
          <w:szCs w:val="24"/>
          <w:lang w:val="ro-RO"/>
        </w:rPr>
        <w:t xml:space="preserve"> pct.75-76</w:t>
      </w:r>
      <w:r w:rsidRPr="00421206">
        <w:rPr>
          <w:rFonts w:ascii="Times New Roman" w:hAnsi="Times New Roman" w:cs="Times New Roman"/>
          <w:sz w:val="24"/>
          <w:szCs w:val="24"/>
          <w:lang w:val="ro-RO"/>
        </w:rPr>
        <w:t xml:space="preserve">; acoperirile care fac parte din ACTP respectiv, astfel cum sunt menționate la </w:t>
      </w:r>
      <w:r w:rsidR="00421206" w:rsidRPr="00421206">
        <w:rPr>
          <w:rFonts w:ascii="Times New Roman" w:hAnsi="Times New Roman" w:cs="Times New Roman"/>
          <w:sz w:val="24"/>
          <w:szCs w:val="24"/>
          <w:lang w:val="ro-RO"/>
        </w:rPr>
        <w:t>pct.78</w:t>
      </w:r>
      <w:r w:rsidRPr="00421206">
        <w:rPr>
          <w:rFonts w:ascii="Times New Roman" w:hAnsi="Times New Roman" w:cs="Times New Roman"/>
          <w:sz w:val="24"/>
          <w:szCs w:val="24"/>
          <w:lang w:val="ro-RO"/>
        </w:rPr>
        <w:t>,</w:t>
      </w:r>
      <w:r w:rsidRPr="00C26A9B">
        <w:rPr>
          <w:rFonts w:ascii="Times New Roman" w:hAnsi="Times New Roman" w:cs="Times New Roman"/>
          <w:sz w:val="24"/>
          <w:szCs w:val="24"/>
          <w:lang w:val="ro-RO"/>
        </w:rPr>
        <w:t xml:space="preserve"> nu sunt luate în considerare.</w:t>
      </w:r>
    </w:p>
    <w:p w14:paraId="0A45DFF4" w14:textId="77777777" w:rsidR="00167C93" w:rsidRPr="00C26A9B" w:rsidRDefault="00167C93" w:rsidP="00167C93">
      <w:pPr>
        <w:rPr>
          <w:rFonts w:ascii="Times New Roman" w:hAnsi="Times New Roman" w:cs="Times New Roman"/>
          <w:sz w:val="24"/>
          <w:szCs w:val="24"/>
          <w:lang w:val="ro-RO"/>
        </w:rPr>
      </w:pPr>
      <w:r w:rsidRPr="00C26A9B">
        <w:rPr>
          <w:rFonts w:ascii="Times New Roman" w:hAnsi="Times New Roman" w:cs="Times New Roman"/>
          <w:sz w:val="24"/>
          <w:szCs w:val="24"/>
          <w:lang w:val="ro-RO"/>
        </w:rPr>
        <w:t>220.   Băncile calculează cerințele de fonduri proprii suplimentare menționate la pct.218 ca fiind suma valorilor noționale brute ale instrumentelor menționate la pct.219 înmulțită cu următoarele ponderi de risc:</w:t>
      </w:r>
    </w:p>
    <w:p w14:paraId="35AD39DB" w14:textId="7E6D8782" w:rsidR="00167C93" w:rsidRPr="00C26A9B" w:rsidRDefault="00167C93" w:rsidP="00167C93">
      <w:pPr>
        <w:rPr>
          <w:rFonts w:ascii="Times New Roman" w:hAnsi="Times New Roman" w:cs="Times New Roman"/>
          <w:sz w:val="24"/>
          <w:szCs w:val="24"/>
          <w:lang w:val="ro-RO"/>
        </w:rPr>
      </w:pPr>
      <w:r w:rsidRPr="00C26A9B">
        <w:rPr>
          <w:rFonts w:ascii="Times New Roman" w:hAnsi="Times New Roman" w:cs="Times New Roman"/>
          <w:sz w:val="24"/>
          <w:szCs w:val="24"/>
          <w:lang w:val="ro-RO"/>
        </w:rPr>
        <w:t>220.1. 1,0 % în cazul instrumentelor menționate la</w:t>
      </w:r>
      <w:r w:rsidR="0083411F">
        <w:rPr>
          <w:rFonts w:ascii="Times New Roman" w:hAnsi="Times New Roman" w:cs="Times New Roman"/>
          <w:sz w:val="24"/>
          <w:szCs w:val="24"/>
          <w:lang w:val="ro-RO"/>
        </w:rPr>
        <w:t xml:space="preserve"> </w:t>
      </w:r>
      <w:r w:rsidRPr="00C26A9B">
        <w:rPr>
          <w:rFonts w:ascii="Times New Roman" w:hAnsi="Times New Roman" w:cs="Times New Roman"/>
          <w:sz w:val="24"/>
          <w:szCs w:val="24"/>
          <w:lang w:val="ro-RO"/>
        </w:rPr>
        <w:t>subpct.219.1;</w:t>
      </w:r>
    </w:p>
    <w:p w14:paraId="2CD06EE7" w14:textId="51915276" w:rsidR="00167C93" w:rsidRPr="00C26A9B" w:rsidRDefault="00167C93" w:rsidP="00167C93">
      <w:pPr>
        <w:rPr>
          <w:rFonts w:ascii="Times New Roman" w:hAnsi="Times New Roman" w:cs="Times New Roman"/>
          <w:sz w:val="24"/>
          <w:szCs w:val="24"/>
          <w:lang w:val="ro-RO"/>
        </w:rPr>
      </w:pPr>
      <w:r w:rsidRPr="00C26A9B">
        <w:rPr>
          <w:rFonts w:ascii="Times New Roman" w:hAnsi="Times New Roman" w:cs="Times New Roman"/>
          <w:sz w:val="24"/>
          <w:szCs w:val="24"/>
          <w:lang w:val="ro-RO"/>
        </w:rPr>
        <w:t>220.2. 0,1 % în cazul instrumentelor menționate la subpct.219.2.</w:t>
      </w:r>
    </w:p>
    <w:p w14:paraId="15136219" w14:textId="296ECF51" w:rsidR="00167C93" w:rsidRPr="00C26A9B" w:rsidRDefault="00167C93" w:rsidP="00167C93">
      <w:pPr>
        <w:rPr>
          <w:rFonts w:ascii="Times New Roman" w:hAnsi="Times New Roman" w:cs="Times New Roman"/>
          <w:sz w:val="24"/>
          <w:szCs w:val="24"/>
          <w:lang w:val="ro-RO"/>
        </w:rPr>
      </w:pPr>
      <w:r w:rsidRPr="00C26A9B">
        <w:rPr>
          <w:rFonts w:ascii="Times New Roman" w:hAnsi="Times New Roman" w:cs="Times New Roman"/>
          <w:sz w:val="24"/>
          <w:szCs w:val="24"/>
          <w:lang w:val="ro-RO"/>
        </w:rPr>
        <w:t>221.   Prin derogare de la</w:t>
      </w:r>
      <w:r w:rsidR="001A0293">
        <w:rPr>
          <w:rFonts w:ascii="Times New Roman" w:hAnsi="Times New Roman" w:cs="Times New Roman"/>
          <w:sz w:val="24"/>
          <w:szCs w:val="24"/>
          <w:lang w:val="ro-RO"/>
        </w:rPr>
        <w:t xml:space="preserve"> </w:t>
      </w:r>
      <w:r w:rsidRPr="00C26A9B">
        <w:rPr>
          <w:rFonts w:ascii="Times New Roman" w:hAnsi="Times New Roman" w:cs="Times New Roman"/>
          <w:sz w:val="24"/>
          <w:szCs w:val="24"/>
          <w:lang w:val="ro-RO"/>
        </w:rPr>
        <w:t>pct.218, banca nu aplică cerința de fonduri proprii pentru riscuri reziduale unui instrument care îndeplinește una dintre următoarele condiții:</w:t>
      </w:r>
    </w:p>
    <w:p w14:paraId="23A705BE" w14:textId="77777777" w:rsidR="00167C93" w:rsidRPr="00C26A9B" w:rsidRDefault="00167C93" w:rsidP="00167C93">
      <w:pPr>
        <w:rPr>
          <w:rFonts w:ascii="Times New Roman" w:hAnsi="Times New Roman" w:cs="Times New Roman"/>
          <w:sz w:val="24"/>
          <w:szCs w:val="24"/>
          <w:lang w:val="ro-RO"/>
        </w:rPr>
      </w:pPr>
      <w:r w:rsidRPr="00C26A9B">
        <w:rPr>
          <w:rFonts w:ascii="Times New Roman" w:hAnsi="Times New Roman" w:cs="Times New Roman"/>
          <w:sz w:val="24"/>
          <w:szCs w:val="24"/>
          <w:lang w:val="ro-RO"/>
        </w:rPr>
        <w:t>221.1. instrumentul este cotat la o bursă recunoscută;</w:t>
      </w:r>
    </w:p>
    <w:p w14:paraId="59940763" w14:textId="77777777" w:rsidR="00167C93" w:rsidRPr="00C26A9B" w:rsidRDefault="00167C93" w:rsidP="00167C93">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221.2 instrumentul este eligibil pentru compensare centrală în conformitate cu reglementările aferente instrumentelor financiare derivate </w:t>
      </w:r>
      <w:proofErr w:type="spellStart"/>
      <w:r w:rsidRPr="00C26A9B">
        <w:rPr>
          <w:rFonts w:ascii="Times New Roman" w:hAnsi="Times New Roman" w:cs="Times New Roman"/>
          <w:sz w:val="24"/>
          <w:szCs w:val="24"/>
          <w:lang w:val="ro-RO"/>
        </w:rPr>
        <w:t>extrabursiere</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contrapărţile</w:t>
      </w:r>
      <w:proofErr w:type="spellEnd"/>
      <w:r w:rsidRPr="00C26A9B">
        <w:rPr>
          <w:rFonts w:ascii="Times New Roman" w:hAnsi="Times New Roman" w:cs="Times New Roman"/>
          <w:sz w:val="24"/>
          <w:szCs w:val="24"/>
          <w:lang w:val="ro-RO"/>
        </w:rPr>
        <w:t xml:space="preserve"> centrale și registrele centrale de </w:t>
      </w:r>
      <w:proofErr w:type="spellStart"/>
      <w:r w:rsidRPr="00C26A9B">
        <w:rPr>
          <w:rFonts w:ascii="Times New Roman" w:hAnsi="Times New Roman" w:cs="Times New Roman"/>
          <w:sz w:val="24"/>
          <w:szCs w:val="24"/>
          <w:lang w:val="ro-RO"/>
        </w:rPr>
        <w:t>tranzacţii</w:t>
      </w:r>
      <w:proofErr w:type="spellEnd"/>
      <w:r w:rsidRPr="00C26A9B">
        <w:rPr>
          <w:rFonts w:ascii="Times New Roman" w:hAnsi="Times New Roman" w:cs="Times New Roman"/>
          <w:sz w:val="24"/>
          <w:szCs w:val="24"/>
          <w:lang w:val="ro-RO"/>
        </w:rPr>
        <w:t xml:space="preserve">  ;</w:t>
      </w:r>
    </w:p>
    <w:p w14:paraId="38F47403" w14:textId="1EEC581A" w:rsidR="00167C93" w:rsidRPr="00C26A9B" w:rsidRDefault="00167C93" w:rsidP="00167C93">
      <w:pPr>
        <w:rPr>
          <w:rFonts w:ascii="Times New Roman" w:hAnsi="Times New Roman" w:cs="Times New Roman"/>
          <w:sz w:val="24"/>
          <w:szCs w:val="24"/>
          <w:lang w:val="ro-RO"/>
        </w:rPr>
      </w:pPr>
      <w:r w:rsidRPr="00C26A9B">
        <w:rPr>
          <w:rFonts w:ascii="Times New Roman" w:hAnsi="Times New Roman" w:cs="Times New Roman"/>
          <w:sz w:val="24"/>
          <w:szCs w:val="24"/>
          <w:lang w:val="ro-RO"/>
        </w:rPr>
        <w:t>221.3. instrumentul compensează perfect riscul de piață aferent unei alte poziții din portofoliul de tranzacționare, caz în care cele două poziții din portofoliul de tranzacționare care se potrivesc perfect sunt exceptate de la cerința de fonduri proprii pentru riscuri reziduale.</w:t>
      </w:r>
    </w:p>
    <w:p w14:paraId="7B4A4B1B" w14:textId="77777777" w:rsidR="00167C93" w:rsidRPr="00C26A9B" w:rsidRDefault="00167C93" w:rsidP="00167C93">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222.   Prin derogare de la pct.218, până la 31 decembrie 2032, o bancă nu aplică cerința de fonduri proprii pentru riscurile reziduale instrumentelor care vizează exclusiv acoperirea riscului de piață al pozițiilor din </w:t>
      </w:r>
      <w:r w:rsidRPr="00C26A9B">
        <w:rPr>
          <w:rFonts w:ascii="Times New Roman" w:hAnsi="Times New Roman" w:cs="Times New Roman"/>
          <w:sz w:val="24"/>
          <w:szCs w:val="24"/>
          <w:lang w:val="ro-RO"/>
        </w:rPr>
        <w:lastRenderedPageBreak/>
        <w:t>portofoliul de tranzacționare care generează o cerință de fonduri proprii pentru riscurile reziduale și care sunt expuse aceluiași tip de riscuri reziduale ca pozițiile pe care le acoperă.</w:t>
      </w:r>
    </w:p>
    <w:p w14:paraId="6C304EC1" w14:textId="77777777" w:rsidR="00167C93" w:rsidRPr="00C26A9B" w:rsidRDefault="00167C93" w:rsidP="00167C93">
      <w:pPr>
        <w:rPr>
          <w:rFonts w:ascii="Times New Roman" w:hAnsi="Times New Roman" w:cs="Times New Roman"/>
          <w:sz w:val="24"/>
          <w:szCs w:val="24"/>
          <w:lang w:val="ro-RO"/>
        </w:rPr>
      </w:pPr>
      <w:r w:rsidRPr="00C26A9B">
        <w:rPr>
          <w:rFonts w:ascii="Times New Roman" w:hAnsi="Times New Roman" w:cs="Times New Roman"/>
          <w:sz w:val="24"/>
          <w:szCs w:val="24"/>
          <w:lang w:val="ro-RO"/>
        </w:rPr>
        <w:t>223. BNM acordă aprobarea de a aplica tratamentul menționat la pct.222 în cazul în care banca poate demonstra în permanență, într-un mod considerat satisfăcător de BNM, că instrumentele respectă criteriile pentru a fi tratate ca poziții de acoperire împotriva riscurilor.</w:t>
      </w:r>
    </w:p>
    <w:p w14:paraId="0E39B605" w14:textId="144A3D60" w:rsidR="00167C93" w:rsidRPr="00C26A9B" w:rsidRDefault="00167C93" w:rsidP="00167C93">
      <w:pPr>
        <w:rPr>
          <w:rFonts w:ascii="Times New Roman" w:hAnsi="Times New Roman" w:cs="Times New Roman"/>
          <w:sz w:val="24"/>
          <w:szCs w:val="24"/>
          <w:lang w:val="ro-RO"/>
        </w:rPr>
      </w:pPr>
      <w:r w:rsidRPr="00C26A9B">
        <w:rPr>
          <w:rFonts w:ascii="Times New Roman" w:hAnsi="Times New Roman" w:cs="Times New Roman"/>
          <w:sz w:val="24"/>
          <w:szCs w:val="24"/>
          <w:lang w:val="ro-RO"/>
        </w:rPr>
        <w:t>224. Banca raportează BNM rezultatul calculului cerințelor de fonduri proprii pentru riscurile reziduale pentru toate instrumentele cărora li se aplică derogarea menționată la pct.222.</w:t>
      </w:r>
    </w:p>
    <w:p w14:paraId="117D574B" w14:textId="3093BBA4" w:rsidR="00002660" w:rsidRPr="00C26A9B" w:rsidRDefault="00002660" w:rsidP="00002660">
      <w:pPr>
        <w:rPr>
          <w:rFonts w:ascii="Times New Roman" w:hAnsi="Times New Roman" w:cs="Times New Roman"/>
          <w:b/>
          <w:bCs/>
          <w:sz w:val="24"/>
          <w:szCs w:val="24"/>
          <w:lang w:val="ro-RO"/>
        </w:rPr>
      </w:pPr>
      <w:bookmarkStart w:id="24" w:name="_Hlk195097300"/>
      <w:r w:rsidRPr="00C26A9B">
        <w:rPr>
          <w:rFonts w:ascii="Times New Roman" w:hAnsi="Times New Roman" w:cs="Times New Roman"/>
          <w:b/>
          <w:bCs/>
          <w:sz w:val="24"/>
          <w:szCs w:val="24"/>
          <w:lang w:val="ro-RO"/>
        </w:rPr>
        <w:t>Secțiunea 5. Cerințe de fonduri proprii pentru riscul de nerambursare</w:t>
      </w:r>
    </w:p>
    <w:p w14:paraId="10922EFF" w14:textId="108A86C8" w:rsidR="00002660" w:rsidRPr="00C26A9B" w:rsidRDefault="00002660" w:rsidP="00002660">
      <w:pPr>
        <w:rPr>
          <w:rFonts w:ascii="Times New Roman" w:hAnsi="Times New Roman" w:cs="Times New Roman"/>
          <w:sz w:val="24"/>
          <w:szCs w:val="24"/>
          <w:lang w:val="ro-RO"/>
        </w:rPr>
      </w:pPr>
      <w:r w:rsidRPr="00C26A9B">
        <w:rPr>
          <w:rFonts w:ascii="Times New Roman" w:hAnsi="Times New Roman" w:cs="Times New Roman"/>
          <w:i/>
          <w:iCs/>
          <w:sz w:val="24"/>
          <w:szCs w:val="24"/>
          <w:lang w:val="ro-RO"/>
        </w:rPr>
        <w:t xml:space="preserve">Paragraful 1. </w:t>
      </w:r>
      <w:r w:rsidRPr="00C26A9B">
        <w:rPr>
          <w:rFonts w:ascii="Times New Roman" w:hAnsi="Times New Roman" w:cs="Times New Roman"/>
          <w:b/>
          <w:bCs/>
          <w:sz w:val="24"/>
          <w:szCs w:val="24"/>
          <w:lang w:val="ro-RO"/>
        </w:rPr>
        <w:t>Definiții și dispoziții generale</w:t>
      </w:r>
      <w:bookmarkEnd w:id="24"/>
    </w:p>
    <w:p w14:paraId="3344B94F" w14:textId="77777777" w:rsidR="00002660" w:rsidRPr="00C26A9B" w:rsidRDefault="00002660" w:rsidP="00002660">
      <w:pPr>
        <w:rPr>
          <w:rFonts w:ascii="Times New Roman" w:hAnsi="Times New Roman" w:cs="Times New Roman"/>
          <w:sz w:val="24"/>
          <w:szCs w:val="24"/>
          <w:lang w:val="ro-RO"/>
        </w:rPr>
      </w:pPr>
      <w:r w:rsidRPr="00C26A9B">
        <w:rPr>
          <w:rFonts w:ascii="Times New Roman" w:hAnsi="Times New Roman" w:cs="Times New Roman"/>
          <w:sz w:val="24"/>
          <w:szCs w:val="24"/>
          <w:lang w:val="ro-RO"/>
        </w:rPr>
        <w:t>225.   În sensul prezentei secțiuni, se aplică următoarele definiții:</w:t>
      </w:r>
    </w:p>
    <w:p w14:paraId="6E85EB85" w14:textId="77777777" w:rsidR="00002660" w:rsidRPr="00C26A9B" w:rsidRDefault="00002660" w:rsidP="00002660">
      <w:pPr>
        <w:rPr>
          <w:rFonts w:ascii="Times New Roman" w:hAnsi="Times New Roman" w:cs="Times New Roman"/>
          <w:sz w:val="24"/>
          <w:szCs w:val="24"/>
          <w:lang w:val="ro-RO"/>
        </w:rPr>
      </w:pPr>
      <w:r w:rsidRPr="00C26A9B">
        <w:rPr>
          <w:rFonts w:ascii="Times New Roman" w:hAnsi="Times New Roman" w:cs="Times New Roman"/>
          <w:sz w:val="24"/>
          <w:szCs w:val="24"/>
          <w:lang w:val="ro-RO"/>
        </w:rPr>
        <w:t>225.1. „expunere scurtă” înseamnă că situația de nerambursare a unui emitent sau a unui grup de emitenți are ca rezultat un câștig pentru bancă, indiferent de tipul instrumentului sau al tranzacției care creează expunerea;</w:t>
      </w:r>
    </w:p>
    <w:p w14:paraId="22A94A7C" w14:textId="77777777" w:rsidR="00002660" w:rsidRPr="00C26A9B" w:rsidRDefault="00002660" w:rsidP="00002660">
      <w:pPr>
        <w:rPr>
          <w:rFonts w:ascii="Times New Roman" w:hAnsi="Times New Roman" w:cs="Times New Roman"/>
          <w:sz w:val="24"/>
          <w:szCs w:val="24"/>
          <w:lang w:val="ro-RO"/>
        </w:rPr>
      </w:pPr>
      <w:r w:rsidRPr="00C26A9B">
        <w:rPr>
          <w:rFonts w:ascii="Times New Roman" w:hAnsi="Times New Roman" w:cs="Times New Roman"/>
          <w:sz w:val="24"/>
          <w:szCs w:val="24"/>
          <w:lang w:val="ro-RO"/>
        </w:rPr>
        <w:t>225.2. „expunere lungă” înseamnă că situația de nerambursare a unui emitent sau a unui grup de emitenți are ca rezultat o pierdere pentru bancă, indiferent de tipul instrumentului sau al tranzacției care creează expunerea;</w:t>
      </w:r>
    </w:p>
    <w:p w14:paraId="539B4E56" w14:textId="77777777" w:rsidR="00002660" w:rsidRPr="00C26A9B" w:rsidRDefault="00002660" w:rsidP="00002660">
      <w:pPr>
        <w:rPr>
          <w:rFonts w:ascii="Times New Roman" w:hAnsi="Times New Roman" w:cs="Times New Roman"/>
          <w:sz w:val="24"/>
          <w:szCs w:val="24"/>
          <w:lang w:val="ro-RO"/>
        </w:rPr>
      </w:pPr>
      <w:r w:rsidRPr="00C26A9B">
        <w:rPr>
          <w:rFonts w:ascii="Times New Roman" w:hAnsi="Times New Roman" w:cs="Times New Roman"/>
          <w:sz w:val="24"/>
          <w:szCs w:val="24"/>
          <w:lang w:val="ro-RO"/>
        </w:rPr>
        <w:t>225.3. „cuantum brut al trecerii bruște în starea de nerambursare” (</w:t>
      </w:r>
      <w:proofErr w:type="spellStart"/>
      <w:r w:rsidRPr="00C26A9B">
        <w:rPr>
          <w:rFonts w:ascii="Times New Roman" w:hAnsi="Times New Roman" w:cs="Times New Roman"/>
          <w:i/>
          <w:iCs/>
          <w:sz w:val="24"/>
          <w:szCs w:val="24"/>
          <w:lang w:val="ro-RO"/>
        </w:rPr>
        <w:t>gross</w:t>
      </w:r>
      <w:proofErr w:type="spellEnd"/>
      <w:r w:rsidRPr="00C26A9B">
        <w:rPr>
          <w:rFonts w:ascii="Times New Roman" w:hAnsi="Times New Roman" w:cs="Times New Roman"/>
          <w:i/>
          <w:iCs/>
          <w:sz w:val="24"/>
          <w:szCs w:val="24"/>
          <w:lang w:val="ro-RO"/>
        </w:rPr>
        <w:t xml:space="preserve"> </w:t>
      </w:r>
      <w:proofErr w:type="spellStart"/>
      <w:r w:rsidRPr="00C26A9B">
        <w:rPr>
          <w:rFonts w:ascii="Times New Roman" w:hAnsi="Times New Roman" w:cs="Times New Roman"/>
          <w:i/>
          <w:iCs/>
          <w:sz w:val="24"/>
          <w:szCs w:val="24"/>
          <w:lang w:val="ro-RO"/>
        </w:rPr>
        <w:t>jump</w:t>
      </w:r>
      <w:proofErr w:type="spellEnd"/>
      <w:r w:rsidRPr="00C26A9B">
        <w:rPr>
          <w:rFonts w:ascii="Times New Roman" w:hAnsi="Times New Roman" w:cs="Times New Roman"/>
          <w:i/>
          <w:iCs/>
          <w:sz w:val="24"/>
          <w:szCs w:val="24"/>
          <w:lang w:val="ro-RO"/>
        </w:rPr>
        <w:t xml:space="preserve"> </w:t>
      </w:r>
      <w:proofErr w:type="spellStart"/>
      <w:r w:rsidRPr="00C26A9B">
        <w:rPr>
          <w:rFonts w:ascii="Times New Roman" w:hAnsi="Times New Roman" w:cs="Times New Roman"/>
          <w:i/>
          <w:iCs/>
          <w:sz w:val="24"/>
          <w:szCs w:val="24"/>
          <w:lang w:val="ro-RO"/>
        </w:rPr>
        <w:t>to</w:t>
      </w:r>
      <w:proofErr w:type="spellEnd"/>
      <w:r w:rsidRPr="00C26A9B">
        <w:rPr>
          <w:rFonts w:ascii="Times New Roman" w:hAnsi="Times New Roman" w:cs="Times New Roman"/>
          <w:i/>
          <w:iCs/>
          <w:sz w:val="24"/>
          <w:szCs w:val="24"/>
          <w:lang w:val="ro-RO"/>
        </w:rPr>
        <w:t xml:space="preserve"> </w:t>
      </w:r>
      <w:proofErr w:type="spellStart"/>
      <w:r w:rsidRPr="00C26A9B">
        <w:rPr>
          <w:rFonts w:ascii="Times New Roman" w:hAnsi="Times New Roman" w:cs="Times New Roman"/>
          <w:i/>
          <w:iCs/>
          <w:sz w:val="24"/>
          <w:szCs w:val="24"/>
          <w:lang w:val="ro-RO"/>
        </w:rPr>
        <w:t>default</w:t>
      </w:r>
      <w:proofErr w:type="spellEnd"/>
      <w:r w:rsidRPr="00C26A9B">
        <w:rPr>
          <w:rFonts w:ascii="Times New Roman" w:hAnsi="Times New Roman" w:cs="Times New Roman"/>
          <w:sz w:val="24"/>
          <w:szCs w:val="24"/>
          <w:lang w:val="ro-RO"/>
        </w:rPr>
        <w:t> – JTD brut) înseamnă dimensiunea estimată a pierderii sau a câștigului pe care starea de nerambursare a debitorului l-ar determina pentru o anumită expunere;</w:t>
      </w:r>
    </w:p>
    <w:p w14:paraId="08192A8A" w14:textId="77777777" w:rsidR="00002660" w:rsidRPr="00C26A9B" w:rsidRDefault="00002660" w:rsidP="00002660">
      <w:pPr>
        <w:rPr>
          <w:rFonts w:ascii="Times New Roman" w:hAnsi="Times New Roman" w:cs="Times New Roman"/>
          <w:sz w:val="24"/>
          <w:szCs w:val="24"/>
          <w:lang w:val="ro-RO"/>
        </w:rPr>
      </w:pPr>
      <w:r w:rsidRPr="00C26A9B">
        <w:rPr>
          <w:rFonts w:ascii="Times New Roman" w:hAnsi="Times New Roman" w:cs="Times New Roman"/>
          <w:sz w:val="24"/>
          <w:szCs w:val="24"/>
          <w:lang w:val="ro-RO"/>
        </w:rPr>
        <w:t>225.4. „cuantum net al trecerii bruște în starea de nerambursare” (</w:t>
      </w:r>
      <w:r w:rsidRPr="00C26A9B">
        <w:rPr>
          <w:rFonts w:ascii="Times New Roman" w:hAnsi="Times New Roman" w:cs="Times New Roman"/>
          <w:i/>
          <w:iCs/>
          <w:sz w:val="24"/>
          <w:szCs w:val="24"/>
          <w:lang w:val="ro-RO"/>
        </w:rPr>
        <w:t xml:space="preserve">net </w:t>
      </w:r>
      <w:proofErr w:type="spellStart"/>
      <w:r w:rsidRPr="00C26A9B">
        <w:rPr>
          <w:rFonts w:ascii="Times New Roman" w:hAnsi="Times New Roman" w:cs="Times New Roman"/>
          <w:i/>
          <w:iCs/>
          <w:sz w:val="24"/>
          <w:szCs w:val="24"/>
          <w:lang w:val="ro-RO"/>
        </w:rPr>
        <w:t>jump</w:t>
      </w:r>
      <w:proofErr w:type="spellEnd"/>
      <w:r w:rsidRPr="00C26A9B">
        <w:rPr>
          <w:rFonts w:ascii="Times New Roman" w:hAnsi="Times New Roman" w:cs="Times New Roman"/>
          <w:i/>
          <w:iCs/>
          <w:sz w:val="24"/>
          <w:szCs w:val="24"/>
          <w:lang w:val="ro-RO"/>
        </w:rPr>
        <w:t xml:space="preserve"> </w:t>
      </w:r>
      <w:proofErr w:type="spellStart"/>
      <w:r w:rsidRPr="00C26A9B">
        <w:rPr>
          <w:rFonts w:ascii="Times New Roman" w:hAnsi="Times New Roman" w:cs="Times New Roman"/>
          <w:i/>
          <w:iCs/>
          <w:sz w:val="24"/>
          <w:szCs w:val="24"/>
          <w:lang w:val="ro-RO"/>
        </w:rPr>
        <w:t>to</w:t>
      </w:r>
      <w:proofErr w:type="spellEnd"/>
      <w:r w:rsidRPr="00C26A9B">
        <w:rPr>
          <w:rFonts w:ascii="Times New Roman" w:hAnsi="Times New Roman" w:cs="Times New Roman"/>
          <w:i/>
          <w:iCs/>
          <w:sz w:val="24"/>
          <w:szCs w:val="24"/>
          <w:lang w:val="ro-RO"/>
        </w:rPr>
        <w:t xml:space="preserve"> </w:t>
      </w:r>
      <w:proofErr w:type="spellStart"/>
      <w:r w:rsidRPr="00C26A9B">
        <w:rPr>
          <w:rFonts w:ascii="Times New Roman" w:hAnsi="Times New Roman" w:cs="Times New Roman"/>
          <w:i/>
          <w:iCs/>
          <w:sz w:val="24"/>
          <w:szCs w:val="24"/>
          <w:lang w:val="ro-RO"/>
        </w:rPr>
        <w:t>default</w:t>
      </w:r>
      <w:proofErr w:type="spellEnd"/>
      <w:r w:rsidRPr="00C26A9B">
        <w:rPr>
          <w:rFonts w:ascii="Times New Roman" w:hAnsi="Times New Roman" w:cs="Times New Roman"/>
          <w:sz w:val="24"/>
          <w:szCs w:val="24"/>
          <w:lang w:val="ro-RO"/>
        </w:rPr>
        <w:t> – JTD net) înseamnă dimensiunea estimată a pierderii sau a câștigului pe care o bancă ar înregistra-o din cauza stării de nerambursare a unui debitor, după ce cuantumurile brute ale JTD au fost compensate între ele;</w:t>
      </w:r>
    </w:p>
    <w:p w14:paraId="488195D2" w14:textId="77777777" w:rsidR="00002660" w:rsidRPr="00C26A9B" w:rsidRDefault="00002660" w:rsidP="00002660">
      <w:pPr>
        <w:rPr>
          <w:rFonts w:ascii="Times New Roman" w:hAnsi="Times New Roman" w:cs="Times New Roman"/>
          <w:sz w:val="24"/>
          <w:szCs w:val="24"/>
          <w:lang w:val="ro-RO"/>
        </w:rPr>
      </w:pPr>
      <w:r w:rsidRPr="00C26A9B">
        <w:rPr>
          <w:rFonts w:ascii="Times New Roman" w:hAnsi="Times New Roman" w:cs="Times New Roman"/>
          <w:sz w:val="24"/>
          <w:szCs w:val="24"/>
          <w:lang w:val="ro-RO"/>
        </w:rPr>
        <w:t>225.5. „pierdere în caz de nerambursare” (</w:t>
      </w:r>
      <w:proofErr w:type="spellStart"/>
      <w:r w:rsidRPr="00C26A9B">
        <w:rPr>
          <w:rFonts w:ascii="Times New Roman" w:hAnsi="Times New Roman" w:cs="Times New Roman"/>
          <w:sz w:val="24"/>
          <w:szCs w:val="24"/>
          <w:lang w:val="ro-RO"/>
        </w:rPr>
        <w:t>loss</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given</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default</w:t>
      </w:r>
      <w:proofErr w:type="spellEnd"/>
      <w:r w:rsidRPr="00C26A9B">
        <w:rPr>
          <w:rFonts w:ascii="Times New Roman" w:hAnsi="Times New Roman" w:cs="Times New Roman"/>
          <w:sz w:val="24"/>
          <w:szCs w:val="24"/>
          <w:lang w:val="ro-RO"/>
        </w:rPr>
        <w:t xml:space="preserve"> -  LGD) înseamnă pierderea în caz de nerambursare a debitorului cauzată unui instrument emis de respectivul debitor, exprimată ca pondere din cuantumul noțional al instrumentului;</w:t>
      </w:r>
    </w:p>
    <w:p w14:paraId="67E9D5B9" w14:textId="2E5D8124" w:rsidR="00F64013" w:rsidRPr="00C26A9B" w:rsidRDefault="00002660" w:rsidP="00002660">
      <w:pPr>
        <w:rPr>
          <w:rFonts w:ascii="Times New Roman" w:hAnsi="Times New Roman" w:cs="Times New Roman"/>
          <w:sz w:val="24"/>
          <w:szCs w:val="24"/>
          <w:lang w:val="ro-RO"/>
        </w:rPr>
      </w:pPr>
      <w:r w:rsidRPr="00C26A9B">
        <w:rPr>
          <w:rFonts w:ascii="Times New Roman" w:hAnsi="Times New Roman" w:cs="Times New Roman"/>
          <w:sz w:val="24"/>
          <w:szCs w:val="24"/>
          <w:lang w:val="ro-RO"/>
        </w:rPr>
        <w:t>225.6. „pondere de risc de nerambursare” înseamnă procentul pe care îl reprezintă probabilitatea estimată de intrare în stare de nerambursare a fiecărui debitor, în conformitate cu bonitatea respectivului debitor.</w:t>
      </w:r>
    </w:p>
    <w:p w14:paraId="71812FFA" w14:textId="041A8E86" w:rsidR="00002660" w:rsidRPr="00C26A9B" w:rsidRDefault="00002660" w:rsidP="00002660">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226.   Cerințele de fonduri proprii pentru riscul de nerambursare se aplică titlurilor de datorie și de capital, instrumentelor financiare derivate pentru care instrumentele respective sunt instrumente-suport, precum și instrumentelor derivate ale căror rezultate sau valori juste sunt afectate de intrarea în stare de nerambursare a unui debitor, altul decât </w:t>
      </w:r>
      <w:proofErr w:type="spellStart"/>
      <w:r w:rsidRPr="00C26A9B">
        <w:rPr>
          <w:rFonts w:ascii="Times New Roman" w:hAnsi="Times New Roman" w:cs="Times New Roman"/>
          <w:sz w:val="24"/>
          <w:szCs w:val="24"/>
          <w:lang w:val="ro-RO"/>
        </w:rPr>
        <w:t>contrapartea</w:t>
      </w:r>
      <w:proofErr w:type="spellEnd"/>
      <w:r w:rsidRPr="00C26A9B">
        <w:rPr>
          <w:rFonts w:ascii="Times New Roman" w:hAnsi="Times New Roman" w:cs="Times New Roman"/>
          <w:sz w:val="24"/>
          <w:szCs w:val="24"/>
          <w:lang w:val="ro-RO"/>
        </w:rPr>
        <w:t xml:space="preserve"> la instrumentul derivat în cauză. Băncile calculează cerințele pentru riscul de nerambursare separat pentru fiecare dintre următoarele tipuri de instrumente: instrumente care nu sunt poziții din securitizare, securitizări care nu sunt incluse în ACTP și securitizări care sunt incluse în ACTP. Cerințele finale de fonduri proprii pentru riscul de nerambursare care trebuie aplicate de bănci reprezintă suma acestor trei componente.</w:t>
      </w:r>
    </w:p>
    <w:p w14:paraId="61D774B7" w14:textId="67863EC4" w:rsidR="00002660" w:rsidRPr="00C26A9B" w:rsidRDefault="00002660" w:rsidP="00002660">
      <w:pPr>
        <w:rPr>
          <w:rFonts w:ascii="Times New Roman" w:hAnsi="Times New Roman" w:cs="Times New Roman"/>
          <w:sz w:val="24"/>
          <w:szCs w:val="24"/>
          <w:lang w:val="ro-RO"/>
        </w:rPr>
      </w:pPr>
      <w:r w:rsidRPr="00C26A9B">
        <w:rPr>
          <w:rFonts w:ascii="Times New Roman" w:hAnsi="Times New Roman" w:cs="Times New Roman"/>
          <w:sz w:val="24"/>
          <w:szCs w:val="24"/>
          <w:lang w:val="ro-RO"/>
        </w:rPr>
        <w:t>227.   În cazul instrumentelor financiare derivate pe credit și pe titluri de capital tranzacționate care nu sunt poziții din securitizare, cuantumurile JTD pentru fiecare componentă individuală se determină prin aplicarea unei abordări de tipul </w:t>
      </w:r>
      <w:r w:rsidRPr="00C26A9B">
        <w:rPr>
          <w:rFonts w:ascii="Times New Roman" w:hAnsi="Times New Roman" w:cs="Times New Roman"/>
          <w:i/>
          <w:iCs/>
          <w:sz w:val="24"/>
          <w:szCs w:val="24"/>
          <w:lang w:val="ro-RO"/>
        </w:rPr>
        <w:t>look-</w:t>
      </w:r>
      <w:proofErr w:type="spellStart"/>
      <w:r w:rsidRPr="00C26A9B">
        <w:rPr>
          <w:rFonts w:ascii="Times New Roman" w:hAnsi="Times New Roman" w:cs="Times New Roman"/>
          <w:i/>
          <w:iCs/>
          <w:sz w:val="24"/>
          <w:szCs w:val="24"/>
          <w:lang w:val="ro-RO"/>
        </w:rPr>
        <w:t>through</w:t>
      </w:r>
      <w:proofErr w:type="spellEnd"/>
      <w:r w:rsidRPr="00C26A9B">
        <w:rPr>
          <w:rFonts w:ascii="Times New Roman" w:hAnsi="Times New Roman" w:cs="Times New Roman"/>
          <w:sz w:val="24"/>
          <w:szCs w:val="24"/>
          <w:lang w:val="ro-RO"/>
        </w:rPr>
        <w:t>.</w:t>
      </w:r>
    </w:p>
    <w:p w14:paraId="42991177" w14:textId="555EA37E" w:rsidR="00481DFA" w:rsidRPr="00CC1E9B" w:rsidRDefault="00481DFA" w:rsidP="00481DFA">
      <w:pPr>
        <w:rPr>
          <w:rFonts w:ascii="Times New Roman" w:hAnsi="Times New Roman" w:cs="Times New Roman"/>
          <w:b/>
          <w:bCs/>
          <w:i/>
          <w:iCs/>
          <w:sz w:val="24"/>
          <w:szCs w:val="24"/>
          <w:lang w:val="ro-RO"/>
        </w:rPr>
      </w:pPr>
      <w:bookmarkStart w:id="25" w:name="_Hlk195097336"/>
      <w:r w:rsidRPr="00CC1E9B">
        <w:rPr>
          <w:rFonts w:ascii="Times New Roman" w:hAnsi="Times New Roman" w:cs="Times New Roman"/>
          <w:b/>
          <w:bCs/>
          <w:i/>
          <w:iCs/>
          <w:sz w:val="24"/>
          <w:szCs w:val="24"/>
          <w:lang w:val="ro-RO"/>
        </w:rPr>
        <w:t>Subsecțiunea 1. Cerințele de fonduri proprii pentru riscul de nerambursare pentru instrumentele care nu sunt poziții din securitizare</w:t>
      </w:r>
    </w:p>
    <w:p w14:paraId="2DF427B2" w14:textId="053FCA04" w:rsidR="00481DFA" w:rsidRPr="00C26A9B" w:rsidRDefault="00481DFA" w:rsidP="00481DFA">
      <w:pPr>
        <w:rPr>
          <w:rFonts w:ascii="Times New Roman" w:hAnsi="Times New Roman" w:cs="Times New Roman"/>
          <w:b/>
          <w:bCs/>
          <w:sz w:val="24"/>
          <w:szCs w:val="24"/>
          <w:lang w:val="ro-RO"/>
        </w:rPr>
      </w:pPr>
      <w:r w:rsidRPr="00C26A9B">
        <w:rPr>
          <w:rFonts w:ascii="Times New Roman" w:hAnsi="Times New Roman" w:cs="Times New Roman"/>
          <w:i/>
          <w:iCs/>
          <w:sz w:val="24"/>
          <w:szCs w:val="24"/>
          <w:lang w:val="ro-RO"/>
        </w:rPr>
        <w:t xml:space="preserve">Paragraful 1. </w:t>
      </w:r>
      <w:r w:rsidRPr="00C26A9B">
        <w:rPr>
          <w:rFonts w:ascii="Times New Roman" w:hAnsi="Times New Roman" w:cs="Times New Roman"/>
          <w:b/>
          <w:bCs/>
          <w:sz w:val="24"/>
          <w:szCs w:val="24"/>
          <w:lang w:val="ro-RO"/>
        </w:rPr>
        <w:t>Cuantumurile brute ale trecerii bruște în starea de nerambursare</w:t>
      </w:r>
      <w:bookmarkEnd w:id="25"/>
    </w:p>
    <w:p w14:paraId="1C08499D" w14:textId="77777777" w:rsidR="00481DFA" w:rsidRPr="00C26A9B" w:rsidRDefault="00481DFA" w:rsidP="00481DFA">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228.   Băncile calculează cuantumurile brute ale JTD pentru fiecare expunere lungă la titluri de datorie după cum urmează:</w:t>
      </w:r>
    </w:p>
    <w:p w14:paraId="04FCD372" w14:textId="77777777" w:rsidR="00481DFA" w:rsidRPr="00C26A9B" w:rsidRDefault="00481DFA" w:rsidP="00481DFA">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JTD</w:t>
      </w:r>
      <w:r w:rsidRPr="00C26A9B">
        <w:rPr>
          <w:rFonts w:ascii="Times New Roman" w:hAnsi="Times New Roman" w:cs="Times New Roman"/>
          <w:sz w:val="24"/>
          <w:szCs w:val="24"/>
          <w:vertAlign w:val="subscript"/>
          <w:lang w:val="ro-RO"/>
        </w:rPr>
        <w:t>lung</w:t>
      </w:r>
      <w:proofErr w:type="spellEnd"/>
      <w:r w:rsidRPr="00C26A9B">
        <w:rPr>
          <w:rFonts w:ascii="Times New Roman" w:hAnsi="Times New Roman" w:cs="Times New Roman"/>
          <w:sz w:val="24"/>
          <w:szCs w:val="24"/>
          <w:lang w:val="ro-RO"/>
        </w:rPr>
        <w:t xml:space="preserve"> = </w:t>
      </w:r>
      <w:proofErr w:type="spellStart"/>
      <w:r w:rsidRPr="00C26A9B">
        <w:rPr>
          <w:rFonts w:ascii="Times New Roman" w:hAnsi="Times New Roman" w:cs="Times New Roman"/>
          <w:sz w:val="24"/>
          <w:szCs w:val="24"/>
          <w:lang w:val="ro-RO"/>
        </w:rPr>
        <w:t>max</w:t>
      </w:r>
      <w:proofErr w:type="spellEnd"/>
      <w:r w:rsidRPr="00C26A9B">
        <w:rPr>
          <w:rFonts w:ascii="Times New Roman" w:hAnsi="Times New Roman" w:cs="Times New Roman"/>
          <w:sz w:val="24"/>
          <w:szCs w:val="24"/>
          <w:lang w:val="ro-RO"/>
        </w:rPr>
        <w:t xml:space="preserve"> {LGD </w:t>
      </w:r>
      <w:proofErr w:type="spellStart"/>
      <w:r w:rsidRPr="00C26A9B">
        <w:rPr>
          <w:rFonts w:ascii="Times New Roman" w:hAnsi="Times New Roman" w:cs="Times New Roman"/>
          <w:sz w:val="24"/>
          <w:szCs w:val="24"/>
          <w:lang w:val="ro-RO"/>
        </w:rPr>
        <w:t>V</w:t>
      </w:r>
      <w:r w:rsidRPr="00C26A9B">
        <w:rPr>
          <w:rFonts w:ascii="Times New Roman" w:hAnsi="Times New Roman" w:cs="Times New Roman"/>
          <w:sz w:val="24"/>
          <w:szCs w:val="24"/>
          <w:vertAlign w:val="subscript"/>
          <w:lang w:val="ro-RO"/>
        </w:rPr>
        <w:t>noțională</w:t>
      </w:r>
      <w:proofErr w:type="spellEnd"/>
      <w:r w:rsidRPr="00C26A9B">
        <w:rPr>
          <w:rFonts w:ascii="Times New Roman" w:hAnsi="Times New Roman" w:cs="Times New Roman"/>
          <w:sz w:val="24"/>
          <w:szCs w:val="24"/>
          <w:lang w:val="ro-RO"/>
        </w:rPr>
        <w:t xml:space="preserve"> + </w:t>
      </w:r>
      <w:proofErr w:type="spellStart"/>
      <w:r w:rsidRPr="00C26A9B">
        <w:rPr>
          <w:rFonts w:ascii="Times New Roman" w:hAnsi="Times New Roman" w:cs="Times New Roman"/>
          <w:sz w:val="24"/>
          <w:szCs w:val="24"/>
          <w:lang w:val="ro-RO"/>
        </w:rPr>
        <w:t>P&amp;L</w:t>
      </w:r>
      <w:r w:rsidRPr="00C26A9B">
        <w:rPr>
          <w:rFonts w:ascii="Times New Roman" w:hAnsi="Times New Roman" w:cs="Times New Roman"/>
          <w:sz w:val="24"/>
          <w:szCs w:val="24"/>
          <w:vertAlign w:val="subscript"/>
          <w:lang w:val="ro-RO"/>
        </w:rPr>
        <w:t>lung</w:t>
      </w:r>
      <w:proofErr w:type="spellEnd"/>
      <w:r w:rsidRPr="00C26A9B">
        <w:rPr>
          <w:rFonts w:ascii="Times New Roman" w:hAnsi="Times New Roman" w:cs="Times New Roman"/>
          <w:sz w:val="24"/>
          <w:szCs w:val="24"/>
          <w:lang w:val="ro-RO"/>
        </w:rPr>
        <w:t xml:space="preserve"> + </w:t>
      </w:r>
      <w:proofErr w:type="spellStart"/>
      <w:r w:rsidRPr="00C26A9B">
        <w:rPr>
          <w:rFonts w:ascii="Times New Roman" w:hAnsi="Times New Roman" w:cs="Times New Roman"/>
          <w:sz w:val="24"/>
          <w:szCs w:val="24"/>
          <w:lang w:val="ro-RO"/>
        </w:rPr>
        <w:t>Ajustare</w:t>
      </w:r>
      <w:r w:rsidRPr="00C26A9B">
        <w:rPr>
          <w:rFonts w:ascii="Times New Roman" w:hAnsi="Times New Roman" w:cs="Times New Roman"/>
          <w:sz w:val="24"/>
          <w:szCs w:val="24"/>
          <w:vertAlign w:val="subscript"/>
          <w:lang w:val="ro-RO"/>
        </w:rPr>
        <w:t>lung</w:t>
      </w:r>
      <w:proofErr w:type="spellEnd"/>
      <w:r w:rsidRPr="00C26A9B">
        <w:rPr>
          <w:rFonts w:ascii="Times New Roman" w:hAnsi="Times New Roman" w:cs="Times New Roman"/>
          <w:sz w:val="24"/>
          <w:szCs w:val="24"/>
          <w:lang w:val="ro-RO"/>
        </w:rPr>
        <w:t>; 0}</w:t>
      </w:r>
    </w:p>
    <w:p w14:paraId="724873DC" w14:textId="77777777" w:rsidR="00481DFA" w:rsidRPr="00C26A9B" w:rsidRDefault="00481DFA" w:rsidP="00481DFA">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tbl>
      <w:tblPr>
        <w:tblW w:w="6912" w:type="pct"/>
        <w:tblLayout w:type="fixed"/>
        <w:tblCellMar>
          <w:left w:w="0" w:type="dxa"/>
          <w:right w:w="0" w:type="dxa"/>
        </w:tblCellMar>
        <w:tblLook w:val="04A0" w:firstRow="1" w:lastRow="0" w:firstColumn="1" w:lastColumn="0" w:noHBand="0" w:noVBand="1"/>
      </w:tblPr>
      <w:tblGrid>
        <w:gridCol w:w="1111"/>
        <w:gridCol w:w="110"/>
        <w:gridCol w:w="74"/>
        <w:gridCol w:w="235"/>
        <w:gridCol w:w="8253"/>
        <w:gridCol w:w="4685"/>
      </w:tblGrid>
      <w:tr w:rsidR="00481DFA" w:rsidRPr="00C26A9B" w14:paraId="2E8F644A" w14:textId="77777777" w:rsidTr="00481DFA">
        <w:tc>
          <w:tcPr>
            <w:tcW w:w="1157" w:type="dxa"/>
            <w:gridSpan w:val="3"/>
            <w:hideMark/>
          </w:tcPr>
          <w:p w14:paraId="6091A8A5" w14:textId="77777777" w:rsidR="00481DFA" w:rsidRPr="00C26A9B" w:rsidRDefault="00481DFA" w:rsidP="00481DFA">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JTD</w:t>
            </w:r>
            <w:r w:rsidRPr="00C26A9B">
              <w:rPr>
                <w:rFonts w:ascii="Times New Roman" w:hAnsi="Times New Roman" w:cs="Times New Roman"/>
                <w:sz w:val="24"/>
                <w:szCs w:val="24"/>
                <w:vertAlign w:val="subscript"/>
                <w:lang w:val="ro-RO"/>
              </w:rPr>
              <w:t>lung</w:t>
            </w:r>
            <w:proofErr w:type="spellEnd"/>
          </w:p>
        </w:tc>
        <w:tc>
          <w:tcPr>
            <w:tcW w:w="210" w:type="dxa"/>
            <w:hideMark/>
          </w:tcPr>
          <w:p w14:paraId="4EFFA72B" w14:textId="77777777" w:rsidR="00481DFA" w:rsidRPr="00C26A9B" w:rsidRDefault="00481DFA" w:rsidP="00481DFA">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11565" w:type="dxa"/>
            <w:gridSpan w:val="2"/>
            <w:hideMark/>
          </w:tcPr>
          <w:p w14:paraId="40BD05AC" w14:textId="77777777" w:rsidR="00481DFA" w:rsidRPr="00C26A9B" w:rsidRDefault="00481DFA" w:rsidP="00481DFA">
            <w:pPr>
              <w:rPr>
                <w:rFonts w:ascii="Times New Roman" w:hAnsi="Times New Roman" w:cs="Times New Roman"/>
                <w:sz w:val="24"/>
                <w:szCs w:val="24"/>
                <w:lang w:val="ro-RO"/>
              </w:rPr>
            </w:pPr>
            <w:r w:rsidRPr="00C26A9B">
              <w:rPr>
                <w:rFonts w:ascii="Times New Roman" w:hAnsi="Times New Roman" w:cs="Times New Roman"/>
                <w:sz w:val="24"/>
                <w:szCs w:val="24"/>
                <w:lang w:val="ro-RO"/>
              </w:rPr>
              <w:t>cuantumurile brute ale JTD pentru expunere lungă;</w:t>
            </w:r>
          </w:p>
        </w:tc>
      </w:tr>
      <w:tr w:rsidR="00481DFA" w:rsidRPr="00C26A9B" w14:paraId="33497021" w14:textId="77777777" w:rsidTr="00481DFA">
        <w:trPr>
          <w:gridAfter w:val="1"/>
          <w:wAfter w:w="4188" w:type="dxa"/>
        </w:trPr>
        <w:tc>
          <w:tcPr>
            <w:tcW w:w="993" w:type="dxa"/>
            <w:hideMark/>
          </w:tcPr>
          <w:p w14:paraId="032FD512" w14:textId="77777777" w:rsidR="00481DFA" w:rsidRPr="00C26A9B" w:rsidRDefault="00481DFA" w:rsidP="00481DFA">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V</w:t>
            </w:r>
            <w:r w:rsidRPr="00C26A9B">
              <w:rPr>
                <w:rFonts w:ascii="Times New Roman" w:hAnsi="Times New Roman" w:cs="Times New Roman"/>
                <w:sz w:val="24"/>
                <w:szCs w:val="24"/>
                <w:vertAlign w:val="subscript"/>
                <w:lang w:val="ro-RO"/>
              </w:rPr>
              <w:t>noțională</w:t>
            </w:r>
            <w:proofErr w:type="spellEnd"/>
          </w:p>
        </w:tc>
        <w:tc>
          <w:tcPr>
            <w:tcW w:w="98" w:type="dxa"/>
            <w:hideMark/>
          </w:tcPr>
          <w:p w14:paraId="5D0DC6F0" w14:textId="77777777" w:rsidR="00481DFA" w:rsidRPr="00C26A9B" w:rsidRDefault="00481DFA" w:rsidP="00481DFA">
            <w:pPr>
              <w:ind w:left="-11" w:firstLine="11"/>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7653" w:type="dxa"/>
            <w:gridSpan w:val="3"/>
            <w:hideMark/>
          </w:tcPr>
          <w:p w14:paraId="7495D641" w14:textId="77777777" w:rsidR="00481DFA" w:rsidRPr="00C26A9B" w:rsidRDefault="00481DFA" w:rsidP="00481DFA">
            <w:pPr>
              <w:rPr>
                <w:rFonts w:ascii="Times New Roman" w:hAnsi="Times New Roman" w:cs="Times New Roman"/>
                <w:sz w:val="24"/>
                <w:szCs w:val="24"/>
                <w:lang w:val="ro-RO"/>
              </w:rPr>
            </w:pPr>
            <w:r w:rsidRPr="00C26A9B">
              <w:rPr>
                <w:rFonts w:ascii="Times New Roman" w:hAnsi="Times New Roman" w:cs="Times New Roman"/>
                <w:sz w:val="24"/>
                <w:szCs w:val="24"/>
                <w:lang w:val="ro-RO"/>
              </w:rPr>
              <w:t>valoarea noțională a instrumentului din care rezultă expunerea;</w:t>
            </w:r>
          </w:p>
        </w:tc>
      </w:tr>
    </w:tbl>
    <w:p w14:paraId="235F66D9" w14:textId="77777777" w:rsidR="00481DFA" w:rsidRPr="00C26A9B" w:rsidRDefault="00481DFA" w:rsidP="00481DFA">
      <w:pPr>
        <w:rPr>
          <w:rFonts w:ascii="Times New Roman" w:hAnsi="Times New Roman" w:cs="Times New Roman"/>
          <w:vanish/>
          <w:sz w:val="24"/>
          <w:szCs w:val="24"/>
          <w:lang w:val="ro-RO"/>
        </w:rPr>
      </w:pPr>
    </w:p>
    <w:tbl>
      <w:tblPr>
        <w:tblW w:w="9072" w:type="dxa"/>
        <w:tblLayout w:type="fixed"/>
        <w:tblCellMar>
          <w:left w:w="0" w:type="dxa"/>
          <w:right w:w="0" w:type="dxa"/>
        </w:tblCellMar>
        <w:tblLook w:val="04A0" w:firstRow="1" w:lastRow="0" w:firstColumn="1" w:lastColumn="0" w:noHBand="0" w:noVBand="1"/>
      </w:tblPr>
      <w:tblGrid>
        <w:gridCol w:w="754"/>
        <w:gridCol w:w="76"/>
        <w:gridCol w:w="8242"/>
      </w:tblGrid>
      <w:tr w:rsidR="00481DFA" w:rsidRPr="00C26A9B" w14:paraId="70AF2374" w14:textId="77777777" w:rsidTr="00481DFA">
        <w:tc>
          <w:tcPr>
            <w:tcW w:w="754" w:type="dxa"/>
            <w:hideMark/>
          </w:tcPr>
          <w:p w14:paraId="1DF969E7" w14:textId="77777777" w:rsidR="00481DFA" w:rsidRPr="00C26A9B" w:rsidRDefault="00481DFA" w:rsidP="00481DFA">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P&amp;L</w:t>
            </w:r>
            <w:r w:rsidRPr="00C26A9B">
              <w:rPr>
                <w:rFonts w:ascii="Times New Roman" w:hAnsi="Times New Roman" w:cs="Times New Roman"/>
                <w:sz w:val="24"/>
                <w:szCs w:val="24"/>
                <w:vertAlign w:val="subscript"/>
                <w:lang w:val="ro-RO"/>
              </w:rPr>
              <w:t>lung</w:t>
            </w:r>
            <w:proofErr w:type="spellEnd"/>
          </w:p>
        </w:tc>
        <w:tc>
          <w:tcPr>
            <w:tcW w:w="76" w:type="dxa"/>
            <w:hideMark/>
          </w:tcPr>
          <w:p w14:paraId="046078F2" w14:textId="77777777" w:rsidR="00481DFA" w:rsidRPr="00C26A9B" w:rsidRDefault="00481DFA" w:rsidP="00481DFA">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242" w:type="dxa"/>
            <w:hideMark/>
          </w:tcPr>
          <w:p w14:paraId="040C8DF8" w14:textId="77777777" w:rsidR="00481DFA" w:rsidRPr="00C26A9B" w:rsidRDefault="00481DFA" w:rsidP="00481DFA">
            <w:pPr>
              <w:rPr>
                <w:rFonts w:ascii="Times New Roman" w:hAnsi="Times New Roman" w:cs="Times New Roman"/>
                <w:sz w:val="24"/>
                <w:szCs w:val="24"/>
                <w:lang w:val="ro-RO"/>
              </w:rPr>
            </w:pPr>
            <w:r w:rsidRPr="00C26A9B">
              <w:rPr>
                <w:rFonts w:ascii="Times New Roman" w:hAnsi="Times New Roman" w:cs="Times New Roman"/>
                <w:sz w:val="24"/>
                <w:szCs w:val="24"/>
                <w:lang w:val="ro-RO"/>
              </w:rPr>
              <w:t>termen care permite ajustarea în funcție de câștigurile sau pierderile contabilizate deja de bancă, cauzate de modificările valorii juste a instrumentului care creează expunerea lungă; câștigurile sunt introduse în formulă cu semn pozitiv, iar pierderile sunt introduse în formulă cu semn negativ; și</w:t>
            </w:r>
          </w:p>
        </w:tc>
      </w:tr>
    </w:tbl>
    <w:p w14:paraId="09F01A78" w14:textId="77777777" w:rsidR="00481DFA" w:rsidRPr="00C26A9B" w:rsidRDefault="00481DFA" w:rsidP="00481DFA">
      <w:pPr>
        <w:rPr>
          <w:rFonts w:ascii="Times New Roman" w:hAnsi="Times New Roman" w:cs="Times New Roman"/>
          <w:vanish/>
          <w:sz w:val="24"/>
          <w:szCs w:val="24"/>
          <w:lang w:val="ro-RO"/>
        </w:rPr>
      </w:pPr>
    </w:p>
    <w:tbl>
      <w:tblPr>
        <w:tblW w:w="9214" w:type="dxa"/>
        <w:tblLayout w:type="fixed"/>
        <w:tblCellMar>
          <w:left w:w="0" w:type="dxa"/>
          <w:right w:w="0" w:type="dxa"/>
        </w:tblCellMar>
        <w:tblLook w:val="04A0" w:firstRow="1" w:lastRow="0" w:firstColumn="1" w:lastColumn="0" w:noHBand="0" w:noVBand="1"/>
      </w:tblPr>
      <w:tblGrid>
        <w:gridCol w:w="1134"/>
        <w:gridCol w:w="76"/>
        <w:gridCol w:w="8004"/>
      </w:tblGrid>
      <w:tr w:rsidR="00481DFA" w:rsidRPr="00C26A9B" w14:paraId="5890A68E" w14:textId="77777777" w:rsidTr="00950F17">
        <w:tc>
          <w:tcPr>
            <w:tcW w:w="1134" w:type="dxa"/>
            <w:hideMark/>
          </w:tcPr>
          <w:p w14:paraId="5B3434D9" w14:textId="77777777" w:rsidR="00481DFA" w:rsidRPr="00C26A9B" w:rsidRDefault="00481DFA" w:rsidP="00481DFA">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Ajustare</w:t>
            </w:r>
            <w:r w:rsidRPr="00C26A9B">
              <w:rPr>
                <w:rFonts w:ascii="Times New Roman" w:hAnsi="Times New Roman" w:cs="Times New Roman"/>
                <w:sz w:val="24"/>
                <w:szCs w:val="24"/>
                <w:vertAlign w:val="subscript"/>
                <w:lang w:val="ro-RO"/>
              </w:rPr>
              <w:t>lung</w:t>
            </w:r>
            <w:proofErr w:type="spellEnd"/>
          </w:p>
        </w:tc>
        <w:tc>
          <w:tcPr>
            <w:tcW w:w="76" w:type="dxa"/>
            <w:hideMark/>
          </w:tcPr>
          <w:p w14:paraId="7CDC5F11" w14:textId="77777777" w:rsidR="00481DFA" w:rsidRPr="00C26A9B" w:rsidRDefault="00481DFA" w:rsidP="00481DFA">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004" w:type="dxa"/>
            <w:hideMark/>
          </w:tcPr>
          <w:p w14:paraId="2D380125" w14:textId="77777777" w:rsidR="00481DFA" w:rsidRPr="00C26A9B" w:rsidRDefault="00481DFA" w:rsidP="00481DFA">
            <w:pPr>
              <w:rPr>
                <w:rFonts w:ascii="Times New Roman" w:hAnsi="Times New Roman" w:cs="Times New Roman"/>
                <w:sz w:val="24"/>
                <w:szCs w:val="24"/>
                <w:lang w:val="ro-RO"/>
              </w:rPr>
            </w:pPr>
            <w:r w:rsidRPr="00C26A9B">
              <w:rPr>
                <w:rFonts w:ascii="Times New Roman" w:hAnsi="Times New Roman" w:cs="Times New Roman"/>
                <w:sz w:val="24"/>
                <w:szCs w:val="24"/>
                <w:lang w:val="ro-RO"/>
              </w:rPr>
              <w:t>în cazul în care instrumentul din care rezultă expunerea este un instrument derivat, cuantumul cu care s-ar majora sau s-ar reduce pierderea suferită de bancă din cauza structurii instrumentului derivat în eventualitatea unei situații de nerambursare în raport cu pierderea totală aferentă instrumentului suport; majorările sunt introduse în formulă cu semn pozitiv, iar reducerile sunt introduse în formulă cu semn negativ.</w:t>
            </w:r>
          </w:p>
        </w:tc>
      </w:tr>
    </w:tbl>
    <w:p w14:paraId="5FE67B3B" w14:textId="77777777" w:rsidR="00950F17" w:rsidRPr="00C26A9B" w:rsidRDefault="00950F17" w:rsidP="00950F17">
      <w:pPr>
        <w:rPr>
          <w:rFonts w:ascii="Times New Roman" w:hAnsi="Times New Roman" w:cs="Times New Roman"/>
          <w:sz w:val="24"/>
          <w:szCs w:val="24"/>
          <w:lang w:val="ro-RO"/>
        </w:rPr>
      </w:pPr>
      <w:r w:rsidRPr="00C26A9B">
        <w:rPr>
          <w:rFonts w:ascii="Times New Roman" w:hAnsi="Times New Roman" w:cs="Times New Roman"/>
          <w:sz w:val="24"/>
          <w:szCs w:val="24"/>
          <w:lang w:val="ro-RO"/>
        </w:rPr>
        <w:t>229.   Băncile calculează cuantumurile brute ale JTD pentru fiecare expunere scurtă la titluri de datorie după cum urmează:</w:t>
      </w:r>
    </w:p>
    <w:p w14:paraId="2812819E" w14:textId="77777777" w:rsidR="00950F17" w:rsidRPr="00C26A9B" w:rsidRDefault="00950F17" w:rsidP="00950F17">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JTD</w:t>
      </w:r>
      <w:r w:rsidRPr="00C26A9B">
        <w:rPr>
          <w:rFonts w:ascii="Times New Roman" w:hAnsi="Times New Roman" w:cs="Times New Roman"/>
          <w:sz w:val="24"/>
          <w:szCs w:val="24"/>
          <w:vertAlign w:val="subscript"/>
          <w:lang w:val="ro-RO"/>
        </w:rPr>
        <w:t>scurt</w:t>
      </w:r>
      <w:proofErr w:type="spellEnd"/>
      <w:r w:rsidRPr="00C26A9B">
        <w:rPr>
          <w:rFonts w:ascii="Times New Roman" w:hAnsi="Times New Roman" w:cs="Times New Roman"/>
          <w:sz w:val="24"/>
          <w:szCs w:val="24"/>
          <w:lang w:val="ro-RO"/>
        </w:rPr>
        <w:t xml:space="preserve"> = min {LGD </w:t>
      </w:r>
      <w:proofErr w:type="spellStart"/>
      <w:r w:rsidRPr="00C26A9B">
        <w:rPr>
          <w:rFonts w:ascii="Times New Roman" w:hAnsi="Times New Roman" w:cs="Times New Roman"/>
          <w:sz w:val="24"/>
          <w:szCs w:val="24"/>
          <w:lang w:val="ro-RO"/>
        </w:rPr>
        <w:t>V</w:t>
      </w:r>
      <w:r w:rsidRPr="00C26A9B">
        <w:rPr>
          <w:rFonts w:ascii="Times New Roman" w:hAnsi="Times New Roman" w:cs="Times New Roman"/>
          <w:sz w:val="24"/>
          <w:szCs w:val="24"/>
          <w:vertAlign w:val="subscript"/>
          <w:lang w:val="ro-RO"/>
        </w:rPr>
        <w:t>noțională</w:t>
      </w:r>
      <w:proofErr w:type="spellEnd"/>
      <w:r w:rsidRPr="00C26A9B">
        <w:rPr>
          <w:rFonts w:ascii="Times New Roman" w:hAnsi="Times New Roman" w:cs="Times New Roman"/>
          <w:sz w:val="24"/>
          <w:szCs w:val="24"/>
          <w:lang w:val="ro-RO"/>
        </w:rPr>
        <w:t xml:space="preserve"> + </w:t>
      </w:r>
      <w:proofErr w:type="spellStart"/>
      <w:r w:rsidRPr="00C26A9B">
        <w:rPr>
          <w:rFonts w:ascii="Times New Roman" w:hAnsi="Times New Roman" w:cs="Times New Roman"/>
          <w:sz w:val="24"/>
          <w:szCs w:val="24"/>
          <w:lang w:val="ro-RO"/>
        </w:rPr>
        <w:t>P&amp;L</w:t>
      </w:r>
      <w:r w:rsidRPr="00C26A9B">
        <w:rPr>
          <w:rFonts w:ascii="Times New Roman" w:hAnsi="Times New Roman" w:cs="Times New Roman"/>
          <w:sz w:val="24"/>
          <w:szCs w:val="24"/>
          <w:vertAlign w:val="subscript"/>
          <w:lang w:val="ro-RO"/>
        </w:rPr>
        <w:t>scurt</w:t>
      </w:r>
      <w:proofErr w:type="spellEnd"/>
      <w:r w:rsidRPr="00C26A9B">
        <w:rPr>
          <w:rFonts w:ascii="Times New Roman" w:hAnsi="Times New Roman" w:cs="Times New Roman"/>
          <w:sz w:val="24"/>
          <w:szCs w:val="24"/>
          <w:lang w:val="ro-RO"/>
        </w:rPr>
        <w:t xml:space="preserve"> + </w:t>
      </w:r>
      <w:proofErr w:type="spellStart"/>
      <w:r w:rsidRPr="00C26A9B">
        <w:rPr>
          <w:rFonts w:ascii="Times New Roman" w:hAnsi="Times New Roman" w:cs="Times New Roman"/>
          <w:sz w:val="24"/>
          <w:szCs w:val="24"/>
          <w:lang w:val="ro-RO"/>
        </w:rPr>
        <w:t>Ajustare</w:t>
      </w:r>
      <w:r w:rsidRPr="00C26A9B">
        <w:rPr>
          <w:rFonts w:ascii="Times New Roman" w:hAnsi="Times New Roman" w:cs="Times New Roman"/>
          <w:sz w:val="24"/>
          <w:szCs w:val="24"/>
          <w:vertAlign w:val="subscript"/>
          <w:lang w:val="ro-RO"/>
        </w:rPr>
        <w:t>scurt</w:t>
      </w:r>
      <w:proofErr w:type="spellEnd"/>
      <w:r w:rsidRPr="00C26A9B">
        <w:rPr>
          <w:rFonts w:ascii="Times New Roman" w:hAnsi="Times New Roman" w:cs="Times New Roman"/>
          <w:sz w:val="24"/>
          <w:szCs w:val="24"/>
          <w:lang w:val="ro-RO"/>
        </w:rPr>
        <w:t>; 0}</w:t>
      </w:r>
    </w:p>
    <w:p w14:paraId="6903558D" w14:textId="77777777" w:rsidR="00950F17" w:rsidRPr="00C26A9B" w:rsidRDefault="00950F17" w:rsidP="00950F17">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tbl>
      <w:tblPr>
        <w:tblW w:w="13163" w:type="dxa"/>
        <w:tblLayout w:type="fixed"/>
        <w:tblCellMar>
          <w:left w:w="0" w:type="dxa"/>
          <w:right w:w="0" w:type="dxa"/>
        </w:tblCellMar>
        <w:tblLook w:val="04A0" w:firstRow="1" w:lastRow="0" w:firstColumn="1" w:lastColumn="0" w:noHBand="0" w:noVBand="1"/>
      </w:tblPr>
      <w:tblGrid>
        <w:gridCol w:w="851"/>
        <w:gridCol w:w="76"/>
        <w:gridCol w:w="39"/>
        <w:gridCol w:w="8248"/>
        <w:gridCol w:w="3949"/>
      </w:tblGrid>
      <w:tr w:rsidR="00950F17" w:rsidRPr="00C26A9B" w14:paraId="0468CB2E" w14:textId="77777777" w:rsidTr="000D3C45">
        <w:tc>
          <w:tcPr>
            <w:tcW w:w="851" w:type="dxa"/>
            <w:hideMark/>
          </w:tcPr>
          <w:p w14:paraId="3FF5E32E" w14:textId="77777777" w:rsidR="00950F17" w:rsidRPr="00C26A9B" w:rsidRDefault="00950F17" w:rsidP="00950F17">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JTD</w:t>
            </w:r>
            <w:r w:rsidRPr="00C26A9B">
              <w:rPr>
                <w:rFonts w:ascii="Times New Roman" w:hAnsi="Times New Roman" w:cs="Times New Roman"/>
                <w:sz w:val="24"/>
                <w:szCs w:val="24"/>
                <w:vertAlign w:val="subscript"/>
                <w:lang w:val="ro-RO"/>
              </w:rPr>
              <w:t>scurt</w:t>
            </w:r>
            <w:proofErr w:type="spellEnd"/>
          </w:p>
        </w:tc>
        <w:tc>
          <w:tcPr>
            <w:tcW w:w="115" w:type="dxa"/>
            <w:gridSpan w:val="2"/>
            <w:hideMark/>
          </w:tcPr>
          <w:p w14:paraId="57193733" w14:textId="77777777" w:rsidR="00950F17" w:rsidRPr="00C26A9B" w:rsidRDefault="00950F17" w:rsidP="00950F17">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12197" w:type="dxa"/>
            <w:gridSpan w:val="2"/>
            <w:hideMark/>
          </w:tcPr>
          <w:p w14:paraId="7D67710C" w14:textId="77777777" w:rsidR="00950F17" w:rsidRPr="00C26A9B" w:rsidRDefault="00950F17" w:rsidP="00950F17">
            <w:pPr>
              <w:rPr>
                <w:rFonts w:ascii="Times New Roman" w:hAnsi="Times New Roman" w:cs="Times New Roman"/>
                <w:sz w:val="24"/>
                <w:szCs w:val="24"/>
                <w:lang w:val="ro-RO"/>
              </w:rPr>
            </w:pPr>
            <w:r w:rsidRPr="00C26A9B">
              <w:rPr>
                <w:rFonts w:ascii="Times New Roman" w:hAnsi="Times New Roman" w:cs="Times New Roman"/>
                <w:sz w:val="24"/>
                <w:szCs w:val="24"/>
                <w:lang w:val="ro-RO"/>
              </w:rPr>
              <w:t>cuantumurile brute ale JTD pentru expunere scurtă;</w:t>
            </w:r>
          </w:p>
        </w:tc>
      </w:tr>
      <w:tr w:rsidR="00950F17" w:rsidRPr="00C26A9B" w14:paraId="1C01C8A7" w14:textId="77777777" w:rsidTr="000D3C45">
        <w:trPr>
          <w:gridAfter w:val="1"/>
          <w:wAfter w:w="3949" w:type="dxa"/>
        </w:trPr>
        <w:tc>
          <w:tcPr>
            <w:tcW w:w="851" w:type="dxa"/>
            <w:hideMark/>
          </w:tcPr>
          <w:p w14:paraId="226A23CD" w14:textId="77777777" w:rsidR="00950F17" w:rsidRPr="00C26A9B" w:rsidRDefault="00950F17" w:rsidP="00950F17">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V</w:t>
            </w:r>
            <w:r w:rsidRPr="00C26A9B">
              <w:rPr>
                <w:rFonts w:ascii="Times New Roman" w:hAnsi="Times New Roman" w:cs="Times New Roman"/>
                <w:sz w:val="24"/>
                <w:szCs w:val="24"/>
                <w:vertAlign w:val="subscript"/>
                <w:lang w:val="ro-RO"/>
              </w:rPr>
              <w:t>noțională</w:t>
            </w:r>
            <w:proofErr w:type="spellEnd"/>
          </w:p>
        </w:tc>
        <w:tc>
          <w:tcPr>
            <w:tcW w:w="76" w:type="dxa"/>
            <w:hideMark/>
          </w:tcPr>
          <w:p w14:paraId="5CEC3E5F" w14:textId="77777777" w:rsidR="00950F17" w:rsidRPr="00C26A9B" w:rsidRDefault="00950F17" w:rsidP="00950F17">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287" w:type="dxa"/>
            <w:gridSpan w:val="2"/>
            <w:hideMark/>
          </w:tcPr>
          <w:p w14:paraId="6E21A69D" w14:textId="77777777" w:rsidR="00950F17" w:rsidRPr="00C26A9B" w:rsidRDefault="00950F17" w:rsidP="00950F17">
            <w:pPr>
              <w:rPr>
                <w:rFonts w:ascii="Times New Roman" w:hAnsi="Times New Roman" w:cs="Times New Roman"/>
                <w:sz w:val="24"/>
                <w:szCs w:val="24"/>
                <w:lang w:val="ro-RO"/>
              </w:rPr>
            </w:pPr>
            <w:r w:rsidRPr="00C26A9B">
              <w:rPr>
                <w:rFonts w:ascii="Times New Roman" w:hAnsi="Times New Roman" w:cs="Times New Roman"/>
                <w:sz w:val="24"/>
                <w:szCs w:val="24"/>
                <w:lang w:val="ro-RO"/>
              </w:rPr>
              <w:t>valoarea noțională a instrumentului din care rezultă expunerea, care este introdusă în formulă cu semn negativ;</w:t>
            </w:r>
          </w:p>
        </w:tc>
      </w:tr>
    </w:tbl>
    <w:p w14:paraId="0B7B6CA3" w14:textId="77777777" w:rsidR="00950F17" w:rsidRPr="00C26A9B" w:rsidRDefault="00950F17" w:rsidP="00950F17">
      <w:pPr>
        <w:rPr>
          <w:rFonts w:ascii="Times New Roman" w:hAnsi="Times New Roman" w:cs="Times New Roman"/>
          <w:vanish/>
          <w:sz w:val="24"/>
          <w:szCs w:val="24"/>
          <w:lang w:val="ro-RO"/>
        </w:rPr>
      </w:pPr>
    </w:p>
    <w:tbl>
      <w:tblPr>
        <w:tblW w:w="9355" w:type="dxa"/>
        <w:tblLayout w:type="fixed"/>
        <w:tblCellMar>
          <w:left w:w="0" w:type="dxa"/>
          <w:right w:w="0" w:type="dxa"/>
        </w:tblCellMar>
        <w:tblLook w:val="04A0" w:firstRow="1" w:lastRow="0" w:firstColumn="1" w:lastColumn="0" w:noHBand="0" w:noVBand="1"/>
      </w:tblPr>
      <w:tblGrid>
        <w:gridCol w:w="1134"/>
        <w:gridCol w:w="76"/>
        <w:gridCol w:w="8145"/>
      </w:tblGrid>
      <w:tr w:rsidR="00950F17" w:rsidRPr="00C26A9B" w14:paraId="13A21991" w14:textId="77777777" w:rsidTr="000D3C45">
        <w:tc>
          <w:tcPr>
            <w:tcW w:w="1134" w:type="dxa"/>
            <w:hideMark/>
          </w:tcPr>
          <w:p w14:paraId="19036503" w14:textId="77777777" w:rsidR="00950F17" w:rsidRPr="00C26A9B" w:rsidRDefault="00950F17" w:rsidP="00950F17">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P&amp;L</w:t>
            </w:r>
            <w:r w:rsidRPr="00C26A9B">
              <w:rPr>
                <w:rFonts w:ascii="Times New Roman" w:hAnsi="Times New Roman" w:cs="Times New Roman"/>
                <w:sz w:val="24"/>
                <w:szCs w:val="24"/>
                <w:vertAlign w:val="subscript"/>
                <w:lang w:val="ro-RO"/>
              </w:rPr>
              <w:t>scurt</w:t>
            </w:r>
            <w:proofErr w:type="spellEnd"/>
          </w:p>
        </w:tc>
        <w:tc>
          <w:tcPr>
            <w:tcW w:w="76" w:type="dxa"/>
            <w:hideMark/>
          </w:tcPr>
          <w:p w14:paraId="3246D59E" w14:textId="77777777" w:rsidR="00950F17" w:rsidRPr="00C26A9B" w:rsidRDefault="00950F17" w:rsidP="00950F17">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145" w:type="dxa"/>
            <w:hideMark/>
          </w:tcPr>
          <w:p w14:paraId="627DEAB5" w14:textId="77777777" w:rsidR="00950F17" w:rsidRPr="00C26A9B" w:rsidRDefault="00950F17" w:rsidP="00950F17">
            <w:pPr>
              <w:rPr>
                <w:rFonts w:ascii="Times New Roman" w:hAnsi="Times New Roman" w:cs="Times New Roman"/>
                <w:sz w:val="24"/>
                <w:szCs w:val="24"/>
                <w:lang w:val="ro-RO"/>
              </w:rPr>
            </w:pPr>
            <w:r w:rsidRPr="00C26A9B">
              <w:rPr>
                <w:rFonts w:ascii="Times New Roman" w:hAnsi="Times New Roman" w:cs="Times New Roman"/>
                <w:sz w:val="24"/>
                <w:szCs w:val="24"/>
                <w:lang w:val="ro-RO"/>
              </w:rPr>
              <w:t>termen care permite ajustarea în funcție de câștigurile sau pierderile contabilizate deja de bancă, cauzate de modificările valorii juste a instrumentului care creează expunerea scurtă; câștigurile sunt introduse în formulă cu semn pozitiv, iar pierderile cu semn negativ; și</w:t>
            </w:r>
          </w:p>
        </w:tc>
      </w:tr>
    </w:tbl>
    <w:p w14:paraId="4CBB9429" w14:textId="77777777" w:rsidR="00950F17" w:rsidRPr="00C26A9B" w:rsidRDefault="00950F17" w:rsidP="00950F17">
      <w:pPr>
        <w:rPr>
          <w:rFonts w:ascii="Times New Roman" w:hAnsi="Times New Roman" w:cs="Times New Roman"/>
          <w:vanish/>
          <w:sz w:val="24"/>
          <w:szCs w:val="24"/>
          <w:lang w:val="ro-RO"/>
        </w:rPr>
      </w:pPr>
    </w:p>
    <w:tbl>
      <w:tblPr>
        <w:tblW w:w="9356" w:type="dxa"/>
        <w:tblLayout w:type="fixed"/>
        <w:tblCellMar>
          <w:left w:w="0" w:type="dxa"/>
          <w:right w:w="0" w:type="dxa"/>
        </w:tblCellMar>
        <w:tblLook w:val="04A0" w:firstRow="1" w:lastRow="0" w:firstColumn="1" w:lastColumn="0" w:noHBand="0" w:noVBand="1"/>
      </w:tblPr>
      <w:tblGrid>
        <w:gridCol w:w="1276"/>
        <w:gridCol w:w="76"/>
        <w:gridCol w:w="8004"/>
      </w:tblGrid>
      <w:tr w:rsidR="00950F17" w:rsidRPr="00C26A9B" w14:paraId="382E0B4D" w14:textId="77777777" w:rsidTr="000D3C45">
        <w:tc>
          <w:tcPr>
            <w:tcW w:w="1276" w:type="dxa"/>
            <w:hideMark/>
          </w:tcPr>
          <w:p w14:paraId="532FC37B" w14:textId="77777777" w:rsidR="00950F17" w:rsidRPr="00C26A9B" w:rsidRDefault="00950F17" w:rsidP="00950F17">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Ajustare</w:t>
            </w:r>
            <w:r w:rsidRPr="00C26A9B">
              <w:rPr>
                <w:rFonts w:ascii="Times New Roman" w:hAnsi="Times New Roman" w:cs="Times New Roman"/>
                <w:sz w:val="24"/>
                <w:szCs w:val="24"/>
                <w:vertAlign w:val="subscript"/>
                <w:lang w:val="ro-RO"/>
              </w:rPr>
              <w:t>scurt</w:t>
            </w:r>
            <w:proofErr w:type="spellEnd"/>
          </w:p>
        </w:tc>
        <w:tc>
          <w:tcPr>
            <w:tcW w:w="76" w:type="dxa"/>
            <w:hideMark/>
          </w:tcPr>
          <w:p w14:paraId="6A6B36AC" w14:textId="77777777" w:rsidR="00950F17" w:rsidRPr="00C26A9B" w:rsidRDefault="00950F17" w:rsidP="00950F17">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004" w:type="dxa"/>
            <w:hideMark/>
          </w:tcPr>
          <w:p w14:paraId="2E1D6164" w14:textId="77777777" w:rsidR="00950F17" w:rsidRPr="00C26A9B" w:rsidRDefault="00950F17" w:rsidP="00950F17">
            <w:pPr>
              <w:rPr>
                <w:rFonts w:ascii="Times New Roman" w:hAnsi="Times New Roman" w:cs="Times New Roman"/>
                <w:sz w:val="24"/>
                <w:szCs w:val="24"/>
                <w:lang w:val="ro-RO"/>
              </w:rPr>
            </w:pPr>
            <w:r w:rsidRPr="00C26A9B">
              <w:rPr>
                <w:rFonts w:ascii="Times New Roman" w:hAnsi="Times New Roman" w:cs="Times New Roman"/>
                <w:sz w:val="24"/>
                <w:szCs w:val="24"/>
                <w:lang w:val="ro-RO"/>
              </w:rPr>
              <w:t>în cazul în care instrumentul din care rezultă expunerea este un instrument derivat, cuantumul cu care s-ar majora sau s-ar reduce câștigul obținut de bancă datorită structurii instrumentului derivat în eventualitatea unei situații de nerambursare în raport cu pierderea totală aferentă instrumentului-suport; reducerile sunt introduse în formulă cu semn pozitiv, iar majorările sunt introduse în formulă cu semn negativ.</w:t>
            </w:r>
          </w:p>
        </w:tc>
      </w:tr>
    </w:tbl>
    <w:p w14:paraId="4BD35587" w14:textId="77777777"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230. În scopul efectuării calculului prevăzut la pct.228 și 229, LGD pentru titlurile de datorie pe care urmează să o aplice băncile este următoarea:</w:t>
      </w:r>
    </w:p>
    <w:p w14:paraId="0584ED1F" w14:textId="77777777"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230.1. expunerilor la titluri de datorie care nu au rang superior li se atribuie o LGD de 100 %;</w:t>
      </w:r>
    </w:p>
    <w:p w14:paraId="57895FE7" w14:textId="77777777"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230.2. expunerilor la titluri de datorie cu rang superior li se atribuie o LGD de 75 %;</w:t>
      </w:r>
    </w:p>
    <w:p w14:paraId="6248FC74" w14:textId="7F2B8FB3" w:rsidR="00481DFA" w:rsidRPr="00C26A9B" w:rsidRDefault="000D3C45" w:rsidP="000D3C45">
      <w:pPr>
        <w:rPr>
          <w:rFonts w:ascii="Times New Roman" w:hAnsi="Times New Roman" w:cs="Times New Roman"/>
          <w:sz w:val="24"/>
          <w:szCs w:val="24"/>
          <w:lang w:val="ro-RO"/>
        </w:rPr>
      </w:pPr>
      <w:r w:rsidRPr="00A01DB1">
        <w:rPr>
          <w:rFonts w:ascii="Times New Roman" w:hAnsi="Times New Roman" w:cs="Times New Roman"/>
          <w:sz w:val="24"/>
          <w:szCs w:val="24"/>
          <w:lang w:val="ro-RO"/>
        </w:rPr>
        <w:t>230.3. expunerilor</w:t>
      </w:r>
      <w:r w:rsidRPr="00C26A9B">
        <w:rPr>
          <w:rFonts w:ascii="Times New Roman" w:hAnsi="Times New Roman" w:cs="Times New Roman"/>
          <w:sz w:val="24"/>
          <w:szCs w:val="24"/>
          <w:lang w:val="ro-RO"/>
        </w:rPr>
        <w:t xml:space="preserve"> la obligațiuni garantate, astfel cum sunt menționate la </w:t>
      </w:r>
      <w:r w:rsidR="00A01DB1" w:rsidRPr="00A01DB1">
        <w:rPr>
          <w:rFonts w:ascii="Times New Roman" w:hAnsi="Times New Roman" w:cs="Times New Roman"/>
          <w:sz w:val="24"/>
          <w:szCs w:val="24"/>
          <w:lang w:val="ro-RO"/>
        </w:rPr>
        <w:t>capitolul</w:t>
      </w:r>
      <w:r w:rsidR="00A01DB1">
        <w:rPr>
          <w:rFonts w:ascii="Times New Roman" w:hAnsi="Times New Roman" w:cs="Times New Roman"/>
          <w:sz w:val="24"/>
          <w:szCs w:val="24"/>
          <w:lang w:val="ro-RO"/>
        </w:rPr>
        <w:t xml:space="preserve"> IV secțiunea 14</w:t>
      </w:r>
      <w:r w:rsidR="00A01DB1" w:rsidRPr="00CC1E9B">
        <w:rPr>
          <w:rFonts w:ascii="Times New Roman" w:hAnsi="Times New Roman" w:cs="Times New Roman"/>
          <w:sz w:val="24"/>
          <w:szCs w:val="24"/>
          <w:vertAlign w:val="superscript"/>
          <w:lang w:val="ro-RO"/>
        </w:rPr>
        <w:t>2</w:t>
      </w:r>
      <w:r w:rsidR="00A01DB1">
        <w:rPr>
          <w:rFonts w:ascii="Times New Roman" w:hAnsi="Times New Roman" w:cs="Times New Roman"/>
          <w:sz w:val="24"/>
          <w:szCs w:val="24"/>
          <w:vertAlign w:val="superscript"/>
          <w:lang w:val="ro-RO"/>
        </w:rPr>
        <w:t xml:space="preserve"> </w:t>
      </w:r>
      <w:r w:rsidR="00A01DB1">
        <w:rPr>
          <w:rFonts w:ascii="Times New Roman" w:hAnsi="Times New Roman" w:cs="Times New Roman"/>
          <w:sz w:val="24"/>
          <w:szCs w:val="24"/>
          <w:lang w:val="ro-RO"/>
        </w:rPr>
        <w:t>din Regulamentul nr.111/2018</w:t>
      </w:r>
      <w:r w:rsidRPr="00C26A9B">
        <w:rPr>
          <w:rFonts w:ascii="Times New Roman" w:hAnsi="Times New Roman" w:cs="Times New Roman"/>
          <w:sz w:val="24"/>
          <w:szCs w:val="24"/>
          <w:lang w:val="ro-RO"/>
        </w:rPr>
        <w:t>, li se atribuie o LGD de 25 %.</w:t>
      </w:r>
    </w:p>
    <w:p w14:paraId="183C5295" w14:textId="77777777"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231.   În scopul efectuării calculelor prevăzute la pct.228 și 229, valorile noționale se stabilesc după cum urmează:</w:t>
      </w:r>
    </w:p>
    <w:p w14:paraId="5D38E9CE" w14:textId="77777777"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231.1. în cazul unei obligațiuni, valoarea noțională este valoarea nominală a obligațiunii;</w:t>
      </w:r>
    </w:p>
    <w:p w14:paraId="4A35B103" w14:textId="6B6E6F35"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231.2. în cazul unei opțiuni put vândute pe o obligațiune, valoarea noțională este valoarea noțională a opțiunii; în cazul unei opțiuni </w:t>
      </w:r>
      <w:proofErr w:type="spellStart"/>
      <w:r w:rsidRPr="00C26A9B">
        <w:rPr>
          <w:rFonts w:ascii="Times New Roman" w:hAnsi="Times New Roman" w:cs="Times New Roman"/>
          <w:sz w:val="24"/>
          <w:szCs w:val="24"/>
          <w:lang w:val="ro-RO"/>
        </w:rPr>
        <w:t>call</w:t>
      </w:r>
      <w:proofErr w:type="spellEnd"/>
      <w:r w:rsidRPr="00C26A9B">
        <w:rPr>
          <w:rFonts w:ascii="Times New Roman" w:hAnsi="Times New Roman" w:cs="Times New Roman"/>
          <w:sz w:val="24"/>
          <w:szCs w:val="24"/>
          <w:lang w:val="ro-RO"/>
        </w:rPr>
        <w:t xml:space="preserve"> cumpărate pe o obligațiune, valoarea noțională este 0.</w:t>
      </w:r>
    </w:p>
    <w:p w14:paraId="5FC91AC0" w14:textId="77777777"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232.   În cazul expunerilor la titluri de capital, băncile calculează cuantumurile brute ale JTD după cum urmează:</w:t>
      </w:r>
    </w:p>
    <w:p w14:paraId="41142572" w14:textId="77777777" w:rsidR="000D3C45" w:rsidRPr="00C26A9B" w:rsidRDefault="000D3C45" w:rsidP="000D3C45">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JTDlung</w:t>
      </w:r>
      <w:proofErr w:type="spellEnd"/>
      <w:r w:rsidRPr="00C26A9B">
        <w:rPr>
          <w:rFonts w:ascii="Times New Roman" w:hAnsi="Times New Roman" w:cs="Times New Roman"/>
          <w:sz w:val="24"/>
          <w:szCs w:val="24"/>
          <w:lang w:val="ro-RO"/>
        </w:rPr>
        <w:t>=</w:t>
      </w:r>
      <w:proofErr w:type="spellStart"/>
      <w:r w:rsidRPr="00C26A9B">
        <w:rPr>
          <w:rFonts w:ascii="Times New Roman" w:hAnsi="Times New Roman" w:cs="Times New Roman"/>
          <w:sz w:val="24"/>
          <w:szCs w:val="24"/>
          <w:lang w:val="ro-RO"/>
        </w:rPr>
        <w:t>max</w:t>
      </w:r>
      <w:proofErr w:type="spellEnd"/>
      <w:r w:rsidRPr="00C26A9B">
        <w:rPr>
          <w:rFonts w:ascii="Times New Roman" w:hAnsi="Times New Roman" w:cs="Times New Roman"/>
          <w:sz w:val="24"/>
          <w:szCs w:val="24"/>
          <w:lang w:val="ro-RO"/>
        </w:rPr>
        <w:t xml:space="preserve"> LGD •</w:t>
      </w:r>
      <w:proofErr w:type="spellStart"/>
      <w:r w:rsidRPr="00C26A9B">
        <w:rPr>
          <w:rFonts w:ascii="Times New Roman" w:hAnsi="Times New Roman" w:cs="Times New Roman"/>
          <w:sz w:val="24"/>
          <w:szCs w:val="24"/>
          <w:lang w:val="ro-RO"/>
        </w:rPr>
        <w:t>Vnoțională</w:t>
      </w:r>
      <w:proofErr w:type="spellEnd"/>
      <w:r w:rsidRPr="00C26A9B">
        <w:rPr>
          <w:rFonts w:ascii="Times New Roman" w:hAnsi="Times New Roman" w:cs="Times New Roman"/>
          <w:sz w:val="24"/>
          <w:szCs w:val="24"/>
          <w:lang w:val="ro-RO"/>
        </w:rPr>
        <w:t xml:space="preserve"> +P&amp;Llung+Ajustarelung;0</w:t>
      </w:r>
    </w:p>
    <w:p w14:paraId="3CED5D42" w14:textId="77777777" w:rsidR="000D3C45" w:rsidRPr="00C26A9B" w:rsidRDefault="000D3C45" w:rsidP="000D3C45">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JTDscurt</w:t>
      </w:r>
      <w:proofErr w:type="spellEnd"/>
      <w:r w:rsidRPr="00C26A9B">
        <w:rPr>
          <w:rFonts w:ascii="Times New Roman" w:hAnsi="Times New Roman" w:cs="Times New Roman"/>
          <w:sz w:val="24"/>
          <w:szCs w:val="24"/>
          <w:lang w:val="ro-RO"/>
        </w:rPr>
        <w:t>=min LGD •Vnoțională+P&amp;Lscurt+Ajustarescurt;0</w:t>
      </w:r>
    </w:p>
    <w:p w14:paraId="791F7474" w14:textId="77777777"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tbl>
      <w:tblPr>
        <w:tblW w:w="9356" w:type="dxa"/>
        <w:tblLayout w:type="fixed"/>
        <w:tblCellMar>
          <w:left w:w="0" w:type="dxa"/>
          <w:right w:w="0" w:type="dxa"/>
        </w:tblCellMar>
        <w:tblLook w:val="04A0" w:firstRow="1" w:lastRow="0" w:firstColumn="1" w:lastColumn="0" w:noHBand="0" w:noVBand="1"/>
      </w:tblPr>
      <w:tblGrid>
        <w:gridCol w:w="754"/>
        <w:gridCol w:w="117"/>
        <w:gridCol w:w="8485"/>
      </w:tblGrid>
      <w:tr w:rsidR="000D3C45" w:rsidRPr="00C26A9B" w14:paraId="2347C2D1" w14:textId="77777777" w:rsidTr="000D3C45">
        <w:tc>
          <w:tcPr>
            <w:tcW w:w="754" w:type="dxa"/>
            <w:hideMark/>
          </w:tcPr>
          <w:p w14:paraId="46C39148" w14:textId="77777777" w:rsidR="000D3C45" w:rsidRPr="00C26A9B" w:rsidRDefault="000D3C45" w:rsidP="000D3C45">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JTD</w:t>
            </w:r>
            <w:r w:rsidRPr="00C26A9B">
              <w:rPr>
                <w:rFonts w:ascii="Times New Roman" w:hAnsi="Times New Roman" w:cs="Times New Roman"/>
                <w:sz w:val="24"/>
                <w:szCs w:val="24"/>
                <w:vertAlign w:val="subscript"/>
                <w:lang w:val="ro-RO"/>
              </w:rPr>
              <w:t>lung</w:t>
            </w:r>
            <w:proofErr w:type="spellEnd"/>
          </w:p>
        </w:tc>
        <w:tc>
          <w:tcPr>
            <w:tcW w:w="117" w:type="dxa"/>
            <w:hideMark/>
          </w:tcPr>
          <w:p w14:paraId="57A95CD5" w14:textId="77777777"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485" w:type="dxa"/>
            <w:hideMark/>
          </w:tcPr>
          <w:p w14:paraId="175B43E1" w14:textId="77777777"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cuantumurile brute ale JTD pentru expunere lungă;</w:t>
            </w:r>
          </w:p>
        </w:tc>
      </w:tr>
    </w:tbl>
    <w:p w14:paraId="1309889F" w14:textId="77777777" w:rsidR="000D3C45" w:rsidRPr="00C26A9B" w:rsidRDefault="000D3C45" w:rsidP="000D3C45">
      <w:pPr>
        <w:rPr>
          <w:rFonts w:ascii="Times New Roman" w:hAnsi="Times New Roman" w:cs="Times New Roman"/>
          <w:vanish/>
          <w:sz w:val="24"/>
          <w:szCs w:val="24"/>
          <w:lang w:val="ro-RO"/>
        </w:rPr>
      </w:pPr>
    </w:p>
    <w:tbl>
      <w:tblPr>
        <w:tblW w:w="9072" w:type="dxa"/>
        <w:tblLayout w:type="fixed"/>
        <w:tblCellMar>
          <w:left w:w="0" w:type="dxa"/>
          <w:right w:w="0" w:type="dxa"/>
        </w:tblCellMar>
        <w:tblLook w:val="04A0" w:firstRow="1" w:lastRow="0" w:firstColumn="1" w:lastColumn="0" w:noHBand="0" w:noVBand="1"/>
      </w:tblPr>
      <w:tblGrid>
        <w:gridCol w:w="896"/>
        <w:gridCol w:w="76"/>
        <w:gridCol w:w="8100"/>
      </w:tblGrid>
      <w:tr w:rsidR="000D3C45" w:rsidRPr="00C26A9B" w14:paraId="74FF3D2C" w14:textId="77777777" w:rsidTr="000D3C45">
        <w:tc>
          <w:tcPr>
            <w:tcW w:w="896" w:type="dxa"/>
            <w:hideMark/>
          </w:tcPr>
          <w:p w14:paraId="6FCAF42E" w14:textId="77777777" w:rsidR="000D3C45" w:rsidRPr="00C26A9B" w:rsidRDefault="000D3C45" w:rsidP="000D3C45">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V</w:t>
            </w:r>
            <w:r w:rsidRPr="00C26A9B">
              <w:rPr>
                <w:rFonts w:ascii="Times New Roman" w:hAnsi="Times New Roman" w:cs="Times New Roman"/>
                <w:sz w:val="24"/>
                <w:szCs w:val="24"/>
                <w:vertAlign w:val="subscript"/>
                <w:lang w:val="ro-RO"/>
              </w:rPr>
              <w:t>noțională</w:t>
            </w:r>
            <w:proofErr w:type="spellEnd"/>
          </w:p>
        </w:tc>
        <w:tc>
          <w:tcPr>
            <w:tcW w:w="76" w:type="dxa"/>
            <w:hideMark/>
          </w:tcPr>
          <w:p w14:paraId="5806804C" w14:textId="77777777"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100" w:type="dxa"/>
            <w:hideMark/>
          </w:tcPr>
          <w:p w14:paraId="0C74B98E" w14:textId="77777777"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valoarea noțională a instrumentului din care rezultă expunerea; valoarea noțională este valoarea justă a titlului de capital pentru instrumente de capital în numerar; pentru formula </w:t>
            </w:r>
            <w:proofErr w:type="spellStart"/>
            <w:r w:rsidRPr="00C26A9B">
              <w:rPr>
                <w:rFonts w:ascii="Times New Roman" w:hAnsi="Times New Roman" w:cs="Times New Roman"/>
                <w:sz w:val="24"/>
                <w:szCs w:val="24"/>
                <w:lang w:val="ro-RO"/>
              </w:rPr>
              <w:t>JTD</w:t>
            </w:r>
            <w:r w:rsidRPr="00C26A9B">
              <w:rPr>
                <w:rFonts w:ascii="Times New Roman" w:hAnsi="Times New Roman" w:cs="Times New Roman"/>
                <w:sz w:val="24"/>
                <w:szCs w:val="24"/>
                <w:vertAlign w:val="subscript"/>
                <w:lang w:val="ro-RO"/>
              </w:rPr>
              <w:t>scurt</w:t>
            </w:r>
            <w:proofErr w:type="spellEnd"/>
            <w:r w:rsidRPr="00C26A9B">
              <w:rPr>
                <w:rFonts w:ascii="Times New Roman" w:hAnsi="Times New Roman" w:cs="Times New Roman"/>
                <w:sz w:val="24"/>
                <w:szCs w:val="24"/>
                <w:lang w:val="ro-RO"/>
              </w:rPr>
              <w:t>, valoarea noțională a instrumentului este introdusă în formulă cu semn negativ;</w:t>
            </w:r>
          </w:p>
        </w:tc>
      </w:tr>
    </w:tbl>
    <w:p w14:paraId="7EDAB0D9" w14:textId="77777777" w:rsidR="000D3C45" w:rsidRPr="00C26A9B" w:rsidRDefault="000D3C45" w:rsidP="000D3C45">
      <w:pPr>
        <w:rPr>
          <w:rFonts w:ascii="Times New Roman" w:hAnsi="Times New Roman" w:cs="Times New Roman"/>
          <w:vanish/>
          <w:sz w:val="24"/>
          <w:szCs w:val="24"/>
          <w:lang w:val="ro-RO"/>
        </w:rPr>
      </w:pPr>
    </w:p>
    <w:tbl>
      <w:tblPr>
        <w:tblW w:w="9356" w:type="dxa"/>
        <w:tblLayout w:type="fixed"/>
        <w:tblCellMar>
          <w:left w:w="0" w:type="dxa"/>
          <w:right w:w="0" w:type="dxa"/>
        </w:tblCellMar>
        <w:tblLook w:val="04A0" w:firstRow="1" w:lastRow="0" w:firstColumn="1" w:lastColumn="0" w:noHBand="0" w:noVBand="1"/>
      </w:tblPr>
      <w:tblGrid>
        <w:gridCol w:w="754"/>
        <w:gridCol w:w="76"/>
        <w:gridCol w:w="8526"/>
      </w:tblGrid>
      <w:tr w:rsidR="000D3C45" w:rsidRPr="00C26A9B" w14:paraId="3F41AA8A" w14:textId="77777777" w:rsidTr="000D3C45">
        <w:tc>
          <w:tcPr>
            <w:tcW w:w="754" w:type="dxa"/>
            <w:hideMark/>
          </w:tcPr>
          <w:p w14:paraId="26BF7C61" w14:textId="77777777" w:rsidR="000D3C45" w:rsidRPr="00C26A9B" w:rsidRDefault="000D3C45" w:rsidP="000D3C45">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P&amp;L</w:t>
            </w:r>
            <w:r w:rsidRPr="00C26A9B">
              <w:rPr>
                <w:rFonts w:ascii="Times New Roman" w:hAnsi="Times New Roman" w:cs="Times New Roman"/>
                <w:sz w:val="24"/>
                <w:szCs w:val="24"/>
                <w:vertAlign w:val="subscript"/>
                <w:lang w:val="ro-RO"/>
              </w:rPr>
              <w:t>lung</w:t>
            </w:r>
            <w:proofErr w:type="spellEnd"/>
          </w:p>
        </w:tc>
        <w:tc>
          <w:tcPr>
            <w:tcW w:w="76" w:type="dxa"/>
            <w:hideMark/>
          </w:tcPr>
          <w:p w14:paraId="1B135F58" w14:textId="77777777"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526" w:type="dxa"/>
            <w:hideMark/>
          </w:tcPr>
          <w:p w14:paraId="513D7F18" w14:textId="77777777"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termen care permite ajustarea în funcție de câștigurile sau pierderile contabilizate deja de bancă, cauzate de modificările valorii juste a instrumentului care creează expunerea lungă; câștigurile sunt introduse în formulă cu semn pozitiv, iar pierderile sunt introduse în formulă cu semn negativ;</w:t>
            </w:r>
          </w:p>
        </w:tc>
      </w:tr>
    </w:tbl>
    <w:p w14:paraId="55383C69" w14:textId="77777777" w:rsidR="000D3C45" w:rsidRPr="00C26A9B" w:rsidRDefault="000D3C45" w:rsidP="000D3C45">
      <w:pPr>
        <w:rPr>
          <w:rFonts w:ascii="Times New Roman" w:hAnsi="Times New Roman" w:cs="Times New Roman"/>
          <w:vanish/>
          <w:sz w:val="24"/>
          <w:szCs w:val="24"/>
          <w:lang w:val="ro-RO"/>
        </w:rPr>
      </w:pPr>
    </w:p>
    <w:tbl>
      <w:tblPr>
        <w:tblW w:w="9356" w:type="dxa"/>
        <w:tblLayout w:type="fixed"/>
        <w:tblCellMar>
          <w:left w:w="0" w:type="dxa"/>
          <w:right w:w="0" w:type="dxa"/>
        </w:tblCellMar>
        <w:tblLook w:val="04A0" w:firstRow="1" w:lastRow="0" w:firstColumn="1" w:lastColumn="0" w:noHBand="0" w:noVBand="1"/>
      </w:tblPr>
      <w:tblGrid>
        <w:gridCol w:w="1276"/>
        <w:gridCol w:w="76"/>
        <w:gridCol w:w="8004"/>
      </w:tblGrid>
      <w:tr w:rsidR="000D3C45" w:rsidRPr="00C26A9B" w14:paraId="3CF39C32" w14:textId="77777777" w:rsidTr="000D3C45">
        <w:tc>
          <w:tcPr>
            <w:tcW w:w="1276" w:type="dxa"/>
            <w:hideMark/>
          </w:tcPr>
          <w:p w14:paraId="69725E89" w14:textId="77777777" w:rsidR="000D3C45" w:rsidRPr="00C26A9B" w:rsidRDefault="000D3C45" w:rsidP="000D3C45">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Ajustare</w:t>
            </w:r>
            <w:r w:rsidRPr="00C26A9B">
              <w:rPr>
                <w:rFonts w:ascii="Times New Roman" w:hAnsi="Times New Roman" w:cs="Times New Roman"/>
                <w:sz w:val="24"/>
                <w:szCs w:val="24"/>
                <w:vertAlign w:val="subscript"/>
                <w:lang w:val="ro-RO"/>
              </w:rPr>
              <w:t>lung</w:t>
            </w:r>
            <w:proofErr w:type="spellEnd"/>
          </w:p>
        </w:tc>
        <w:tc>
          <w:tcPr>
            <w:tcW w:w="76" w:type="dxa"/>
            <w:hideMark/>
          </w:tcPr>
          <w:p w14:paraId="63A1982A" w14:textId="77777777"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004" w:type="dxa"/>
            <w:hideMark/>
          </w:tcPr>
          <w:p w14:paraId="495780C3" w14:textId="77777777"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cuantumul cu care s-ar majora sau s-ar reduce pierderea suferită de bancă din cauza structurii instrumentului derivat în eventualitatea unei situații de nerambursare în raport cu pierderea totală aferentă instrumentului suport; majorările sunt introduse în formulă cu semn pozitiv, iar reducerile sunt introduse în formulă cu semn negativ;</w:t>
            </w:r>
          </w:p>
        </w:tc>
      </w:tr>
    </w:tbl>
    <w:p w14:paraId="68BBFE75" w14:textId="77777777" w:rsidR="000D3C45" w:rsidRPr="00C26A9B" w:rsidRDefault="000D3C45" w:rsidP="000D3C45">
      <w:pPr>
        <w:rPr>
          <w:rFonts w:ascii="Times New Roman" w:hAnsi="Times New Roman" w:cs="Times New Roman"/>
          <w:vanish/>
          <w:sz w:val="24"/>
          <w:szCs w:val="24"/>
          <w:lang w:val="ro-RO"/>
        </w:rPr>
      </w:pPr>
    </w:p>
    <w:tbl>
      <w:tblPr>
        <w:tblW w:w="9072" w:type="dxa"/>
        <w:tblLayout w:type="fixed"/>
        <w:tblCellMar>
          <w:left w:w="0" w:type="dxa"/>
          <w:right w:w="0" w:type="dxa"/>
        </w:tblCellMar>
        <w:tblLook w:val="04A0" w:firstRow="1" w:lastRow="0" w:firstColumn="1" w:lastColumn="0" w:noHBand="0" w:noVBand="1"/>
      </w:tblPr>
      <w:tblGrid>
        <w:gridCol w:w="896"/>
        <w:gridCol w:w="115"/>
        <w:gridCol w:w="8061"/>
      </w:tblGrid>
      <w:tr w:rsidR="000D3C45" w:rsidRPr="00C26A9B" w14:paraId="7591B935" w14:textId="77777777" w:rsidTr="000D3C45">
        <w:tc>
          <w:tcPr>
            <w:tcW w:w="896" w:type="dxa"/>
            <w:hideMark/>
          </w:tcPr>
          <w:p w14:paraId="0F1DB59C" w14:textId="77777777" w:rsidR="000D3C45" w:rsidRPr="00C26A9B" w:rsidRDefault="000D3C45" w:rsidP="000D3C45">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JTD</w:t>
            </w:r>
            <w:r w:rsidRPr="00C26A9B">
              <w:rPr>
                <w:rFonts w:ascii="Times New Roman" w:hAnsi="Times New Roman" w:cs="Times New Roman"/>
                <w:sz w:val="24"/>
                <w:szCs w:val="24"/>
                <w:vertAlign w:val="subscript"/>
                <w:lang w:val="ro-RO"/>
              </w:rPr>
              <w:t>scurt</w:t>
            </w:r>
            <w:proofErr w:type="spellEnd"/>
          </w:p>
        </w:tc>
        <w:tc>
          <w:tcPr>
            <w:tcW w:w="115" w:type="dxa"/>
            <w:hideMark/>
          </w:tcPr>
          <w:p w14:paraId="01CCD2C1" w14:textId="77777777"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061" w:type="dxa"/>
            <w:hideMark/>
          </w:tcPr>
          <w:p w14:paraId="29BDE89E" w14:textId="77777777"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cuantumurile brute ale JTD pentru expunere scurtă;</w:t>
            </w:r>
          </w:p>
        </w:tc>
      </w:tr>
    </w:tbl>
    <w:p w14:paraId="727B25DB" w14:textId="77777777" w:rsidR="000D3C45" w:rsidRPr="00C26A9B" w:rsidRDefault="000D3C45" w:rsidP="000D3C45">
      <w:pPr>
        <w:rPr>
          <w:rFonts w:ascii="Times New Roman" w:hAnsi="Times New Roman" w:cs="Times New Roman"/>
          <w:vanish/>
          <w:sz w:val="24"/>
          <w:szCs w:val="24"/>
          <w:lang w:val="ro-RO"/>
        </w:rPr>
      </w:pPr>
    </w:p>
    <w:tbl>
      <w:tblPr>
        <w:tblW w:w="9214" w:type="dxa"/>
        <w:tblLayout w:type="fixed"/>
        <w:tblCellMar>
          <w:left w:w="0" w:type="dxa"/>
          <w:right w:w="0" w:type="dxa"/>
        </w:tblCellMar>
        <w:tblLook w:val="04A0" w:firstRow="1" w:lastRow="0" w:firstColumn="1" w:lastColumn="0" w:noHBand="0" w:noVBand="1"/>
      </w:tblPr>
      <w:tblGrid>
        <w:gridCol w:w="851"/>
        <w:gridCol w:w="76"/>
        <w:gridCol w:w="8287"/>
      </w:tblGrid>
      <w:tr w:rsidR="000D3C45" w:rsidRPr="00C26A9B" w14:paraId="6106A63A" w14:textId="77777777" w:rsidTr="000D3C45">
        <w:tc>
          <w:tcPr>
            <w:tcW w:w="851" w:type="dxa"/>
            <w:hideMark/>
          </w:tcPr>
          <w:p w14:paraId="79682948" w14:textId="77777777" w:rsidR="000D3C45" w:rsidRPr="00C26A9B" w:rsidRDefault="000D3C45" w:rsidP="000D3C45">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P&amp;L</w:t>
            </w:r>
            <w:r w:rsidRPr="00C26A9B">
              <w:rPr>
                <w:rFonts w:ascii="Times New Roman" w:hAnsi="Times New Roman" w:cs="Times New Roman"/>
                <w:sz w:val="24"/>
                <w:szCs w:val="24"/>
                <w:vertAlign w:val="subscript"/>
                <w:lang w:val="ro-RO"/>
              </w:rPr>
              <w:t>scurt</w:t>
            </w:r>
            <w:proofErr w:type="spellEnd"/>
          </w:p>
        </w:tc>
        <w:tc>
          <w:tcPr>
            <w:tcW w:w="76" w:type="dxa"/>
            <w:hideMark/>
          </w:tcPr>
          <w:p w14:paraId="2C04B08F" w14:textId="77777777"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287" w:type="dxa"/>
            <w:hideMark/>
          </w:tcPr>
          <w:p w14:paraId="4AF62C19" w14:textId="77777777"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termen care permite ajustarea în funcție de câștigurile sau pierderile contabilizate deja de bancă, cauzate de modificările valorii juste a instrumentului care creează expunerea scurtă; câștigurile sunt introduse în formulă cu semn pozitiv, iar pierderile sunt introduse în formulă cu semn negativ; și</w:t>
            </w:r>
          </w:p>
        </w:tc>
      </w:tr>
    </w:tbl>
    <w:p w14:paraId="5723F588" w14:textId="77777777" w:rsidR="000D3C45" w:rsidRPr="00C26A9B" w:rsidRDefault="000D3C45" w:rsidP="000D3C45">
      <w:pPr>
        <w:rPr>
          <w:rFonts w:ascii="Times New Roman" w:hAnsi="Times New Roman" w:cs="Times New Roman"/>
          <w:vanish/>
          <w:sz w:val="24"/>
          <w:szCs w:val="24"/>
          <w:lang w:val="ro-RO"/>
        </w:rPr>
      </w:pPr>
    </w:p>
    <w:tbl>
      <w:tblPr>
        <w:tblW w:w="9356" w:type="dxa"/>
        <w:tblLayout w:type="fixed"/>
        <w:tblCellMar>
          <w:left w:w="0" w:type="dxa"/>
          <w:right w:w="0" w:type="dxa"/>
        </w:tblCellMar>
        <w:tblLook w:val="04A0" w:firstRow="1" w:lastRow="0" w:firstColumn="1" w:lastColumn="0" w:noHBand="0" w:noVBand="1"/>
      </w:tblPr>
      <w:tblGrid>
        <w:gridCol w:w="1276"/>
        <w:gridCol w:w="76"/>
        <w:gridCol w:w="8004"/>
      </w:tblGrid>
      <w:tr w:rsidR="000D3C45" w:rsidRPr="00C26A9B" w14:paraId="7E7F82E0" w14:textId="77777777" w:rsidTr="000D3C45">
        <w:tc>
          <w:tcPr>
            <w:tcW w:w="1276" w:type="dxa"/>
            <w:hideMark/>
          </w:tcPr>
          <w:p w14:paraId="198F42EB" w14:textId="77777777" w:rsidR="000D3C45" w:rsidRPr="00C26A9B" w:rsidRDefault="000D3C45" w:rsidP="000D3C45">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Ajustare</w:t>
            </w:r>
            <w:r w:rsidRPr="00C26A9B">
              <w:rPr>
                <w:rFonts w:ascii="Times New Roman" w:hAnsi="Times New Roman" w:cs="Times New Roman"/>
                <w:sz w:val="24"/>
                <w:szCs w:val="24"/>
                <w:vertAlign w:val="subscript"/>
                <w:lang w:val="ro-RO"/>
              </w:rPr>
              <w:t>scurt</w:t>
            </w:r>
            <w:proofErr w:type="spellEnd"/>
          </w:p>
        </w:tc>
        <w:tc>
          <w:tcPr>
            <w:tcW w:w="76" w:type="dxa"/>
            <w:hideMark/>
          </w:tcPr>
          <w:p w14:paraId="2806E30D" w14:textId="77777777"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004" w:type="dxa"/>
            <w:hideMark/>
          </w:tcPr>
          <w:p w14:paraId="2B412D9C" w14:textId="77777777"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cuantumul cu care s-ar majora sau s-ar reduce câștigul obținut de bancă datorită structurii instrumentului derivat în eventualitatea unei situații de nerambursare în raport cu pierderea totală aferentă instrumentului-suport; reducerile sunt introduse în formulă cu semn pozitiv, iar majorările sunt introduse în formulă cu semn negativ.</w:t>
            </w:r>
          </w:p>
        </w:tc>
      </w:tr>
    </w:tbl>
    <w:p w14:paraId="638A1887" w14:textId="5094E125"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233.   În scopul efectuării calculului prevăzut lapct.232, băncile atribuie titlurilor de capital o LGD de 100 %.</w:t>
      </w:r>
    </w:p>
    <w:p w14:paraId="7023866C" w14:textId="1DE8CA68" w:rsidR="000D3C45" w:rsidRPr="00C26A9B" w:rsidRDefault="000D3C45"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t>234.   În cazul expunerilor la riscul de nerambursare care decurg din instrumente derivate ale căror rezultate în cazul intrării debitorului în stare de nerambursare nu sunt legate de valoarea noțională a unui anumit instrument emis de respectivul debitor sau de LGD a debitorului sau a unui instrument emis de acesta, băncile utilizează metodologii alternative pentru a estima cuantumurile brute ale JTD.</w:t>
      </w:r>
    </w:p>
    <w:p w14:paraId="4F8B19B9" w14:textId="46E8A935" w:rsidR="00F05B62" w:rsidRPr="00C26A9B" w:rsidRDefault="00F05B62" w:rsidP="000D3C45">
      <w:pPr>
        <w:rPr>
          <w:rFonts w:ascii="Times New Roman" w:hAnsi="Times New Roman" w:cs="Times New Roman"/>
          <w:b/>
          <w:bCs/>
          <w:sz w:val="24"/>
          <w:szCs w:val="24"/>
          <w:lang w:val="ro-RO"/>
        </w:rPr>
      </w:pPr>
      <w:bookmarkStart w:id="26" w:name="_Hlk195097400"/>
      <w:r w:rsidRPr="00C26A9B">
        <w:rPr>
          <w:rFonts w:ascii="Times New Roman" w:hAnsi="Times New Roman" w:cs="Times New Roman"/>
          <w:i/>
          <w:iCs/>
          <w:sz w:val="24"/>
          <w:szCs w:val="24"/>
          <w:lang w:val="ro-RO"/>
        </w:rPr>
        <w:t xml:space="preserve">Paragraful 2. </w:t>
      </w:r>
      <w:r w:rsidRPr="00C26A9B">
        <w:rPr>
          <w:rFonts w:ascii="Times New Roman" w:hAnsi="Times New Roman" w:cs="Times New Roman"/>
          <w:b/>
          <w:bCs/>
          <w:sz w:val="24"/>
          <w:szCs w:val="24"/>
          <w:lang w:val="ro-RO"/>
        </w:rPr>
        <w:t>Cuantumurile nete ale trecerii bruște în starea de nerambursare</w:t>
      </w:r>
      <w:bookmarkEnd w:id="26"/>
    </w:p>
    <w:p w14:paraId="4A8B05F1" w14:textId="74462BA3" w:rsidR="00F05B62" w:rsidRPr="00C26A9B" w:rsidRDefault="00F05B62" w:rsidP="000D3C45">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235.   Băncile calculează cuantumurile nete ale JTD prin compensarea cuantumurilor brute ale JTD pentru expunerile scurte și expunerile lungi. Compensarea nu este posibilă decât între expuneri la același debitor în cazul în care expunerile scurte au rang mai mic sau egal cu expunerile lungi.</w:t>
      </w:r>
    </w:p>
    <w:p w14:paraId="6438047C" w14:textId="77777777" w:rsidR="00F05B62" w:rsidRPr="00C26A9B" w:rsidRDefault="00F05B62" w:rsidP="00F05B62">
      <w:pPr>
        <w:rPr>
          <w:rFonts w:ascii="Times New Roman" w:hAnsi="Times New Roman" w:cs="Times New Roman"/>
          <w:sz w:val="24"/>
          <w:szCs w:val="24"/>
          <w:lang w:val="ro-RO"/>
        </w:rPr>
      </w:pPr>
      <w:r w:rsidRPr="00C26A9B">
        <w:rPr>
          <w:rFonts w:ascii="Times New Roman" w:hAnsi="Times New Roman" w:cs="Times New Roman"/>
          <w:sz w:val="24"/>
          <w:szCs w:val="24"/>
          <w:lang w:val="ro-RO"/>
        </w:rPr>
        <w:t>236.   Compensarea este integrală sau parțială, în funcție de scadențele expunerilor supuse compensării:</w:t>
      </w:r>
    </w:p>
    <w:p w14:paraId="5410FB29" w14:textId="77777777" w:rsidR="00F05B62" w:rsidRPr="00C26A9B" w:rsidRDefault="00F05B62" w:rsidP="00F05B62">
      <w:pPr>
        <w:rPr>
          <w:rFonts w:ascii="Times New Roman" w:hAnsi="Times New Roman" w:cs="Times New Roman"/>
          <w:sz w:val="24"/>
          <w:szCs w:val="24"/>
          <w:lang w:val="ro-RO"/>
        </w:rPr>
      </w:pPr>
      <w:r w:rsidRPr="00C26A9B">
        <w:rPr>
          <w:rFonts w:ascii="Times New Roman" w:hAnsi="Times New Roman" w:cs="Times New Roman"/>
          <w:sz w:val="24"/>
          <w:szCs w:val="24"/>
          <w:lang w:val="ro-RO"/>
        </w:rPr>
        <w:t>236.1. compensarea este integrală atunci când toate expunerile supuse compensării au scadențe de un an sau mai mult;</w:t>
      </w:r>
    </w:p>
    <w:p w14:paraId="77C1E340" w14:textId="2A80463D" w:rsidR="00F05B62" w:rsidRPr="00C26A9B" w:rsidRDefault="00F05B62" w:rsidP="00F05B62">
      <w:pPr>
        <w:rPr>
          <w:rFonts w:ascii="Times New Roman" w:hAnsi="Times New Roman" w:cs="Times New Roman"/>
          <w:sz w:val="24"/>
          <w:szCs w:val="24"/>
          <w:lang w:val="ro-RO"/>
        </w:rPr>
      </w:pPr>
      <w:r w:rsidRPr="00C26A9B">
        <w:rPr>
          <w:rFonts w:ascii="Times New Roman" w:hAnsi="Times New Roman" w:cs="Times New Roman"/>
          <w:sz w:val="24"/>
          <w:szCs w:val="24"/>
          <w:lang w:val="ro-RO"/>
        </w:rPr>
        <w:t>236.2. compensarea este parțială atunci când cel puțin una dintre expunerile supuse compensării are o scadență mai mică de un an, caz în care cuantumul JTD pentru fiecare expunere cu o scadență mai mică de un an este înmulțit cu raportul dintre scadența expunerii și un an.</w:t>
      </w:r>
    </w:p>
    <w:p w14:paraId="46078D4F" w14:textId="2DFE6E61" w:rsidR="00F05B62" w:rsidRPr="00C26A9B" w:rsidRDefault="00F05B62" w:rsidP="00F05B62">
      <w:pPr>
        <w:rPr>
          <w:rFonts w:ascii="Times New Roman" w:hAnsi="Times New Roman" w:cs="Times New Roman"/>
          <w:sz w:val="24"/>
          <w:szCs w:val="24"/>
          <w:lang w:val="ro-RO"/>
        </w:rPr>
      </w:pPr>
      <w:r w:rsidRPr="00C26A9B">
        <w:rPr>
          <w:rFonts w:ascii="Times New Roman" w:hAnsi="Times New Roman" w:cs="Times New Roman"/>
          <w:sz w:val="24"/>
          <w:szCs w:val="24"/>
          <w:lang w:val="ro-RO"/>
        </w:rPr>
        <w:t>237. În cazul în care compensarea nu este posibilă, cuantumurile brute ale JTD sunt egale cu cuantumurile nete ale JTD pentru expunerile cu scadențe de un an sau mai mult. Cuantumurile brute ale JTD cu scadențe mai mici de un an sunt înmulțite cu raportul dintre scadența expunerii și un an, cu un prag de trei luni, în scopul calculării cuantumurilor nete ale JTD.</w:t>
      </w:r>
    </w:p>
    <w:p w14:paraId="52ACE09B" w14:textId="74FCE4D3" w:rsidR="00F05B62" w:rsidRPr="00C26A9B" w:rsidRDefault="00F05B62" w:rsidP="00F05B62">
      <w:pPr>
        <w:rPr>
          <w:rFonts w:ascii="Times New Roman" w:hAnsi="Times New Roman" w:cs="Times New Roman"/>
          <w:sz w:val="24"/>
          <w:szCs w:val="24"/>
          <w:lang w:val="ro-RO"/>
        </w:rPr>
      </w:pPr>
      <w:r w:rsidRPr="00C26A9B">
        <w:rPr>
          <w:rFonts w:ascii="Times New Roman" w:hAnsi="Times New Roman" w:cs="Times New Roman"/>
          <w:sz w:val="24"/>
          <w:szCs w:val="24"/>
          <w:lang w:val="ro-RO"/>
        </w:rPr>
        <w:t>238.   În sensul pct.236 și 237, se iau în considerare mai curând scadențele contractelor derivate decât scadențele instrumentelor-suport ale acestora. Expunerilor în numerar provenind din titluri de capital li se atribuie o scadență de un an sau de trei luni, la latitudinea băncii.</w:t>
      </w:r>
    </w:p>
    <w:p w14:paraId="63123F11" w14:textId="4E0A5707" w:rsidR="00F05B62" w:rsidRPr="00C26A9B" w:rsidRDefault="00F05B62" w:rsidP="00F05B62">
      <w:pPr>
        <w:rPr>
          <w:rFonts w:ascii="Times New Roman" w:hAnsi="Times New Roman" w:cs="Times New Roman"/>
          <w:sz w:val="24"/>
          <w:szCs w:val="24"/>
          <w:lang w:val="ro-RO"/>
        </w:rPr>
      </w:pPr>
      <w:r w:rsidRPr="00C26A9B">
        <w:rPr>
          <w:rFonts w:ascii="Times New Roman" w:hAnsi="Times New Roman" w:cs="Times New Roman"/>
          <w:sz w:val="24"/>
          <w:szCs w:val="24"/>
          <w:lang w:val="ro-RO"/>
        </w:rPr>
        <w:t>239.  În cazul în care clauzele contractuale sau juridice ale unei poziții pe instrumente financiare derivate care are drept suport un instrument financiar de datorie în numerar sau de capital în numerar și este acoperită cu respectivul instrument financiar de datorie în numerar sau de capital în numerar permit unei bănci să închidă ambele segmente ale poziției respective la momentul expirării segmentului care ajunge primul la scadență dintre cele două fără nicio expunere la riscul de nerambursare al suportului, cuantumul net al trecerii bruște în starea de nerambursare al poziției combinate se stabilește la zero.</w:t>
      </w:r>
    </w:p>
    <w:p w14:paraId="7A75163C" w14:textId="5EEECECA" w:rsidR="00125B07" w:rsidRPr="00C26A9B" w:rsidRDefault="00125B07" w:rsidP="00F05B62">
      <w:pPr>
        <w:rPr>
          <w:rFonts w:ascii="Times New Roman" w:hAnsi="Times New Roman" w:cs="Times New Roman"/>
          <w:b/>
          <w:bCs/>
          <w:sz w:val="24"/>
          <w:szCs w:val="24"/>
          <w:lang w:val="ro-RO"/>
        </w:rPr>
      </w:pPr>
      <w:bookmarkStart w:id="27" w:name="_Hlk195097432"/>
      <w:r w:rsidRPr="00C26A9B">
        <w:rPr>
          <w:rFonts w:ascii="Times New Roman" w:hAnsi="Times New Roman" w:cs="Times New Roman"/>
          <w:i/>
          <w:iCs/>
          <w:sz w:val="24"/>
          <w:szCs w:val="24"/>
          <w:lang w:val="ro-RO"/>
        </w:rPr>
        <w:t xml:space="preserve">Paragraful 3. </w:t>
      </w:r>
      <w:r w:rsidRPr="00C26A9B">
        <w:rPr>
          <w:rFonts w:ascii="Times New Roman" w:hAnsi="Times New Roman" w:cs="Times New Roman"/>
          <w:b/>
          <w:bCs/>
          <w:sz w:val="24"/>
          <w:szCs w:val="24"/>
          <w:lang w:val="ro-RO"/>
        </w:rPr>
        <w:t>Calcularea cerinței de fonduri proprii pentru riscul de nerambursare</w:t>
      </w:r>
      <w:bookmarkEnd w:id="27"/>
    </w:p>
    <w:p w14:paraId="784CC70E"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240.   Cuantumurile nete ale JTD, indiferent de tipul </w:t>
      </w:r>
      <w:proofErr w:type="spellStart"/>
      <w:r w:rsidRPr="00C26A9B">
        <w:rPr>
          <w:rFonts w:ascii="Times New Roman" w:hAnsi="Times New Roman" w:cs="Times New Roman"/>
          <w:sz w:val="24"/>
          <w:szCs w:val="24"/>
          <w:lang w:val="ro-RO"/>
        </w:rPr>
        <w:t>contrapărții</w:t>
      </w:r>
      <w:proofErr w:type="spellEnd"/>
      <w:r w:rsidRPr="00C26A9B">
        <w:rPr>
          <w:rFonts w:ascii="Times New Roman" w:hAnsi="Times New Roman" w:cs="Times New Roman"/>
          <w:sz w:val="24"/>
          <w:szCs w:val="24"/>
          <w:lang w:val="ro-RO"/>
        </w:rPr>
        <w:t>, se înmulțesc cu ponderile de risc de nerambursare care corespund calității creditului lor, astfel cum se precizează în tabelul 2:</w:t>
      </w:r>
    </w:p>
    <w:p w14:paraId="347D4A4A" w14:textId="77777777" w:rsidR="00125B07" w:rsidRPr="00C26A9B" w:rsidRDefault="00125B07" w:rsidP="00125B07">
      <w:pPr>
        <w:rPr>
          <w:rFonts w:ascii="Times New Roman" w:hAnsi="Times New Roman" w:cs="Times New Roman"/>
          <w:b/>
          <w:bCs/>
          <w:sz w:val="24"/>
          <w:szCs w:val="24"/>
          <w:lang w:val="ro-RO"/>
        </w:rPr>
      </w:pPr>
      <w:r w:rsidRPr="00C26A9B">
        <w:rPr>
          <w:rFonts w:ascii="Times New Roman" w:hAnsi="Times New Roman" w:cs="Times New Roman"/>
          <w:b/>
          <w:bCs/>
          <w:i/>
          <w:iCs/>
          <w:sz w:val="24"/>
          <w:szCs w:val="24"/>
          <w:lang w:val="ro-RO"/>
        </w:rPr>
        <w:t>Tabelul 2</w:t>
      </w:r>
    </w:p>
    <w:tbl>
      <w:tblPr>
        <w:tblW w:w="5521"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536"/>
        <w:gridCol w:w="1985"/>
      </w:tblGrid>
      <w:tr w:rsidR="00125B07" w:rsidRPr="00C26A9B" w14:paraId="7B874AAF" w14:textId="77777777" w:rsidTr="00125B07">
        <w:trPr>
          <w:jc w:val="center"/>
        </w:trPr>
        <w:tc>
          <w:tcPr>
            <w:tcW w:w="3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97C96E" w14:textId="77777777" w:rsidR="00125B07" w:rsidRPr="00C26A9B" w:rsidRDefault="00125B07" w:rsidP="00125B07">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Categorie de calitate a creditului</w:t>
            </w:r>
          </w:p>
        </w:tc>
        <w:tc>
          <w:tcPr>
            <w:tcW w:w="1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1764EA" w14:textId="77777777" w:rsidR="00125B07" w:rsidRPr="00C26A9B" w:rsidRDefault="00125B07" w:rsidP="00125B07">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Pondere de risc de nerambursare</w:t>
            </w:r>
          </w:p>
        </w:tc>
      </w:tr>
      <w:tr w:rsidR="00125B07" w:rsidRPr="00C26A9B" w14:paraId="5928C7A3" w14:textId="77777777" w:rsidTr="00125B07">
        <w:trPr>
          <w:jc w:val="center"/>
        </w:trPr>
        <w:tc>
          <w:tcPr>
            <w:tcW w:w="3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490826"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Nivel de calitate a creditului 1</w:t>
            </w:r>
          </w:p>
        </w:tc>
        <w:tc>
          <w:tcPr>
            <w:tcW w:w="1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CA54EC" w14:textId="77777777" w:rsidR="00125B07" w:rsidRPr="00C26A9B" w:rsidRDefault="00125B07" w:rsidP="00125B07">
            <w:pPr>
              <w:ind w:left="-427" w:firstLine="427"/>
              <w:rPr>
                <w:rFonts w:ascii="Times New Roman" w:hAnsi="Times New Roman" w:cs="Times New Roman"/>
                <w:sz w:val="24"/>
                <w:szCs w:val="24"/>
                <w:lang w:val="ro-RO"/>
              </w:rPr>
            </w:pPr>
            <w:r w:rsidRPr="00C26A9B">
              <w:rPr>
                <w:rFonts w:ascii="Times New Roman" w:hAnsi="Times New Roman" w:cs="Times New Roman"/>
                <w:sz w:val="24"/>
                <w:szCs w:val="24"/>
                <w:lang w:val="ro-RO"/>
              </w:rPr>
              <w:t>0,5 %</w:t>
            </w:r>
          </w:p>
        </w:tc>
      </w:tr>
      <w:tr w:rsidR="00125B07" w:rsidRPr="00C26A9B" w14:paraId="77AB2E1D" w14:textId="77777777" w:rsidTr="00125B07">
        <w:trPr>
          <w:jc w:val="center"/>
        </w:trPr>
        <w:tc>
          <w:tcPr>
            <w:tcW w:w="3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7F9342"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Nivel de calitate a creditului 2</w:t>
            </w:r>
          </w:p>
        </w:tc>
        <w:tc>
          <w:tcPr>
            <w:tcW w:w="1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40F2B1"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3 %</w:t>
            </w:r>
          </w:p>
        </w:tc>
      </w:tr>
      <w:tr w:rsidR="00125B07" w:rsidRPr="00C26A9B" w14:paraId="78A0A28A" w14:textId="77777777" w:rsidTr="00125B07">
        <w:trPr>
          <w:jc w:val="center"/>
        </w:trPr>
        <w:tc>
          <w:tcPr>
            <w:tcW w:w="3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15091D"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Nivel de calitate a creditului 3</w:t>
            </w:r>
          </w:p>
        </w:tc>
        <w:tc>
          <w:tcPr>
            <w:tcW w:w="1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0BA408"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6 %</w:t>
            </w:r>
          </w:p>
        </w:tc>
      </w:tr>
      <w:tr w:rsidR="00125B07" w:rsidRPr="00C26A9B" w14:paraId="6F7FDBF0" w14:textId="77777777" w:rsidTr="00125B07">
        <w:trPr>
          <w:jc w:val="center"/>
        </w:trPr>
        <w:tc>
          <w:tcPr>
            <w:tcW w:w="3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888DF4"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Nivel de calitate a creditului 4</w:t>
            </w:r>
          </w:p>
        </w:tc>
        <w:tc>
          <w:tcPr>
            <w:tcW w:w="1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BAB35E"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15 %</w:t>
            </w:r>
          </w:p>
        </w:tc>
      </w:tr>
      <w:tr w:rsidR="00125B07" w:rsidRPr="00C26A9B" w14:paraId="448F7D37" w14:textId="77777777" w:rsidTr="00125B07">
        <w:trPr>
          <w:jc w:val="center"/>
        </w:trPr>
        <w:tc>
          <w:tcPr>
            <w:tcW w:w="3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256845"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Nivel de calitate a creditului 5</w:t>
            </w:r>
          </w:p>
        </w:tc>
        <w:tc>
          <w:tcPr>
            <w:tcW w:w="1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1DF011"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30 %</w:t>
            </w:r>
          </w:p>
        </w:tc>
      </w:tr>
      <w:tr w:rsidR="00125B07" w:rsidRPr="00C26A9B" w14:paraId="6BCE968F" w14:textId="77777777" w:rsidTr="00125B07">
        <w:trPr>
          <w:jc w:val="center"/>
        </w:trPr>
        <w:tc>
          <w:tcPr>
            <w:tcW w:w="3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C373EE"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Nivel de calitate a creditului 6</w:t>
            </w:r>
          </w:p>
        </w:tc>
        <w:tc>
          <w:tcPr>
            <w:tcW w:w="1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436035"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50 %</w:t>
            </w:r>
          </w:p>
        </w:tc>
      </w:tr>
      <w:tr w:rsidR="00125B07" w:rsidRPr="00C26A9B" w14:paraId="03FB7B97" w14:textId="77777777" w:rsidTr="00125B07">
        <w:trPr>
          <w:jc w:val="center"/>
        </w:trPr>
        <w:tc>
          <w:tcPr>
            <w:tcW w:w="3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72ECD3"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Nu beneficiază de rating</w:t>
            </w:r>
          </w:p>
        </w:tc>
        <w:tc>
          <w:tcPr>
            <w:tcW w:w="1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F444AE"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15 %</w:t>
            </w:r>
          </w:p>
        </w:tc>
      </w:tr>
      <w:tr w:rsidR="00125B07" w:rsidRPr="00C26A9B" w14:paraId="6893E378" w14:textId="77777777" w:rsidTr="00125B07">
        <w:trPr>
          <w:jc w:val="center"/>
        </w:trPr>
        <w:tc>
          <w:tcPr>
            <w:tcW w:w="35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C1020E"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În stare de nerambursare</w:t>
            </w:r>
          </w:p>
        </w:tc>
        <w:tc>
          <w:tcPr>
            <w:tcW w:w="1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78C7C0"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100 %</w:t>
            </w:r>
          </w:p>
        </w:tc>
      </w:tr>
    </w:tbl>
    <w:p w14:paraId="5C4C08DD" w14:textId="77777777" w:rsidR="00125B07" w:rsidRPr="00C26A9B" w:rsidRDefault="00125B07" w:rsidP="00F05B62">
      <w:pPr>
        <w:rPr>
          <w:rFonts w:ascii="Times New Roman" w:hAnsi="Times New Roman" w:cs="Times New Roman"/>
          <w:sz w:val="24"/>
          <w:szCs w:val="24"/>
          <w:lang w:val="ro-RO"/>
        </w:rPr>
      </w:pPr>
    </w:p>
    <w:p w14:paraId="6D2B3821" w14:textId="4534C7E1" w:rsidR="00125B07" w:rsidRPr="00C26A9B" w:rsidRDefault="00125B07" w:rsidP="00F05B62">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241.   Expunerile care ar primi o pondere de risc de 0 % în conformitate cu abordarea standardizată pentru riscul de credit în conformitate cu Regulamentul nr.111/2018 primesc o pondere de risc de nerambursare de 0 % pentru cerințele de fonduri proprii pentru riscul de nerambursare.</w:t>
      </w:r>
    </w:p>
    <w:p w14:paraId="584EC4D0" w14:textId="0C6AB680" w:rsidR="00125B07" w:rsidRPr="00C26A9B" w:rsidRDefault="00125B07" w:rsidP="00F05B62">
      <w:pPr>
        <w:rPr>
          <w:rFonts w:ascii="Times New Roman" w:hAnsi="Times New Roman" w:cs="Times New Roman"/>
          <w:sz w:val="24"/>
          <w:szCs w:val="24"/>
          <w:lang w:val="ro-RO"/>
        </w:rPr>
      </w:pPr>
      <w:r w:rsidRPr="00C26A9B">
        <w:rPr>
          <w:rFonts w:ascii="Times New Roman" w:hAnsi="Times New Roman" w:cs="Times New Roman"/>
          <w:sz w:val="24"/>
          <w:szCs w:val="24"/>
          <w:lang w:val="ro-RO"/>
        </w:rPr>
        <w:t>242.   JDT nete ponderate se atribuie următoarelor benzi: societăți, entități suverane și administrații locale/municipalități.</w:t>
      </w:r>
    </w:p>
    <w:p w14:paraId="32956552"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243.   Cuantumurile nete ponderate ale JTD sunt agregate în cadrul fiecărei benzi, în conformitate cu următoarea formulă:</w:t>
      </w:r>
    </w:p>
    <w:p w14:paraId="285CC2B9" w14:textId="77777777" w:rsidR="00125B07" w:rsidRPr="00C26A9B" w:rsidRDefault="00125B07" w:rsidP="00125B07">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DRC</w:t>
      </w:r>
      <w:r w:rsidRPr="00C26A9B">
        <w:rPr>
          <w:rFonts w:ascii="Times New Roman" w:hAnsi="Times New Roman" w:cs="Times New Roman"/>
          <w:sz w:val="24"/>
          <w:szCs w:val="24"/>
          <w:vertAlign w:val="subscript"/>
          <w:lang w:val="ro-RO"/>
        </w:rPr>
        <w:t>b</w:t>
      </w:r>
      <w:proofErr w:type="spellEnd"/>
      <w:r w:rsidRPr="00C26A9B">
        <w:rPr>
          <w:rFonts w:ascii="Times New Roman" w:hAnsi="Times New Roman" w:cs="Times New Roman"/>
          <w:sz w:val="24"/>
          <w:szCs w:val="24"/>
          <w:lang w:val="ro-RO"/>
        </w:rPr>
        <w:t xml:space="preserve"> = </w:t>
      </w:r>
      <w:proofErr w:type="spellStart"/>
      <w:r w:rsidRPr="00C26A9B">
        <w:rPr>
          <w:rFonts w:ascii="Times New Roman" w:hAnsi="Times New Roman" w:cs="Times New Roman"/>
          <w:sz w:val="24"/>
          <w:szCs w:val="24"/>
          <w:lang w:val="ro-RO"/>
        </w:rPr>
        <w:t>max</w:t>
      </w:r>
      <w:proofErr w:type="spellEnd"/>
      <w:r w:rsidRPr="00C26A9B">
        <w:rPr>
          <w:rFonts w:ascii="Times New Roman" w:hAnsi="Times New Roman" w:cs="Times New Roman"/>
          <w:sz w:val="24"/>
          <w:szCs w:val="24"/>
          <w:lang w:val="ro-RO"/>
        </w:rPr>
        <w:t xml:space="preserve"> {(</w:t>
      </w:r>
      <w:proofErr w:type="spellStart"/>
      <w:r w:rsidRPr="00C26A9B">
        <w:rPr>
          <w:rFonts w:ascii="Times New Roman" w:hAnsi="Times New Roman" w:cs="Times New Roman"/>
          <w:sz w:val="24"/>
          <w:szCs w:val="24"/>
          <w:lang w:val="ro-RO"/>
        </w:rPr>
        <w:t>Σ</w:t>
      </w:r>
      <w:r w:rsidRPr="00C26A9B">
        <w:rPr>
          <w:rFonts w:ascii="Times New Roman" w:hAnsi="Times New Roman" w:cs="Times New Roman"/>
          <w:sz w:val="24"/>
          <w:szCs w:val="24"/>
          <w:vertAlign w:val="subscript"/>
          <w:lang w:val="ro-RO"/>
        </w:rPr>
        <w:t>i</w:t>
      </w:r>
      <w:proofErr w:type="spellEnd"/>
      <w:r w:rsidRPr="00C26A9B">
        <w:rPr>
          <w:rFonts w:ascii="Times New Roman" w:hAnsi="Times New Roman" w:cs="Times New Roman"/>
          <w:sz w:val="24"/>
          <w:szCs w:val="24"/>
          <w:vertAlign w:val="subscript"/>
          <w:lang w:val="ro-RO"/>
        </w:rPr>
        <w:t xml:space="preserve"> </w:t>
      </w:r>
      <w:r w:rsidRPr="00C26A9B">
        <w:rPr>
          <w:rFonts w:ascii="Cambria Math" w:hAnsi="Cambria Math" w:cs="Cambria Math"/>
          <w:sz w:val="24"/>
          <w:szCs w:val="24"/>
          <w:vertAlign w:val="subscript"/>
          <w:lang w:val="ro-RO"/>
        </w:rPr>
        <w:t>∈</w:t>
      </w:r>
      <w:r w:rsidRPr="00C26A9B">
        <w:rPr>
          <w:rFonts w:ascii="Times New Roman" w:hAnsi="Times New Roman" w:cs="Times New Roman"/>
          <w:sz w:val="24"/>
          <w:szCs w:val="24"/>
          <w:vertAlign w:val="subscript"/>
          <w:lang w:val="ro-RO"/>
        </w:rPr>
        <w:t xml:space="preserve"> lung</w:t>
      </w:r>
      <w:r w:rsidRPr="00C26A9B">
        <w:rPr>
          <w:rFonts w:ascii="Times New Roman" w:hAnsi="Times New Roman" w:cs="Times New Roman"/>
          <w:sz w:val="24"/>
          <w:szCs w:val="24"/>
          <w:lang w:val="ro-RO"/>
        </w:rPr>
        <w:t> </w:t>
      </w:r>
      <w:proofErr w:type="spellStart"/>
      <w:r w:rsidRPr="00C26A9B">
        <w:rPr>
          <w:rFonts w:ascii="Times New Roman" w:hAnsi="Times New Roman" w:cs="Times New Roman"/>
          <w:sz w:val="24"/>
          <w:szCs w:val="24"/>
          <w:lang w:val="ro-RO"/>
        </w:rPr>
        <w:t>RW</w:t>
      </w:r>
      <w:r w:rsidRPr="00C26A9B">
        <w:rPr>
          <w:rFonts w:ascii="Times New Roman" w:hAnsi="Times New Roman" w:cs="Times New Roman"/>
          <w:sz w:val="24"/>
          <w:szCs w:val="24"/>
          <w:vertAlign w:val="subscript"/>
          <w:lang w:val="ro-RO"/>
        </w:rPr>
        <w:t>i</w:t>
      </w:r>
      <w:proofErr w:type="spellEnd"/>
      <w:r w:rsidRPr="00C26A9B">
        <w:rPr>
          <w:rFonts w:ascii="Times New Roman" w:hAnsi="Times New Roman" w:cs="Times New Roman"/>
          <w:sz w:val="24"/>
          <w:szCs w:val="24"/>
          <w:lang w:val="ro-RO"/>
        </w:rPr>
        <w:t xml:space="preserve"> · net </w:t>
      </w:r>
      <w:proofErr w:type="spellStart"/>
      <w:r w:rsidRPr="00C26A9B">
        <w:rPr>
          <w:rFonts w:ascii="Times New Roman" w:hAnsi="Times New Roman" w:cs="Times New Roman"/>
          <w:sz w:val="24"/>
          <w:szCs w:val="24"/>
          <w:lang w:val="ro-RO"/>
        </w:rPr>
        <w:t>JTD</w:t>
      </w:r>
      <w:r w:rsidRPr="00C26A9B">
        <w:rPr>
          <w:rFonts w:ascii="Times New Roman" w:hAnsi="Times New Roman" w:cs="Times New Roman"/>
          <w:sz w:val="24"/>
          <w:szCs w:val="24"/>
          <w:vertAlign w:val="subscript"/>
          <w:lang w:val="ro-RO"/>
        </w:rPr>
        <w:t>i</w:t>
      </w:r>
      <w:proofErr w:type="spellEnd"/>
      <w:r w:rsidRPr="00C26A9B">
        <w:rPr>
          <w:rFonts w:ascii="Times New Roman" w:hAnsi="Times New Roman" w:cs="Times New Roman"/>
          <w:sz w:val="24"/>
          <w:szCs w:val="24"/>
          <w:lang w:val="ro-RO"/>
        </w:rPr>
        <w:t xml:space="preserve">) – </w:t>
      </w:r>
      <w:proofErr w:type="spellStart"/>
      <w:r w:rsidRPr="00C26A9B">
        <w:rPr>
          <w:rFonts w:ascii="Times New Roman" w:hAnsi="Times New Roman" w:cs="Times New Roman"/>
          <w:sz w:val="24"/>
          <w:szCs w:val="24"/>
          <w:lang w:val="ro-RO"/>
        </w:rPr>
        <w:t>WtS</w:t>
      </w:r>
      <w:proofErr w:type="spellEnd"/>
      <w:r w:rsidRPr="00C26A9B">
        <w:rPr>
          <w:rFonts w:ascii="Times New Roman" w:hAnsi="Times New Roman" w:cs="Times New Roman"/>
          <w:sz w:val="24"/>
          <w:szCs w:val="24"/>
          <w:lang w:val="ro-RO"/>
        </w:rPr>
        <w:t xml:space="preserve"> · (</w:t>
      </w:r>
      <w:proofErr w:type="spellStart"/>
      <w:r w:rsidRPr="00C26A9B">
        <w:rPr>
          <w:rFonts w:ascii="Times New Roman" w:hAnsi="Times New Roman" w:cs="Times New Roman"/>
          <w:sz w:val="24"/>
          <w:szCs w:val="24"/>
          <w:lang w:val="ro-RO"/>
        </w:rPr>
        <w:t>Σ</w:t>
      </w:r>
      <w:r w:rsidRPr="00C26A9B">
        <w:rPr>
          <w:rFonts w:ascii="Times New Roman" w:hAnsi="Times New Roman" w:cs="Times New Roman"/>
          <w:sz w:val="24"/>
          <w:szCs w:val="24"/>
          <w:vertAlign w:val="subscript"/>
          <w:lang w:val="ro-RO"/>
        </w:rPr>
        <w:t>i</w:t>
      </w:r>
      <w:proofErr w:type="spellEnd"/>
      <w:r w:rsidRPr="00C26A9B">
        <w:rPr>
          <w:rFonts w:ascii="Times New Roman" w:hAnsi="Times New Roman" w:cs="Times New Roman"/>
          <w:sz w:val="24"/>
          <w:szCs w:val="24"/>
          <w:vertAlign w:val="subscript"/>
          <w:lang w:val="ro-RO"/>
        </w:rPr>
        <w:t xml:space="preserve"> </w:t>
      </w:r>
      <w:r w:rsidRPr="00C26A9B">
        <w:rPr>
          <w:rFonts w:ascii="Cambria Math" w:hAnsi="Cambria Math" w:cs="Cambria Math"/>
          <w:sz w:val="24"/>
          <w:szCs w:val="24"/>
          <w:vertAlign w:val="subscript"/>
          <w:lang w:val="ro-RO"/>
        </w:rPr>
        <w:t>∈</w:t>
      </w:r>
      <w:r w:rsidRPr="00C26A9B">
        <w:rPr>
          <w:rFonts w:ascii="Times New Roman" w:hAnsi="Times New Roman" w:cs="Times New Roman"/>
          <w:sz w:val="24"/>
          <w:szCs w:val="24"/>
          <w:vertAlign w:val="subscript"/>
          <w:lang w:val="ro-RO"/>
        </w:rPr>
        <w:t xml:space="preserve"> </w:t>
      </w:r>
      <w:proofErr w:type="spellStart"/>
      <w:r w:rsidRPr="00C26A9B">
        <w:rPr>
          <w:rFonts w:ascii="Times New Roman" w:hAnsi="Times New Roman" w:cs="Times New Roman"/>
          <w:sz w:val="24"/>
          <w:szCs w:val="24"/>
          <w:vertAlign w:val="subscript"/>
          <w:lang w:val="ro-RO"/>
        </w:rPr>
        <w:t>scurt</w:t>
      </w:r>
      <w:r w:rsidRPr="00C26A9B">
        <w:rPr>
          <w:rFonts w:ascii="Times New Roman" w:hAnsi="Times New Roman" w:cs="Times New Roman"/>
          <w:sz w:val="24"/>
          <w:szCs w:val="24"/>
          <w:lang w:val="ro-RO"/>
        </w:rPr>
        <w:t>RW</w:t>
      </w:r>
      <w:r w:rsidRPr="00C26A9B">
        <w:rPr>
          <w:rFonts w:ascii="Times New Roman" w:hAnsi="Times New Roman" w:cs="Times New Roman"/>
          <w:sz w:val="24"/>
          <w:szCs w:val="24"/>
          <w:vertAlign w:val="subscript"/>
          <w:lang w:val="ro-RO"/>
        </w:rPr>
        <w:t>i</w:t>
      </w:r>
      <w:proofErr w:type="spellEnd"/>
      <w:r w:rsidRPr="00C26A9B">
        <w:rPr>
          <w:rFonts w:ascii="Times New Roman" w:hAnsi="Times New Roman" w:cs="Times New Roman"/>
          <w:sz w:val="24"/>
          <w:szCs w:val="24"/>
          <w:lang w:val="ro-RO"/>
        </w:rPr>
        <w:t xml:space="preserve"> |net </w:t>
      </w:r>
      <w:proofErr w:type="spellStart"/>
      <w:r w:rsidRPr="00C26A9B">
        <w:rPr>
          <w:rFonts w:ascii="Times New Roman" w:hAnsi="Times New Roman" w:cs="Times New Roman"/>
          <w:sz w:val="24"/>
          <w:szCs w:val="24"/>
          <w:lang w:val="ro-RO"/>
        </w:rPr>
        <w:t>JTD</w:t>
      </w:r>
      <w:r w:rsidRPr="00C26A9B">
        <w:rPr>
          <w:rFonts w:ascii="Times New Roman" w:hAnsi="Times New Roman" w:cs="Times New Roman"/>
          <w:sz w:val="24"/>
          <w:szCs w:val="24"/>
          <w:vertAlign w:val="subscript"/>
          <w:lang w:val="ro-RO"/>
        </w:rPr>
        <w:t>i</w:t>
      </w:r>
      <w:proofErr w:type="spellEnd"/>
      <w:r w:rsidRPr="00C26A9B">
        <w:rPr>
          <w:rFonts w:ascii="Times New Roman" w:hAnsi="Times New Roman" w:cs="Times New Roman"/>
          <w:sz w:val="24"/>
          <w:szCs w:val="24"/>
          <w:lang w:val="ro-RO"/>
        </w:rPr>
        <w:t>|); 0}</w:t>
      </w:r>
    </w:p>
    <w:p w14:paraId="09A70C13"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tbl>
      <w:tblPr>
        <w:tblW w:w="9356" w:type="dxa"/>
        <w:tblLayout w:type="fixed"/>
        <w:tblCellMar>
          <w:left w:w="0" w:type="dxa"/>
          <w:right w:w="0" w:type="dxa"/>
        </w:tblCellMar>
        <w:tblLook w:val="04A0" w:firstRow="1" w:lastRow="0" w:firstColumn="1" w:lastColumn="0" w:noHBand="0" w:noVBand="1"/>
      </w:tblPr>
      <w:tblGrid>
        <w:gridCol w:w="612"/>
        <w:gridCol w:w="85"/>
        <w:gridCol w:w="8659"/>
      </w:tblGrid>
      <w:tr w:rsidR="00125B07" w:rsidRPr="00C26A9B" w14:paraId="294AD9B3" w14:textId="77777777" w:rsidTr="00125B07">
        <w:tc>
          <w:tcPr>
            <w:tcW w:w="612" w:type="dxa"/>
            <w:hideMark/>
          </w:tcPr>
          <w:p w14:paraId="6886F8B6" w14:textId="77777777" w:rsidR="00125B07" w:rsidRPr="00C26A9B" w:rsidRDefault="00125B07" w:rsidP="00125B07">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DRC</w:t>
            </w:r>
            <w:r w:rsidRPr="00C26A9B">
              <w:rPr>
                <w:rFonts w:ascii="Times New Roman" w:hAnsi="Times New Roman" w:cs="Times New Roman"/>
                <w:sz w:val="24"/>
                <w:szCs w:val="24"/>
                <w:vertAlign w:val="subscript"/>
                <w:lang w:val="ro-RO"/>
              </w:rPr>
              <w:t>b</w:t>
            </w:r>
            <w:proofErr w:type="spellEnd"/>
          </w:p>
        </w:tc>
        <w:tc>
          <w:tcPr>
            <w:tcW w:w="85" w:type="dxa"/>
            <w:hideMark/>
          </w:tcPr>
          <w:p w14:paraId="1D0046B8"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659" w:type="dxa"/>
            <w:hideMark/>
          </w:tcPr>
          <w:p w14:paraId="2EA5CA33"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cerința de fonduri proprii pentru riscul de nerambursare aferentă benzii „b”;</w:t>
            </w:r>
          </w:p>
        </w:tc>
      </w:tr>
    </w:tbl>
    <w:p w14:paraId="378E7355" w14:textId="77777777" w:rsidR="00125B07" w:rsidRPr="00C26A9B" w:rsidRDefault="00125B07" w:rsidP="00125B07">
      <w:pPr>
        <w:rPr>
          <w:rFonts w:ascii="Times New Roman" w:hAnsi="Times New Roman" w:cs="Times New Roman"/>
          <w:vanish/>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125"/>
        <w:gridCol w:w="246"/>
        <w:gridCol w:w="10095"/>
      </w:tblGrid>
      <w:tr w:rsidR="00125B07" w:rsidRPr="00C26A9B" w14:paraId="46CC513A" w14:textId="77777777" w:rsidTr="0003035E">
        <w:tc>
          <w:tcPr>
            <w:tcW w:w="115" w:type="dxa"/>
            <w:hideMark/>
          </w:tcPr>
          <w:p w14:paraId="6EEB4C68"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i</w:t>
            </w:r>
          </w:p>
        </w:tc>
        <w:tc>
          <w:tcPr>
            <w:tcW w:w="228" w:type="dxa"/>
            <w:hideMark/>
          </w:tcPr>
          <w:p w14:paraId="53DF2B64"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9346" w:type="dxa"/>
            <w:hideMark/>
          </w:tcPr>
          <w:p w14:paraId="33906DAD"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indicele care desemnează un instrument din banda b;</w:t>
            </w:r>
          </w:p>
        </w:tc>
      </w:tr>
    </w:tbl>
    <w:p w14:paraId="2754ED92" w14:textId="77777777" w:rsidR="00125B07" w:rsidRPr="00C26A9B" w:rsidRDefault="00125B07" w:rsidP="00125B07">
      <w:pPr>
        <w:rPr>
          <w:rFonts w:ascii="Times New Roman" w:hAnsi="Times New Roman" w:cs="Times New Roman"/>
          <w:vanish/>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1659"/>
        <w:gridCol w:w="550"/>
        <w:gridCol w:w="8257"/>
      </w:tblGrid>
      <w:tr w:rsidR="00125B07" w:rsidRPr="00C26A9B" w14:paraId="235D6860" w14:textId="77777777" w:rsidTr="0003035E">
        <w:tc>
          <w:tcPr>
            <w:tcW w:w="1536" w:type="dxa"/>
            <w:hideMark/>
          </w:tcPr>
          <w:p w14:paraId="002AC92B" w14:textId="77777777" w:rsidR="00125B07" w:rsidRPr="00C26A9B" w:rsidRDefault="00125B07" w:rsidP="00125B07">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RW</w:t>
            </w:r>
            <w:r w:rsidRPr="00C26A9B">
              <w:rPr>
                <w:rFonts w:ascii="Times New Roman" w:hAnsi="Times New Roman" w:cs="Times New Roman"/>
                <w:sz w:val="24"/>
                <w:szCs w:val="24"/>
                <w:vertAlign w:val="subscript"/>
                <w:lang w:val="ro-RO"/>
              </w:rPr>
              <w:t>i</w:t>
            </w:r>
            <w:proofErr w:type="spellEnd"/>
          </w:p>
        </w:tc>
        <w:tc>
          <w:tcPr>
            <w:tcW w:w="509" w:type="dxa"/>
            <w:hideMark/>
          </w:tcPr>
          <w:p w14:paraId="047422E8"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7644" w:type="dxa"/>
            <w:hideMark/>
          </w:tcPr>
          <w:p w14:paraId="766BDF2B"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ponderea de risc; și</w:t>
            </w:r>
          </w:p>
        </w:tc>
      </w:tr>
    </w:tbl>
    <w:p w14:paraId="5179DFD9" w14:textId="77777777" w:rsidR="00125B07" w:rsidRPr="00C26A9B" w:rsidRDefault="00125B07" w:rsidP="00125B07">
      <w:pPr>
        <w:rPr>
          <w:rFonts w:ascii="Times New Roman" w:hAnsi="Times New Roman" w:cs="Times New Roman"/>
          <w:vanish/>
          <w:sz w:val="24"/>
          <w:szCs w:val="24"/>
          <w:lang w:val="ro-RO"/>
        </w:rPr>
      </w:pPr>
    </w:p>
    <w:tbl>
      <w:tblPr>
        <w:tblW w:w="9311" w:type="dxa"/>
        <w:tblLayout w:type="fixed"/>
        <w:tblCellMar>
          <w:left w:w="0" w:type="dxa"/>
          <w:right w:w="0" w:type="dxa"/>
        </w:tblCellMar>
        <w:tblLook w:val="04A0" w:firstRow="1" w:lastRow="0" w:firstColumn="1" w:lastColumn="0" w:noHBand="0" w:noVBand="1"/>
      </w:tblPr>
      <w:tblGrid>
        <w:gridCol w:w="567"/>
        <w:gridCol w:w="110"/>
        <w:gridCol w:w="8634"/>
      </w:tblGrid>
      <w:tr w:rsidR="00125B07" w:rsidRPr="00C26A9B" w14:paraId="6DA22074" w14:textId="77777777" w:rsidTr="00125B07">
        <w:tc>
          <w:tcPr>
            <w:tcW w:w="567" w:type="dxa"/>
            <w:hideMark/>
          </w:tcPr>
          <w:p w14:paraId="4B8D71C8" w14:textId="77777777" w:rsidR="00125B07" w:rsidRPr="00C26A9B" w:rsidRDefault="00125B07" w:rsidP="00125B07">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WtS</w:t>
            </w:r>
            <w:proofErr w:type="spellEnd"/>
          </w:p>
        </w:tc>
        <w:tc>
          <w:tcPr>
            <w:tcW w:w="110" w:type="dxa"/>
            <w:hideMark/>
          </w:tcPr>
          <w:p w14:paraId="0C52D95B"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634" w:type="dxa"/>
            <w:hideMark/>
          </w:tcPr>
          <w:p w14:paraId="61692769"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un raport care reflectă beneficiul obținut în urma acoperirii împotriva riscurilor a relațiilor din cadrul unei benzi, calculat după cum urmează:</w:t>
            </w:r>
          </w:p>
          <w:p w14:paraId="1A19DF8F" w14:textId="77777777"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18C6B354" wp14:editId="19DA5EEE">
                  <wp:extent cx="3055620" cy="480695"/>
                  <wp:effectExtent l="0" t="0" r="0" b="0"/>
                  <wp:docPr id="155" name="Picture 15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imag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55620" cy="480695"/>
                          </a:xfrm>
                          <a:prstGeom prst="rect">
                            <a:avLst/>
                          </a:prstGeom>
                          <a:noFill/>
                          <a:ln>
                            <a:noFill/>
                          </a:ln>
                        </pic:spPr>
                      </pic:pic>
                    </a:graphicData>
                  </a:graphic>
                </wp:inline>
              </w:drawing>
            </w:r>
          </w:p>
        </w:tc>
      </w:tr>
    </w:tbl>
    <w:p w14:paraId="02E5525D" w14:textId="7FC3E21F" w:rsidR="00125B07" w:rsidRPr="00C26A9B" w:rsidRDefault="00125B07" w:rsidP="00F05B6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244. În scopul calculării </w:t>
      </w:r>
      <w:proofErr w:type="spellStart"/>
      <w:r w:rsidRPr="00C26A9B">
        <w:rPr>
          <w:rFonts w:ascii="Times New Roman" w:hAnsi="Times New Roman" w:cs="Times New Roman"/>
          <w:sz w:val="24"/>
          <w:szCs w:val="24"/>
          <w:lang w:val="ro-RO"/>
        </w:rPr>
        <w:t>DRC</w:t>
      </w:r>
      <w:r w:rsidRPr="00C26A9B">
        <w:rPr>
          <w:rFonts w:ascii="Times New Roman" w:hAnsi="Times New Roman" w:cs="Times New Roman"/>
          <w:sz w:val="24"/>
          <w:szCs w:val="24"/>
          <w:vertAlign w:val="subscript"/>
          <w:lang w:val="ro-RO"/>
        </w:rPr>
        <w:t>b</w:t>
      </w:r>
      <w:proofErr w:type="spellEnd"/>
      <w:r w:rsidRPr="00C26A9B">
        <w:rPr>
          <w:rFonts w:ascii="Times New Roman" w:hAnsi="Times New Roman" w:cs="Times New Roman"/>
          <w:sz w:val="24"/>
          <w:szCs w:val="24"/>
          <w:lang w:val="ro-RO"/>
        </w:rPr>
        <w:t xml:space="preserve"> și a </w:t>
      </w:r>
      <w:proofErr w:type="spellStart"/>
      <w:r w:rsidRPr="00C26A9B">
        <w:rPr>
          <w:rFonts w:ascii="Times New Roman" w:hAnsi="Times New Roman" w:cs="Times New Roman"/>
          <w:sz w:val="24"/>
          <w:szCs w:val="24"/>
          <w:lang w:val="ro-RO"/>
        </w:rPr>
        <w:t>WtS</w:t>
      </w:r>
      <w:proofErr w:type="spellEnd"/>
      <w:r w:rsidRPr="00C26A9B">
        <w:rPr>
          <w:rFonts w:ascii="Times New Roman" w:hAnsi="Times New Roman" w:cs="Times New Roman"/>
          <w:sz w:val="24"/>
          <w:szCs w:val="24"/>
          <w:lang w:val="ro-RO"/>
        </w:rPr>
        <w:t>, pozițiile lungi și pozițiile scurte sunt agregate pentru toate pozițiile din cadrul unei benzi, indiferent de nivelul de calitate a creditului căruia îi sunt atribuite pozițiile respective, pentru a se obține cerințele de fonduri proprii pentru riscul de nerambursare specifice benzii.</w:t>
      </w:r>
    </w:p>
    <w:p w14:paraId="78853AA4" w14:textId="141A6B09" w:rsidR="00125B07" w:rsidRPr="00C26A9B" w:rsidRDefault="00125B07" w:rsidP="00F05B62">
      <w:pPr>
        <w:rPr>
          <w:rFonts w:ascii="Times New Roman" w:hAnsi="Times New Roman" w:cs="Times New Roman"/>
          <w:sz w:val="24"/>
          <w:szCs w:val="24"/>
          <w:lang w:val="ro-RO"/>
        </w:rPr>
      </w:pPr>
      <w:r w:rsidRPr="00C26A9B">
        <w:rPr>
          <w:rFonts w:ascii="Times New Roman" w:hAnsi="Times New Roman" w:cs="Times New Roman"/>
          <w:sz w:val="24"/>
          <w:szCs w:val="24"/>
          <w:lang w:val="ro-RO"/>
        </w:rPr>
        <w:t>245.  Cerința finală de fonduri proprii pentru riscul de nerambursare aferentă instrumentelor care nu sunt poziții din securitizare se calculează ca suma simplă a cerințelor de fonduri proprii la nivel de bandă.</w:t>
      </w:r>
    </w:p>
    <w:p w14:paraId="16B41ACD" w14:textId="14E4D457" w:rsidR="00125B07" w:rsidRPr="00C26A9B" w:rsidRDefault="00125B07" w:rsidP="00F05B62">
      <w:pPr>
        <w:rPr>
          <w:rFonts w:ascii="Times New Roman" w:hAnsi="Times New Roman" w:cs="Times New Roman"/>
          <w:sz w:val="24"/>
          <w:szCs w:val="24"/>
          <w:lang w:val="ro-RO"/>
        </w:rPr>
      </w:pPr>
      <w:r w:rsidRPr="00C26A9B">
        <w:rPr>
          <w:rFonts w:ascii="Times New Roman" w:hAnsi="Times New Roman" w:cs="Times New Roman"/>
          <w:sz w:val="24"/>
          <w:szCs w:val="24"/>
          <w:lang w:val="ro-RO"/>
        </w:rPr>
        <w:t>246.   În sensul prezentului paragraf, unei expuneri i se atribuie categoria de calitate a creditului corespunzătoare categoriei de calitate a creditului pe care ar urma să o primească în conformitate cu abordarea standardizată pentru riscul de credit prevăzută în Regulamentul nr.111/2018.</w:t>
      </w:r>
    </w:p>
    <w:p w14:paraId="2764EA9C" w14:textId="0F675E4F" w:rsidR="00125B07" w:rsidRPr="00CC1E9B" w:rsidRDefault="00125B07" w:rsidP="00125B07">
      <w:pPr>
        <w:rPr>
          <w:rFonts w:ascii="Times New Roman" w:hAnsi="Times New Roman" w:cs="Times New Roman"/>
          <w:b/>
          <w:bCs/>
          <w:i/>
          <w:iCs/>
          <w:sz w:val="24"/>
          <w:szCs w:val="24"/>
          <w:lang w:val="ro-RO"/>
        </w:rPr>
      </w:pPr>
      <w:bookmarkStart w:id="28" w:name="_Hlk195097474"/>
      <w:r w:rsidRPr="00CC1E9B">
        <w:rPr>
          <w:rFonts w:ascii="Times New Roman" w:hAnsi="Times New Roman" w:cs="Times New Roman"/>
          <w:b/>
          <w:bCs/>
          <w:i/>
          <w:iCs/>
          <w:sz w:val="24"/>
          <w:szCs w:val="24"/>
          <w:lang w:val="ro-RO"/>
        </w:rPr>
        <w:t>Subsecțiunea 2. Cerințele de fonduri proprii pentru riscul de nerambursare pentru securitizări neincluse în ACTP</w:t>
      </w:r>
    </w:p>
    <w:p w14:paraId="485B281D" w14:textId="65891D31" w:rsidR="00125B07" w:rsidRPr="00C26A9B" w:rsidRDefault="00125B07" w:rsidP="00125B07">
      <w:pPr>
        <w:rPr>
          <w:rFonts w:ascii="Times New Roman" w:hAnsi="Times New Roman" w:cs="Times New Roman"/>
          <w:b/>
          <w:bCs/>
          <w:sz w:val="24"/>
          <w:szCs w:val="24"/>
          <w:lang w:val="ro-RO"/>
        </w:rPr>
      </w:pPr>
      <w:r w:rsidRPr="00C26A9B">
        <w:rPr>
          <w:rFonts w:ascii="Times New Roman" w:hAnsi="Times New Roman" w:cs="Times New Roman"/>
          <w:i/>
          <w:iCs/>
          <w:sz w:val="24"/>
          <w:szCs w:val="24"/>
          <w:lang w:val="ro-RO"/>
        </w:rPr>
        <w:t>Paragraful 1.</w:t>
      </w:r>
      <w:r w:rsidRPr="00C26A9B">
        <w:rPr>
          <w:rFonts w:ascii="Times New Roman" w:hAnsi="Times New Roman" w:cs="Times New Roman"/>
          <w:b/>
          <w:bCs/>
          <w:sz w:val="24"/>
          <w:szCs w:val="24"/>
          <w:lang w:val="ro-RO"/>
        </w:rPr>
        <w:t>Cuantumurile trecerii bruște în starea de nerambursare</w:t>
      </w:r>
      <w:bookmarkEnd w:id="28"/>
    </w:p>
    <w:p w14:paraId="254A1A84" w14:textId="45033772"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247. Cuantumurile brute ale trecerii bruște în starea de nerambursare pentru expunerile din securitizare sunt valoarea lor de piață sau, dacă valoarea lor de piață nu este disponibilă, valoarea lor justă determinată în conformitate cu cadrul contabil aplicabil.</w:t>
      </w:r>
    </w:p>
    <w:p w14:paraId="41FB92B9" w14:textId="09D5F8E5"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248.   Cuantumurile nete ale trecerii bruște în starea de nerambursare se determină prin compensarea cuantumurilor brute lungi ale trecerii bruște în starea de nerambursare cu cuantumurile brute scurte ale trecerii bruște în starea de nerambursare. Compensarea este posibilă numai între expuneri din securitizare care au același portofoliu de active-suport și sunt incluse în aceeași tranșă. Compensarea nu este permisă între expuneri din securitizare care au portofolii de active-suport diferite, chiar dacă plafoanele de afectare și de neafectare sunt aceleași.</w:t>
      </w:r>
    </w:p>
    <w:p w14:paraId="2FAB95DA" w14:textId="46039ED4"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249.  În cazul în care, prin descompunerea sau combinarea expunerilor din securitizare existente, pot fi reproduse perfect alte expuneri din securitizare existente, mai puțin în ceea ce privește dimensiunea scadenței, în scopul compensării pot fi utilizate expunerile care rezultă din descompunerea sau combinarea respectivă în locul expunerilor din securitizare existente.</w:t>
      </w:r>
    </w:p>
    <w:p w14:paraId="3A344C4A" w14:textId="035F8BD4"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250.   În cazul în care, prin descompunerea sau combinarea expunerilor existente față de semnăturile suport, poate fi reprodusă perfect întreaga structură pe tranșe a unei expuneri din securitizare existente, în scopul compensării pot fi utilizate expunerile care rezultă din descompunerea sau combinarea respectivă în locul expunerilor din securitizare existente. Atunci când numele activelor-suport sunt utilizate în acest mod, acestea sunt excluse de la tratamentul riscului de nerambursare pentru instrumente care nu sunt poziții din securitizare.</w:t>
      </w:r>
    </w:p>
    <w:p w14:paraId="486C7726" w14:textId="1D0E1C35" w:rsidR="00125B07" w:rsidRPr="00C26A9B" w:rsidRDefault="00125B07"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251.   Subsecțiunea 1, paragraful 2 se aplică atât expunerilor din securitizare existente, cât și expunerilor din securitizare utilizate în conformitate cu pct.249 sau 250. Scadențele relevante sunt cele ale tranșelor din securitizare.</w:t>
      </w:r>
    </w:p>
    <w:p w14:paraId="241359BA" w14:textId="70FD27BA" w:rsidR="00BF32BD" w:rsidRPr="00C26A9B" w:rsidRDefault="00BF32BD" w:rsidP="00125B07">
      <w:pPr>
        <w:rPr>
          <w:rFonts w:ascii="Times New Roman" w:hAnsi="Times New Roman" w:cs="Times New Roman"/>
          <w:b/>
          <w:bCs/>
          <w:sz w:val="24"/>
          <w:szCs w:val="24"/>
          <w:lang w:val="ro-RO"/>
        </w:rPr>
      </w:pPr>
      <w:bookmarkStart w:id="29" w:name="_Hlk195097522"/>
      <w:r w:rsidRPr="00C26A9B">
        <w:rPr>
          <w:rFonts w:ascii="Times New Roman" w:hAnsi="Times New Roman" w:cs="Times New Roman"/>
          <w:i/>
          <w:iCs/>
          <w:sz w:val="24"/>
          <w:szCs w:val="24"/>
          <w:lang w:val="ro-RO"/>
        </w:rPr>
        <w:t xml:space="preserve">Paragraful 2. </w:t>
      </w:r>
      <w:r w:rsidRPr="00C26A9B">
        <w:rPr>
          <w:rFonts w:ascii="Times New Roman" w:hAnsi="Times New Roman" w:cs="Times New Roman"/>
          <w:b/>
          <w:bCs/>
          <w:sz w:val="24"/>
          <w:szCs w:val="24"/>
          <w:lang w:val="ro-RO"/>
        </w:rPr>
        <w:t>Calcularea cerinței de fonduri proprii pentru riscul de nerambursare pentru securitizări</w:t>
      </w:r>
      <w:bookmarkEnd w:id="29"/>
    </w:p>
    <w:p w14:paraId="18F579D5" w14:textId="4C86B30B" w:rsidR="00BF32BD" w:rsidRPr="00C26A9B" w:rsidRDefault="00BF32BD"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252.   Cuantumurile nete ale JTD aferente expunerilor din securitizare </w:t>
      </w:r>
      <w:r w:rsidRPr="007049C6">
        <w:rPr>
          <w:rFonts w:ascii="Times New Roman" w:hAnsi="Times New Roman" w:cs="Times New Roman"/>
          <w:sz w:val="24"/>
          <w:szCs w:val="24"/>
          <w:lang w:val="ro-RO"/>
        </w:rPr>
        <w:t>se înmulțesc cu </w:t>
      </w:r>
      <w:r w:rsidR="007049C6">
        <w:rPr>
          <w:rFonts w:ascii="Times New Roman" w:hAnsi="Times New Roman" w:cs="Times New Roman"/>
          <w:sz w:val="24"/>
          <w:szCs w:val="24"/>
          <w:lang w:val="ro-RO"/>
        </w:rPr>
        <w:t>10</w:t>
      </w:r>
      <w:r w:rsidR="007049C6" w:rsidRPr="007049C6">
        <w:rPr>
          <w:rFonts w:ascii="Times New Roman" w:hAnsi="Times New Roman" w:cs="Times New Roman"/>
          <w:sz w:val="24"/>
          <w:szCs w:val="24"/>
          <w:lang w:val="ro-RO"/>
        </w:rPr>
        <w:t> </w:t>
      </w:r>
      <w:r w:rsidRPr="007049C6">
        <w:rPr>
          <w:rFonts w:ascii="Times New Roman" w:hAnsi="Times New Roman" w:cs="Times New Roman"/>
          <w:sz w:val="24"/>
          <w:szCs w:val="24"/>
          <w:lang w:val="ro-RO"/>
        </w:rPr>
        <w:t>%</w:t>
      </w:r>
      <w:r w:rsidRPr="00C26A9B">
        <w:rPr>
          <w:rFonts w:ascii="Times New Roman" w:hAnsi="Times New Roman" w:cs="Times New Roman"/>
          <w:sz w:val="24"/>
          <w:szCs w:val="24"/>
          <w:lang w:val="ro-RO"/>
        </w:rPr>
        <w:t xml:space="preserve"> din ponderea de risc care se aplică expunerii din securitizare relevante, inclusiv din securitizările STS (simple, transparente și standardizate), din afara portofoliului de tranzacționare, în conformitate cu ierarhia abordărilor prevăzută la capitolul IV din Regulamentul nr.221/2025 privind tratamentul </w:t>
      </w:r>
      <w:proofErr w:type="spellStart"/>
      <w:r w:rsidRPr="00C26A9B">
        <w:rPr>
          <w:rFonts w:ascii="Times New Roman" w:hAnsi="Times New Roman" w:cs="Times New Roman"/>
          <w:sz w:val="24"/>
          <w:szCs w:val="24"/>
          <w:lang w:val="ro-RO"/>
        </w:rPr>
        <w:t>prudenţial</w:t>
      </w:r>
      <w:proofErr w:type="spellEnd"/>
      <w:r w:rsidRPr="00C26A9B">
        <w:rPr>
          <w:rFonts w:ascii="Times New Roman" w:hAnsi="Times New Roman" w:cs="Times New Roman"/>
          <w:sz w:val="24"/>
          <w:szCs w:val="24"/>
          <w:lang w:val="ro-RO"/>
        </w:rPr>
        <w:t xml:space="preserve"> al securitizărilor și indiferent de tipul de </w:t>
      </w:r>
      <w:proofErr w:type="spellStart"/>
      <w:r w:rsidRPr="00C26A9B">
        <w:rPr>
          <w:rFonts w:ascii="Times New Roman" w:hAnsi="Times New Roman" w:cs="Times New Roman"/>
          <w:sz w:val="24"/>
          <w:szCs w:val="24"/>
          <w:lang w:val="ro-RO"/>
        </w:rPr>
        <w:t>contraparte</w:t>
      </w:r>
      <w:proofErr w:type="spellEnd"/>
      <w:r w:rsidRPr="00C26A9B">
        <w:rPr>
          <w:rFonts w:ascii="Times New Roman" w:hAnsi="Times New Roman" w:cs="Times New Roman"/>
          <w:sz w:val="24"/>
          <w:szCs w:val="24"/>
          <w:lang w:val="ro-RO"/>
        </w:rPr>
        <w:t>.</w:t>
      </w:r>
    </w:p>
    <w:p w14:paraId="6DC8BEED" w14:textId="49EF47BE" w:rsidR="00BF32BD" w:rsidRPr="00C26A9B" w:rsidRDefault="00BF32BD"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253.   În cazul în care ponderile de risc sunt calculate în conformitate cu abordările SEC-IRBA și SEC-ERBA, tuturor tranșelor li se aplică o scadență de un an.</w:t>
      </w:r>
    </w:p>
    <w:p w14:paraId="26169769" w14:textId="43EA61CE" w:rsidR="00BF32BD" w:rsidRPr="00C26A9B" w:rsidRDefault="00BF32BD" w:rsidP="00125B07">
      <w:pPr>
        <w:rPr>
          <w:rFonts w:ascii="Times New Roman" w:hAnsi="Times New Roman" w:cs="Times New Roman"/>
          <w:sz w:val="24"/>
          <w:szCs w:val="24"/>
          <w:lang w:val="ro-RO"/>
        </w:rPr>
      </w:pPr>
      <w:r w:rsidRPr="00C26A9B">
        <w:rPr>
          <w:rFonts w:ascii="Times New Roman" w:hAnsi="Times New Roman" w:cs="Times New Roman"/>
          <w:sz w:val="24"/>
          <w:szCs w:val="24"/>
          <w:lang w:val="ro-RO"/>
        </w:rPr>
        <w:t>254.   Cuantumurile ponderate la risc ale JTD pentru expuneri din securitizare individuale în numerar sunt plafonate la valoarea justă a poziției.</w:t>
      </w:r>
    </w:p>
    <w:p w14:paraId="535A3526" w14:textId="49E7F55F" w:rsidR="00BF32BD" w:rsidRPr="00C26A9B" w:rsidRDefault="00BF32BD" w:rsidP="00BF32BD">
      <w:pPr>
        <w:rPr>
          <w:rFonts w:ascii="Times New Roman" w:hAnsi="Times New Roman" w:cs="Times New Roman"/>
          <w:sz w:val="24"/>
          <w:szCs w:val="24"/>
          <w:lang w:val="ro-RO"/>
        </w:rPr>
      </w:pPr>
      <w:r w:rsidRPr="00C26A9B">
        <w:rPr>
          <w:rFonts w:ascii="Times New Roman" w:hAnsi="Times New Roman" w:cs="Times New Roman"/>
          <w:sz w:val="24"/>
          <w:szCs w:val="24"/>
          <w:lang w:val="ro-RO"/>
        </w:rPr>
        <w:t>255.   Cuantumurile nete ponderate la risc ale JTD se încadrează în următoarele benzi:</w:t>
      </w:r>
    </w:p>
    <w:p w14:paraId="46A9B0ED" w14:textId="62BD12C7" w:rsidR="00BF32BD" w:rsidRPr="00C26A9B" w:rsidRDefault="00BF32BD" w:rsidP="00BF32BD">
      <w:pPr>
        <w:rPr>
          <w:rFonts w:ascii="Times New Roman" w:hAnsi="Times New Roman" w:cs="Times New Roman"/>
          <w:sz w:val="24"/>
          <w:szCs w:val="24"/>
          <w:lang w:val="ro-RO"/>
        </w:rPr>
      </w:pPr>
      <w:r w:rsidRPr="00C26A9B">
        <w:rPr>
          <w:rFonts w:ascii="Times New Roman" w:hAnsi="Times New Roman" w:cs="Times New Roman"/>
          <w:sz w:val="24"/>
          <w:szCs w:val="24"/>
          <w:lang w:val="ro-RO"/>
        </w:rPr>
        <w:t>255.1. o bandă comună pentru toate societățile, indiferent de regiune;</w:t>
      </w:r>
    </w:p>
    <w:p w14:paraId="3A239439" w14:textId="0A865142" w:rsidR="00BF32BD" w:rsidRPr="00C26A9B" w:rsidRDefault="00BF32BD" w:rsidP="00BF32BD">
      <w:pPr>
        <w:rPr>
          <w:rFonts w:ascii="Times New Roman" w:hAnsi="Times New Roman" w:cs="Times New Roman"/>
          <w:sz w:val="24"/>
          <w:szCs w:val="24"/>
          <w:lang w:val="ro-RO"/>
        </w:rPr>
      </w:pPr>
      <w:r w:rsidRPr="00C26A9B">
        <w:rPr>
          <w:rFonts w:ascii="Times New Roman" w:hAnsi="Times New Roman" w:cs="Times New Roman"/>
          <w:sz w:val="24"/>
          <w:szCs w:val="24"/>
          <w:lang w:val="ro-RO"/>
        </w:rPr>
        <w:t>255.2. 44 de benzi diferite, corespunzând unei benzi per regiune, pentru fiecare dintre cele 11 clase de active definite la pct.256.</w:t>
      </w:r>
    </w:p>
    <w:p w14:paraId="6269D267" w14:textId="01FA31D7" w:rsidR="00BF32BD" w:rsidRPr="00C26A9B" w:rsidRDefault="00BF32BD" w:rsidP="00BF32BD">
      <w:pPr>
        <w:rPr>
          <w:rFonts w:ascii="Times New Roman" w:hAnsi="Times New Roman" w:cs="Times New Roman"/>
          <w:sz w:val="24"/>
          <w:szCs w:val="24"/>
          <w:lang w:val="ro-RO"/>
        </w:rPr>
      </w:pPr>
      <w:r w:rsidRPr="00C26A9B">
        <w:rPr>
          <w:rFonts w:ascii="Times New Roman" w:hAnsi="Times New Roman" w:cs="Times New Roman"/>
          <w:sz w:val="24"/>
          <w:szCs w:val="24"/>
          <w:lang w:val="ro-RO"/>
        </w:rPr>
        <w:t>256. În sensul pct.255, cele 11 clase de active sunt ABCP, împrumuturile/contractele de leasing auto, titlurile garantate cu ipoteci asupra proprietăților imobiliare locative (RMBS), cardurile de credit, titlurile garantate cu ipoteci asupra proprietăților imobiliare comerciale (CMBS), titluri garantate cu împrumuturi colateralizate, titluri garantate cu active „la pătrat” (</w:t>
      </w:r>
      <w:r w:rsidRPr="00C26A9B">
        <w:rPr>
          <w:rFonts w:ascii="Times New Roman" w:hAnsi="Times New Roman" w:cs="Times New Roman"/>
          <w:i/>
          <w:iCs/>
          <w:sz w:val="24"/>
          <w:szCs w:val="24"/>
          <w:lang w:val="ro-RO"/>
        </w:rPr>
        <w:t>CDO-</w:t>
      </w:r>
      <w:proofErr w:type="spellStart"/>
      <w:r w:rsidRPr="00C26A9B">
        <w:rPr>
          <w:rFonts w:ascii="Times New Roman" w:hAnsi="Times New Roman" w:cs="Times New Roman"/>
          <w:i/>
          <w:iCs/>
          <w:sz w:val="24"/>
          <w:szCs w:val="24"/>
          <w:lang w:val="ro-RO"/>
        </w:rPr>
        <w:t>squared</w:t>
      </w:r>
      <w:proofErr w:type="spellEnd"/>
      <w:r w:rsidRPr="00C26A9B">
        <w:rPr>
          <w:rFonts w:ascii="Times New Roman" w:hAnsi="Times New Roman" w:cs="Times New Roman"/>
          <w:sz w:val="24"/>
          <w:szCs w:val="24"/>
          <w:lang w:val="ro-RO"/>
        </w:rPr>
        <w:t>), întreprinderi mici și mijlocii („IMM-uri”), împrumuturi pentru studenți, alte active de tipul </w:t>
      </w:r>
      <w:r w:rsidRPr="00C26A9B">
        <w:rPr>
          <w:rFonts w:ascii="Times New Roman" w:hAnsi="Times New Roman" w:cs="Times New Roman"/>
          <w:i/>
          <w:iCs/>
          <w:sz w:val="24"/>
          <w:szCs w:val="24"/>
          <w:lang w:val="ro-RO"/>
        </w:rPr>
        <w:t>retail</w:t>
      </w:r>
      <w:r w:rsidRPr="00C26A9B">
        <w:rPr>
          <w:rFonts w:ascii="Times New Roman" w:hAnsi="Times New Roman" w:cs="Times New Roman"/>
          <w:sz w:val="24"/>
          <w:szCs w:val="24"/>
          <w:lang w:val="ro-RO"/>
        </w:rPr>
        <w:t>, alte active de tipul </w:t>
      </w:r>
      <w:proofErr w:type="spellStart"/>
      <w:r w:rsidRPr="00C26A9B">
        <w:rPr>
          <w:rFonts w:ascii="Times New Roman" w:hAnsi="Times New Roman" w:cs="Times New Roman"/>
          <w:i/>
          <w:iCs/>
          <w:sz w:val="24"/>
          <w:szCs w:val="24"/>
          <w:lang w:val="ro-RO"/>
        </w:rPr>
        <w:t>wholesale</w:t>
      </w:r>
      <w:proofErr w:type="spellEnd"/>
      <w:r w:rsidRPr="00C26A9B">
        <w:rPr>
          <w:rFonts w:ascii="Times New Roman" w:hAnsi="Times New Roman" w:cs="Times New Roman"/>
          <w:sz w:val="24"/>
          <w:szCs w:val="24"/>
          <w:lang w:val="ro-RO"/>
        </w:rPr>
        <w:t>. Cele patru regiuni sunt Asia, Europa, America de Nord și restul lumii.</w:t>
      </w:r>
    </w:p>
    <w:p w14:paraId="473296B1" w14:textId="7ACBEACD" w:rsidR="00BF32BD" w:rsidRPr="00C26A9B" w:rsidRDefault="00BF32BD" w:rsidP="00BF32BD">
      <w:pPr>
        <w:rPr>
          <w:rFonts w:ascii="Times New Roman" w:hAnsi="Times New Roman" w:cs="Times New Roman"/>
          <w:sz w:val="24"/>
          <w:szCs w:val="24"/>
          <w:lang w:val="ro-RO"/>
        </w:rPr>
      </w:pPr>
      <w:r w:rsidRPr="00C26A9B">
        <w:rPr>
          <w:rFonts w:ascii="Times New Roman" w:hAnsi="Times New Roman" w:cs="Times New Roman"/>
          <w:sz w:val="24"/>
          <w:szCs w:val="24"/>
          <w:lang w:val="ro-RO"/>
        </w:rPr>
        <w:t>257.   La încadrarea într-o bandă a unei expuneri din securitizare, băncile se bazează pe o clasificare utilizată în mod curent pe piață. Băncile încadrează fiecare expunere din securitizare într-o singură bandă dintre benzile menționate la pct.255-256. Orice expunere din securitizare pe care o bancă nu o poate atribui unei benzi pentru o clasă de active sau o regiune este atribuită clasei de „alte active de tipul </w:t>
      </w:r>
      <w:r w:rsidRPr="00C26A9B">
        <w:rPr>
          <w:rFonts w:ascii="Times New Roman" w:hAnsi="Times New Roman" w:cs="Times New Roman"/>
          <w:i/>
          <w:iCs/>
          <w:sz w:val="24"/>
          <w:szCs w:val="24"/>
          <w:lang w:val="ro-RO"/>
        </w:rPr>
        <w:t>retail</w:t>
      </w:r>
      <w:r w:rsidRPr="00C26A9B">
        <w:rPr>
          <w:rFonts w:ascii="Times New Roman" w:hAnsi="Times New Roman" w:cs="Times New Roman"/>
          <w:sz w:val="24"/>
          <w:szCs w:val="24"/>
          <w:lang w:val="ro-RO"/>
        </w:rPr>
        <w:t>” ori de „alte active de tipul </w:t>
      </w:r>
      <w:proofErr w:type="spellStart"/>
      <w:r w:rsidRPr="00C26A9B">
        <w:rPr>
          <w:rFonts w:ascii="Times New Roman" w:hAnsi="Times New Roman" w:cs="Times New Roman"/>
          <w:i/>
          <w:iCs/>
          <w:sz w:val="24"/>
          <w:szCs w:val="24"/>
          <w:lang w:val="ro-RO"/>
        </w:rPr>
        <w:t>wholesale</w:t>
      </w:r>
      <w:proofErr w:type="spellEnd"/>
      <w:r w:rsidRPr="00C26A9B">
        <w:rPr>
          <w:rFonts w:ascii="Times New Roman" w:hAnsi="Times New Roman" w:cs="Times New Roman"/>
          <w:sz w:val="24"/>
          <w:szCs w:val="24"/>
          <w:lang w:val="ro-RO"/>
        </w:rPr>
        <w:t>” sau, respectiv, regiunii reprezentate de restul lumii.</w:t>
      </w:r>
    </w:p>
    <w:p w14:paraId="081732C9" w14:textId="28C35ED8" w:rsidR="00BF32BD" w:rsidRPr="00C26A9B" w:rsidRDefault="00BF32BD" w:rsidP="00BF32BD">
      <w:pPr>
        <w:rPr>
          <w:rFonts w:ascii="Times New Roman" w:hAnsi="Times New Roman" w:cs="Times New Roman"/>
          <w:sz w:val="24"/>
          <w:szCs w:val="24"/>
          <w:lang w:val="ro-RO"/>
        </w:rPr>
      </w:pPr>
      <w:r w:rsidRPr="00C26A9B">
        <w:rPr>
          <w:rFonts w:ascii="Times New Roman" w:hAnsi="Times New Roman" w:cs="Times New Roman"/>
          <w:sz w:val="24"/>
          <w:szCs w:val="24"/>
          <w:lang w:val="ro-RO"/>
        </w:rPr>
        <w:t>258.   Cuantumurile nete ponderate ale JTD sunt agregate în cadrul fiecărei benzi în același mod ca și pentru riscul de nerambursare al expunerilor care nu provin din securitizare, cu ajutorul formulei de la pct.243-244, obținându-se astfel cerința de fonduri proprii pentru riscul de nerambursare pentru fiecare bandă.</w:t>
      </w:r>
    </w:p>
    <w:p w14:paraId="1BC14088" w14:textId="0076DF08" w:rsidR="00BF32BD" w:rsidRPr="00C26A9B" w:rsidRDefault="00BF32BD" w:rsidP="00BF32BD">
      <w:pPr>
        <w:rPr>
          <w:rFonts w:ascii="Times New Roman" w:hAnsi="Times New Roman" w:cs="Times New Roman"/>
          <w:sz w:val="24"/>
          <w:szCs w:val="24"/>
          <w:lang w:val="ro-RO"/>
        </w:rPr>
      </w:pPr>
      <w:r w:rsidRPr="00C26A9B">
        <w:rPr>
          <w:rFonts w:ascii="Times New Roman" w:hAnsi="Times New Roman" w:cs="Times New Roman"/>
          <w:sz w:val="24"/>
          <w:szCs w:val="24"/>
          <w:lang w:val="ro-RO"/>
        </w:rPr>
        <w:t>259.   Cerința finală de fonduri proprii pentru riscul de nerambursare aferentă securitizărilor neincluse în ACTP se calculează ca simpla sumă a cerințelor de fonduri proprii la nivel de bandă.</w:t>
      </w:r>
    </w:p>
    <w:p w14:paraId="4F90F96F" w14:textId="773F4F56" w:rsidR="000C60F4" w:rsidRPr="00CC1E9B" w:rsidRDefault="000C60F4" w:rsidP="000C60F4">
      <w:pPr>
        <w:rPr>
          <w:rFonts w:ascii="Times New Roman" w:hAnsi="Times New Roman" w:cs="Times New Roman"/>
          <w:b/>
          <w:bCs/>
          <w:i/>
          <w:iCs/>
          <w:sz w:val="24"/>
          <w:szCs w:val="24"/>
          <w:lang w:val="ro-RO"/>
        </w:rPr>
      </w:pPr>
      <w:bookmarkStart w:id="30" w:name="_Hlk195097552"/>
      <w:r w:rsidRPr="00CC1E9B">
        <w:rPr>
          <w:rFonts w:ascii="Times New Roman" w:hAnsi="Times New Roman" w:cs="Times New Roman"/>
          <w:b/>
          <w:bCs/>
          <w:i/>
          <w:iCs/>
          <w:sz w:val="24"/>
          <w:szCs w:val="24"/>
          <w:lang w:val="ro-RO"/>
        </w:rPr>
        <w:t>Subsecțiunea 3. Cerințele de fonduri proprii pentru riscul de nerambursare pentru securitizări incluse în ACTP</w:t>
      </w:r>
    </w:p>
    <w:p w14:paraId="750D7630" w14:textId="07BDE481" w:rsidR="000C60F4" w:rsidRPr="00C26A9B" w:rsidRDefault="000C60F4" w:rsidP="000C60F4">
      <w:pPr>
        <w:rPr>
          <w:rFonts w:ascii="Times New Roman" w:hAnsi="Times New Roman" w:cs="Times New Roman"/>
          <w:b/>
          <w:bCs/>
          <w:sz w:val="24"/>
          <w:szCs w:val="24"/>
          <w:lang w:val="ro-RO"/>
        </w:rPr>
      </w:pPr>
      <w:r w:rsidRPr="00C26A9B">
        <w:rPr>
          <w:rFonts w:ascii="Times New Roman" w:hAnsi="Times New Roman" w:cs="Times New Roman"/>
          <w:i/>
          <w:iCs/>
          <w:sz w:val="24"/>
          <w:szCs w:val="24"/>
          <w:lang w:val="ro-RO"/>
        </w:rPr>
        <w:t xml:space="preserve">Paragraful 1. </w:t>
      </w:r>
      <w:r w:rsidRPr="00C26A9B">
        <w:rPr>
          <w:rFonts w:ascii="Times New Roman" w:hAnsi="Times New Roman" w:cs="Times New Roman"/>
          <w:b/>
          <w:bCs/>
          <w:sz w:val="24"/>
          <w:szCs w:val="24"/>
          <w:lang w:val="ro-RO"/>
        </w:rPr>
        <w:t>Domeniu de aplicare</w:t>
      </w:r>
      <w:bookmarkEnd w:id="30"/>
    </w:p>
    <w:p w14:paraId="1784E484" w14:textId="658562D0" w:rsidR="000C60F4" w:rsidRPr="00C26A9B" w:rsidRDefault="000C60F4" w:rsidP="000C60F4">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260.   În cazul ACTP, cerințele de fonduri proprii includ riscul de nerambursare pentru expunerile din securitizare și pentru acoperirile riscului pentru instrumentele care nu sunt poziții din securitizare. Acoperirile riscului în cauză sunt excluse de la calcularea cerinței pentru riscul de nerambursare pentru instrumentele care nu sunt poziții din securitizare. Nu există niciun beneficiu de pe urma diversificării între cerințele de fonduri proprii pentru riscul de nerambursare pentru instrumentele care nu sunt poziții din securitizare, cerințele de fonduri proprii pentru riscul de nerambursare pentru securitizări neincluse în ACTP și cerințele de fonduri proprii pentru riscul de nerambursare pentru securitizări incluse în ACTP.</w:t>
      </w:r>
    </w:p>
    <w:p w14:paraId="051979FE" w14:textId="1C4D669D" w:rsidR="000C60F4" w:rsidRPr="00C26A9B" w:rsidRDefault="000C60F4" w:rsidP="000C60F4">
      <w:pPr>
        <w:rPr>
          <w:rFonts w:ascii="Times New Roman" w:hAnsi="Times New Roman" w:cs="Times New Roman"/>
          <w:b/>
          <w:bCs/>
          <w:sz w:val="24"/>
          <w:szCs w:val="24"/>
          <w:lang w:val="ro-RO"/>
        </w:rPr>
      </w:pPr>
      <w:bookmarkStart w:id="31" w:name="_Hlk195097580"/>
      <w:r w:rsidRPr="00C26A9B">
        <w:rPr>
          <w:rFonts w:ascii="Times New Roman" w:hAnsi="Times New Roman" w:cs="Times New Roman"/>
          <w:i/>
          <w:iCs/>
          <w:sz w:val="24"/>
          <w:szCs w:val="24"/>
          <w:lang w:val="ro-RO"/>
        </w:rPr>
        <w:t xml:space="preserve">Paragraful 2. </w:t>
      </w:r>
      <w:r w:rsidRPr="00C26A9B">
        <w:rPr>
          <w:rFonts w:ascii="Times New Roman" w:hAnsi="Times New Roman" w:cs="Times New Roman"/>
          <w:b/>
          <w:bCs/>
          <w:sz w:val="24"/>
          <w:szCs w:val="24"/>
          <w:lang w:val="ro-RO"/>
        </w:rPr>
        <w:t>Cuantumurile trecerii bruște în starea de nerambursare pentru ACTP</w:t>
      </w:r>
      <w:bookmarkEnd w:id="31"/>
    </w:p>
    <w:p w14:paraId="3CDA170A" w14:textId="77777777" w:rsidR="000C60F4" w:rsidRPr="00C26A9B" w:rsidRDefault="000C60F4" w:rsidP="000C60F4">
      <w:pPr>
        <w:rPr>
          <w:rFonts w:ascii="Times New Roman" w:hAnsi="Times New Roman" w:cs="Times New Roman"/>
          <w:sz w:val="24"/>
          <w:szCs w:val="24"/>
          <w:lang w:val="ro-RO"/>
        </w:rPr>
      </w:pPr>
      <w:r w:rsidRPr="00C26A9B">
        <w:rPr>
          <w:rFonts w:ascii="Times New Roman" w:hAnsi="Times New Roman" w:cs="Times New Roman"/>
          <w:sz w:val="24"/>
          <w:szCs w:val="24"/>
          <w:lang w:val="ro-RO"/>
        </w:rPr>
        <w:t>261.  În sensul prezentului paragraf, se aplică următoarele definiții:</w:t>
      </w:r>
    </w:p>
    <w:p w14:paraId="15B2A33E" w14:textId="77777777" w:rsidR="000C60F4" w:rsidRPr="00C26A9B" w:rsidRDefault="000C60F4" w:rsidP="000C60F4">
      <w:pPr>
        <w:rPr>
          <w:rFonts w:ascii="Times New Roman" w:hAnsi="Times New Roman" w:cs="Times New Roman"/>
          <w:sz w:val="24"/>
          <w:szCs w:val="24"/>
          <w:lang w:val="ro-RO"/>
        </w:rPr>
      </w:pPr>
      <w:r w:rsidRPr="00C26A9B">
        <w:rPr>
          <w:rFonts w:ascii="Times New Roman" w:hAnsi="Times New Roman" w:cs="Times New Roman"/>
          <w:sz w:val="24"/>
          <w:szCs w:val="24"/>
          <w:lang w:val="ro-RO"/>
        </w:rPr>
        <w:t>261.1. „descompunere cu un model de evaluare” înseamnă că o componentă având la bază o singură semnătură a unei securitizări este evaluată ca fiind diferența dintre valoarea necondiționată a securitizării și valoarea condiționată a securitizării, în ipoteza în care entitatea aflată la originea semnăturii respective intră în stare de nerambursare cu o LGD de 100 %;</w:t>
      </w:r>
    </w:p>
    <w:p w14:paraId="012D3561" w14:textId="77777777" w:rsidR="000C60F4" w:rsidRPr="00C26A9B" w:rsidRDefault="000C60F4" w:rsidP="000C60F4">
      <w:pPr>
        <w:rPr>
          <w:rFonts w:ascii="Times New Roman" w:hAnsi="Times New Roman" w:cs="Times New Roman"/>
          <w:sz w:val="24"/>
          <w:szCs w:val="24"/>
          <w:lang w:val="ro-RO"/>
        </w:rPr>
      </w:pPr>
      <w:r w:rsidRPr="00C26A9B">
        <w:rPr>
          <w:rFonts w:ascii="Times New Roman" w:hAnsi="Times New Roman" w:cs="Times New Roman"/>
          <w:sz w:val="24"/>
          <w:szCs w:val="24"/>
          <w:lang w:val="ro-RO"/>
        </w:rPr>
        <w:t>261.2. „reproducere” înseamnă că sunt combinate tranșe de indici din securitizare individuale pentru a reproduce o altă tranșă din aceeași serie de indici sau pentru a reproduce o poziție neîmpărțită în tranșe din aceeași serie de indici;</w:t>
      </w:r>
    </w:p>
    <w:p w14:paraId="5ECC138B" w14:textId="3E657207" w:rsidR="000C60F4" w:rsidRPr="00C26A9B" w:rsidRDefault="000C60F4" w:rsidP="000C60F4">
      <w:pPr>
        <w:rPr>
          <w:rFonts w:ascii="Times New Roman" w:hAnsi="Times New Roman" w:cs="Times New Roman"/>
          <w:sz w:val="24"/>
          <w:szCs w:val="24"/>
          <w:lang w:val="ro-RO"/>
        </w:rPr>
      </w:pPr>
      <w:r w:rsidRPr="00C26A9B">
        <w:rPr>
          <w:rFonts w:ascii="Times New Roman" w:hAnsi="Times New Roman" w:cs="Times New Roman"/>
          <w:sz w:val="24"/>
          <w:szCs w:val="24"/>
          <w:lang w:val="ro-RO"/>
        </w:rPr>
        <w:t>261.3. „descompunere” înseamnă reproducerea unui indice printr-o securitizare pentru care expunerile-suport din portofoliu sunt identice cu expunerile având la bază o singură semnătură care intră în componența indicelui respectiv.</w:t>
      </w:r>
    </w:p>
    <w:p w14:paraId="65891B05" w14:textId="70354AD8" w:rsidR="000C60F4" w:rsidRPr="00C26A9B" w:rsidRDefault="000C60F4" w:rsidP="000C60F4">
      <w:pPr>
        <w:rPr>
          <w:rFonts w:ascii="Times New Roman" w:hAnsi="Times New Roman" w:cs="Times New Roman"/>
          <w:sz w:val="24"/>
          <w:szCs w:val="24"/>
          <w:lang w:val="ro-RO"/>
        </w:rPr>
      </w:pPr>
      <w:r w:rsidRPr="00C26A9B">
        <w:rPr>
          <w:rFonts w:ascii="Times New Roman" w:hAnsi="Times New Roman" w:cs="Times New Roman"/>
          <w:sz w:val="24"/>
          <w:szCs w:val="24"/>
          <w:lang w:val="ro-RO"/>
        </w:rPr>
        <w:t>262.   Cuantumurile brute ale JTD pentru expunerile din securitizare și expunerile care nu provin din securitizare din ACTP sunt valoarea lor de piață sau, dacă valoarea lor de piață nu este disponibilă, valoarea lor justă determinată în conformitate cu cadrul contabil aplicabil.</w:t>
      </w:r>
    </w:p>
    <w:p w14:paraId="5FCCED98" w14:textId="77777777" w:rsidR="000C60F4" w:rsidRPr="00C26A9B" w:rsidRDefault="000C60F4" w:rsidP="000C60F4">
      <w:pPr>
        <w:rPr>
          <w:rFonts w:ascii="Times New Roman" w:hAnsi="Times New Roman" w:cs="Times New Roman"/>
          <w:sz w:val="24"/>
          <w:szCs w:val="24"/>
          <w:lang w:val="ro-RO"/>
        </w:rPr>
      </w:pPr>
      <w:r w:rsidRPr="00C26A9B">
        <w:rPr>
          <w:rFonts w:ascii="Times New Roman" w:hAnsi="Times New Roman" w:cs="Times New Roman"/>
          <w:sz w:val="24"/>
          <w:szCs w:val="24"/>
          <w:lang w:val="ro-RO"/>
        </w:rPr>
        <w:t>263.   Produsele de tipul „</w:t>
      </w:r>
      <w:proofErr w:type="spellStart"/>
      <w:r w:rsidRPr="00C26A9B">
        <w:rPr>
          <w:rFonts w:ascii="Times New Roman" w:hAnsi="Times New Roman" w:cs="Times New Roman"/>
          <w:sz w:val="24"/>
          <w:szCs w:val="24"/>
          <w:lang w:val="ro-RO"/>
        </w:rPr>
        <w:t>n</w:t>
      </w:r>
      <w:r w:rsidRPr="00C26A9B">
        <w:rPr>
          <w:rFonts w:ascii="Times New Roman" w:hAnsi="Times New Roman" w:cs="Times New Roman"/>
          <w:sz w:val="24"/>
          <w:szCs w:val="24"/>
          <w:vertAlign w:val="superscript"/>
          <w:lang w:val="ro-RO"/>
        </w:rPr>
        <w:t>th</w:t>
      </w:r>
      <w:r w:rsidRPr="00C26A9B">
        <w:rPr>
          <w:rFonts w:ascii="Times New Roman" w:hAnsi="Times New Roman" w:cs="Times New Roman"/>
          <w:sz w:val="24"/>
          <w:szCs w:val="24"/>
          <w:lang w:val="ro-RO"/>
        </w:rPr>
        <w:t>-to-default</w:t>
      </w:r>
      <w:proofErr w:type="spellEnd"/>
      <w:r w:rsidRPr="00C26A9B">
        <w:rPr>
          <w:rFonts w:ascii="Times New Roman" w:hAnsi="Times New Roman" w:cs="Times New Roman"/>
          <w:sz w:val="24"/>
          <w:szCs w:val="24"/>
          <w:lang w:val="ro-RO"/>
        </w:rPr>
        <w:t>” sunt tratate ca produse împărțite în tranșe cu următoarele puncte de activare și de dezactivare:</w:t>
      </w:r>
    </w:p>
    <w:p w14:paraId="53C3BC01" w14:textId="77777777" w:rsidR="000C60F4" w:rsidRPr="00C26A9B" w:rsidRDefault="000C60F4" w:rsidP="000C60F4">
      <w:pPr>
        <w:rPr>
          <w:rFonts w:ascii="Times New Roman" w:hAnsi="Times New Roman" w:cs="Times New Roman"/>
          <w:sz w:val="24"/>
          <w:szCs w:val="24"/>
          <w:lang w:val="ro-RO"/>
        </w:rPr>
      </w:pPr>
      <w:r w:rsidRPr="00C26A9B">
        <w:rPr>
          <w:rFonts w:ascii="Times New Roman" w:hAnsi="Times New Roman" w:cs="Times New Roman"/>
          <w:sz w:val="24"/>
          <w:szCs w:val="24"/>
          <w:lang w:val="ro-RO"/>
        </w:rPr>
        <w:t>263.1. punct de activare = (N – 1) / Total semnături;</w:t>
      </w:r>
    </w:p>
    <w:p w14:paraId="17105FC3" w14:textId="77777777" w:rsidR="000C60F4" w:rsidRPr="00C26A9B" w:rsidRDefault="000C60F4" w:rsidP="000C60F4">
      <w:pPr>
        <w:rPr>
          <w:rFonts w:ascii="Times New Roman" w:hAnsi="Times New Roman" w:cs="Times New Roman"/>
          <w:sz w:val="24"/>
          <w:szCs w:val="24"/>
          <w:lang w:val="ro-RO"/>
        </w:rPr>
      </w:pPr>
      <w:r w:rsidRPr="00C26A9B">
        <w:rPr>
          <w:rFonts w:ascii="Times New Roman" w:hAnsi="Times New Roman" w:cs="Times New Roman"/>
          <w:sz w:val="24"/>
          <w:szCs w:val="24"/>
          <w:lang w:val="ro-RO"/>
        </w:rPr>
        <w:t>263.2. punct de dezactivare = N / Total semnături;</w:t>
      </w:r>
    </w:p>
    <w:p w14:paraId="7475A1CB" w14:textId="6A3676CE" w:rsidR="000C60F4" w:rsidRPr="00C26A9B" w:rsidRDefault="000C60F4" w:rsidP="000C60F4">
      <w:pPr>
        <w:rPr>
          <w:rFonts w:ascii="Times New Roman" w:hAnsi="Times New Roman" w:cs="Times New Roman"/>
          <w:sz w:val="24"/>
          <w:szCs w:val="24"/>
          <w:lang w:val="ro-RO"/>
        </w:rPr>
      </w:pPr>
      <w:r w:rsidRPr="00C26A9B">
        <w:rPr>
          <w:rFonts w:ascii="Times New Roman" w:hAnsi="Times New Roman" w:cs="Times New Roman"/>
          <w:sz w:val="24"/>
          <w:szCs w:val="24"/>
          <w:lang w:val="ro-RO"/>
        </w:rPr>
        <w:t>unde „Total semnături” este numărul total de semnături din coșul sau portofoliul-suport.</w:t>
      </w:r>
    </w:p>
    <w:p w14:paraId="43900F9B" w14:textId="77777777" w:rsidR="000C60F4" w:rsidRPr="00C26A9B" w:rsidRDefault="000C60F4" w:rsidP="000C60F4">
      <w:pPr>
        <w:rPr>
          <w:rFonts w:ascii="Times New Roman" w:hAnsi="Times New Roman" w:cs="Times New Roman"/>
          <w:sz w:val="24"/>
          <w:szCs w:val="24"/>
          <w:lang w:val="ro-RO"/>
        </w:rPr>
      </w:pPr>
      <w:r w:rsidRPr="00C26A9B">
        <w:rPr>
          <w:rFonts w:ascii="Times New Roman" w:hAnsi="Times New Roman" w:cs="Times New Roman"/>
          <w:sz w:val="24"/>
          <w:szCs w:val="24"/>
          <w:lang w:val="ro-RO"/>
        </w:rPr>
        <w:t>264.  Cuantumurile nete ale JTD se determină prin compensarea cuantumurilor brute lungi ale JTD cu cuantumurile brute scurte ale JTD. Compensarea nu este posibilă decât între expuneri care sunt identice în toate privințele, mai puțin a scadenței. Compensarea nu este posibilă decât după cum urmează:</w:t>
      </w:r>
    </w:p>
    <w:p w14:paraId="08B37984" w14:textId="77777777" w:rsidR="000C60F4" w:rsidRPr="00C26A9B" w:rsidRDefault="000C60F4" w:rsidP="000C60F4">
      <w:pPr>
        <w:rPr>
          <w:rFonts w:ascii="Times New Roman" w:hAnsi="Times New Roman" w:cs="Times New Roman"/>
          <w:sz w:val="24"/>
          <w:szCs w:val="24"/>
          <w:lang w:val="ro-RO"/>
        </w:rPr>
      </w:pPr>
      <w:r w:rsidRPr="00C26A9B">
        <w:rPr>
          <w:rFonts w:ascii="Times New Roman" w:hAnsi="Times New Roman" w:cs="Times New Roman"/>
          <w:sz w:val="24"/>
          <w:szCs w:val="24"/>
          <w:lang w:val="ro-RO"/>
        </w:rPr>
        <w:t>264.1. pentru indici, tranșe de indici și tranșe individualizate, compensarea este posibilă indiferent de scadență în cadrul aceleiași familii, serii și tranșe de indici, sub rezerva dispozițiilor pentru expunerile de mai puțin de un an prevăzute la subsecțiunea 1, paragraful 2; cuantumurile brute lungi și cele scurte ale JTD care se reproduc reciproc perfect pot fi compensate prin descompunerea în expuneri având la bază o singură semnătură echivalente, cu ajutorul unui model de evaluare; în astfel de cazuri, suma cuantumurilor brute ale JTD a expunerilor având la bază o singură semnătură echivalente obținute prin descompunere este egală cu cuantumul brut al JTD al expunerii nedivizate;</w:t>
      </w:r>
    </w:p>
    <w:p w14:paraId="68496603" w14:textId="65C9098E" w:rsidR="000C60F4" w:rsidRPr="00C26A9B" w:rsidRDefault="000C60F4" w:rsidP="000C60F4">
      <w:pPr>
        <w:rPr>
          <w:rFonts w:ascii="Times New Roman" w:hAnsi="Times New Roman" w:cs="Times New Roman"/>
          <w:sz w:val="24"/>
          <w:szCs w:val="24"/>
          <w:lang w:val="ro-RO"/>
        </w:rPr>
      </w:pPr>
      <w:r w:rsidRPr="00C26A9B">
        <w:rPr>
          <w:rFonts w:ascii="Times New Roman" w:hAnsi="Times New Roman" w:cs="Times New Roman"/>
          <w:sz w:val="24"/>
          <w:szCs w:val="24"/>
          <w:lang w:val="ro-RO"/>
        </w:rPr>
        <w:t>264.2. compensarea prin descompunere, astfel cum este prevăzută la</w:t>
      </w:r>
      <w:r w:rsidR="0083411F">
        <w:rPr>
          <w:rFonts w:ascii="Times New Roman" w:hAnsi="Times New Roman" w:cs="Times New Roman"/>
          <w:sz w:val="24"/>
          <w:szCs w:val="24"/>
          <w:lang w:val="ro-RO"/>
        </w:rPr>
        <w:t xml:space="preserve"> </w:t>
      </w:r>
      <w:r w:rsidRPr="00C26A9B">
        <w:rPr>
          <w:rFonts w:ascii="Times New Roman" w:hAnsi="Times New Roman" w:cs="Times New Roman"/>
          <w:sz w:val="24"/>
          <w:szCs w:val="24"/>
          <w:lang w:val="ro-RO"/>
        </w:rPr>
        <w:t xml:space="preserve">subpct.264.1, nu este permisă pentru </w:t>
      </w:r>
      <w:proofErr w:type="spellStart"/>
      <w:r w:rsidRPr="00C26A9B">
        <w:rPr>
          <w:rFonts w:ascii="Times New Roman" w:hAnsi="Times New Roman" w:cs="Times New Roman"/>
          <w:sz w:val="24"/>
          <w:szCs w:val="24"/>
          <w:lang w:val="ro-RO"/>
        </w:rPr>
        <w:t>resecuritizări</w:t>
      </w:r>
      <w:proofErr w:type="spellEnd"/>
      <w:r w:rsidRPr="00C26A9B">
        <w:rPr>
          <w:rFonts w:ascii="Times New Roman" w:hAnsi="Times New Roman" w:cs="Times New Roman"/>
          <w:sz w:val="24"/>
          <w:szCs w:val="24"/>
          <w:lang w:val="ro-RO"/>
        </w:rPr>
        <w:t xml:space="preserve"> sau instrumente financiare derivate care sunt poziții din securitizare;</w:t>
      </w:r>
    </w:p>
    <w:p w14:paraId="62DB6F9B" w14:textId="77777777" w:rsidR="000C60F4" w:rsidRPr="00C26A9B" w:rsidRDefault="000C60F4" w:rsidP="000C60F4">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264.3. pentru indici și tranșe de indici, compensarea este posibilă indiferent de scadență în cadrul aceleiași familii, serii și tranșe de indici, prin reproducere sau descompunere; în cazul în care expunerile lungi și cele </w:t>
      </w:r>
      <w:r w:rsidRPr="00C26A9B">
        <w:rPr>
          <w:rFonts w:ascii="Times New Roman" w:hAnsi="Times New Roman" w:cs="Times New Roman"/>
          <w:sz w:val="24"/>
          <w:szCs w:val="24"/>
          <w:lang w:val="ro-RO"/>
        </w:rPr>
        <w:lastRenderedPageBreak/>
        <w:t>scurte sunt echivalente în toate privințele, cu excepția unei componente reziduale, compensarea este permisă, iar cuantumul net al JTD reflectă expunerea reziduală;</w:t>
      </w:r>
    </w:p>
    <w:p w14:paraId="514AF46E" w14:textId="17558A71" w:rsidR="000C60F4" w:rsidRPr="00C26A9B" w:rsidRDefault="000C60F4" w:rsidP="000C60F4">
      <w:pPr>
        <w:rPr>
          <w:rFonts w:ascii="Times New Roman" w:hAnsi="Times New Roman" w:cs="Times New Roman"/>
          <w:sz w:val="24"/>
          <w:szCs w:val="24"/>
          <w:lang w:val="ro-RO"/>
        </w:rPr>
      </w:pPr>
      <w:r w:rsidRPr="00C26A9B">
        <w:rPr>
          <w:rFonts w:ascii="Times New Roman" w:hAnsi="Times New Roman" w:cs="Times New Roman"/>
          <w:sz w:val="24"/>
          <w:szCs w:val="24"/>
          <w:lang w:val="ro-RO"/>
        </w:rPr>
        <w:t>264.4. nu pot fi utilizate pentru a se compensa reciproc tranșe diferite din aceeași familie de indici, serii diferite ale aceluiași indice și familii de indici diferite.</w:t>
      </w:r>
    </w:p>
    <w:p w14:paraId="25E1ADDB" w14:textId="5C3B560E" w:rsidR="008A5C92" w:rsidRPr="00C26A9B" w:rsidRDefault="008A5C92" w:rsidP="008A5C92">
      <w:pPr>
        <w:rPr>
          <w:rFonts w:ascii="Times New Roman" w:hAnsi="Times New Roman" w:cs="Times New Roman"/>
          <w:b/>
          <w:bCs/>
          <w:sz w:val="24"/>
          <w:szCs w:val="24"/>
          <w:lang w:val="ro-RO"/>
        </w:rPr>
      </w:pPr>
      <w:bookmarkStart w:id="32" w:name="_Hlk195097625"/>
      <w:r w:rsidRPr="00C26A9B">
        <w:rPr>
          <w:rFonts w:ascii="Times New Roman" w:hAnsi="Times New Roman" w:cs="Times New Roman"/>
          <w:i/>
          <w:iCs/>
          <w:sz w:val="24"/>
          <w:szCs w:val="24"/>
          <w:lang w:val="ro-RO"/>
        </w:rPr>
        <w:t xml:space="preserve">Paragraful 3. </w:t>
      </w:r>
      <w:r w:rsidRPr="00C26A9B">
        <w:rPr>
          <w:rFonts w:ascii="Times New Roman" w:hAnsi="Times New Roman" w:cs="Times New Roman"/>
          <w:b/>
          <w:bCs/>
          <w:sz w:val="24"/>
          <w:szCs w:val="24"/>
          <w:lang w:val="ro-RO"/>
        </w:rPr>
        <w:t>Calcularea cerinței de fonduri proprii pentru riscul de nerambursare pentru ACTP</w:t>
      </w:r>
      <w:bookmarkEnd w:id="32"/>
    </w:p>
    <w:p w14:paraId="40A249B1" w14:textId="77777777" w:rsidR="008A5C92" w:rsidRPr="00C26A9B" w:rsidRDefault="008A5C92" w:rsidP="008A5C92">
      <w:pPr>
        <w:rPr>
          <w:rFonts w:ascii="Times New Roman" w:hAnsi="Times New Roman" w:cs="Times New Roman"/>
          <w:sz w:val="24"/>
          <w:szCs w:val="24"/>
          <w:lang w:val="ro-RO"/>
        </w:rPr>
      </w:pPr>
      <w:r w:rsidRPr="00C26A9B">
        <w:rPr>
          <w:rFonts w:ascii="Times New Roman" w:hAnsi="Times New Roman" w:cs="Times New Roman"/>
          <w:sz w:val="24"/>
          <w:szCs w:val="24"/>
          <w:lang w:val="ro-RO"/>
        </w:rPr>
        <w:t>265.   Cuantumurile nete ale JTD se înmulțesc:</w:t>
      </w:r>
    </w:p>
    <w:p w14:paraId="2CF1D003" w14:textId="77777777" w:rsidR="008A5C92" w:rsidRPr="00C26A9B" w:rsidRDefault="008A5C92" w:rsidP="008A5C92">
      <w:pPr>
        <w:rPr>
          <w:rFonts w:ascii="Times New Roman" w:hAnsi="Times New Roman" w:cs="Times New Roman"/>
          <w:sz w:val="24"/>
          <w:szCs w:val="24"/>
          <w:lang w:val="ro-RO"/>
        </w:rPr>
      </w:pPr>
      <w:r w:rsidRPr="00C26A9B">
        <w:rPr>
          <w:rFonts w:ascii="Times New Roman" w:hAnsi="Times New Roman" w:cs="Times New Roman"/>
          <w:sz w:val="24"/>
          <w:szCs w:val="24"/>
          <w:lang w:val="ro-RO"/>
        </w:rPr>
        <w:t>265.1. în cazul produselor neîmpărțite în tranșe, cu ponderile de risc de nerambursare corespunzătoare calității creditului acestora, astfel cum se precizează la pct.240 și 241;</w:t>
      </w:r>
    </w:p>
    <w:p w14:paraId="09DB4E91" w14:textId="53C5CC38" w:rsidR="008A5C92" w:rsidRPr="00C26A9B" w:rsidRDefault="008A5C92" w:rsidP="008A5C92">
      <w:pPr>
        <w:rPr>
          <w:rFonts w:ascii="Times New Roman" w:hAnsi="Times New Roman" w:cs="Times New Roman"/>
          <w:sz w:val="24"/>
          <w:szCs w:val="24"/>
          <w:lang w:val="ro-RO"/>
        </w:rPr>
      </w:pPr>
      <w:r w:rsidRPr="00C26A9B">
        <w:rPr>
          <w:rFonts w:ascii="Times New Roman" w:hAnsi="Times New Roman" w:cs="Times New Roman"/>
          <w:sz w:val="24"/>
          <w:szCs w:val="24"/>
          <w:lang w:val="ro-RO"/>
        </w:rPr>
        <w:t>265.2. în cazul produselor împărțite în tranșe, cu ponderile de risc de nerambursare menționate lapct.252.</w:t>
      </w:r>
    </w:p>
    <w:p w14:paraId="2FE3FA1B" w14:textId="6DFFEF24" w:rsidR="008A5C92" w:rsidRPr="00C26A9B" w:rsidRDefault="008A5C92" w:rsidP="008A5C92">
      <w:pPr>
        <w:rPr>
          <w:rFonts w:ascii="Times New Roman" w:hAnsi="Times New Roman" w:cs="Times New Roman"/>
          <w:sz w:val="24"/>
          <w:szCs w:val="24"/>
          <w:lang w:val="ro-RO"/>
        </w:rPr>
      </w:pPr>
      <w:r w:rsidRPr="00C26A9B">
        <w:rPr>
          <w:rFonts w:ascii="Times New Roman" w:hAnsi="Times New Roman" w:cs="Times New Roman"/>
          <w:sz w:val="24"/>
          <w:szCs w:val="24"/>
          <w:lang w:val="ro-RO"/>
        </w:rPr>
        <w:t>266.  Cuantumurile nete ponderate la risc ale JTD sunt încadrate în benzi care corespund unui indice.</w:t>
      </w:r>
    </w:p>
    <w:p w14:paraId="743B8DEB" w14:textId="77777777" w:rsidR="008A5C92" w:rsidRPr="00C26A9B" w:rsidRDefault="008A5C92" w:rsidP="008A5C92">
      <w:pPr>
        <w:rPr>
          <w:rFonts w:ascii="Times New Roman" w:hAnsi="Times New Roman" w:cs="Times New Roman"/>
          <w:sz w:val="24"/>
          <w:szCs w:val="24"/>
          <w:lang w:val="ro-RO"/>
        </w:rPr>
      </w:pPr>
      <w:r w:rsidRPr="00C26A9B">
        <w:rPr>
          <w:rFonts w:ascii="Times New Roman" w:hAnsi="Times New Roman" w:cs="Times New Roman"/>
          <w:sz w:val="24"/>
          <w:szCs w:val="24"/>
          <w:lang w:val="ro-RO"/>
        </w:rPr>
        <w:t>267.  Cuantumurile nete ponderate ale JTD sunt agregate în cadrul fiecărei benzi în conformitate cu următoarea formulă:</w:t>
      </w:r>
    </w:p>
    <w:p w14:paraId="2BC06735" w14:textId="77777777" w:rsidR="008A5C92" w:rsidRPr="00C26A9B" w:rsidRDefault="008A5C92" w:rsidP="008A5C92">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777EA39C" wp14:editId="042E9DAF">
            <wp:extent cx="3445510" cy="539087"/>
            <wp:effectExtent l="0" t="0" r="2540" b="0"/>
            <wp:docPr id="156" name="Picture 15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image"/>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462793" cy="541791"/>
                    </a:xfrm>
                    <a:prstGeom prst="rect">
                      <a:avLst/>
                    </a:prstGeom>
                    <a:noFill/>
                    <a:ln>
                      <a:noFill/>
                    </a:ln>
                  </pic:spPr>
                </pic:pic>
              </a:graphicData>
            </a:graphic>
          </wp:inline>
        </w:drawing>
      </w:r>
    </w:p>
    <w:p w14:paraId="0F443965" w14:textId="77777777" w:rsidR="008A5C92" w:rsidRPr="00C26A9B" w:rsidRDefault="008A5C92" w:rsidP="008A5C92">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tbl>
      <w:tblPr>
        <w:tblW w:w="9356" w:type="dxa"/>
        <w:tblLayout w:type="fixed"/>
        <w:tblCellMar>
          <w:left w:w="0" w:type="dxa"/>
          <w:right w:w="0" w:type="dxa"/>
        </w:tblCellMar>
        <w:tblLook w:val="04A0" w:firstRow="1" w:lastRow="0" w:firstColumn="1" w:lastColumn="0" w:noHBand="0" w:noVBand="1"/>
      </w:tblPr>
      <w:tblGrid>
        <w:gridCol w:w="612"/>
        <w:gridCol w:w="85"/>
        <w:gridCol w:w="8659"/>
      </w:tblGrid>
      <w:tr w:rsidR="008A5C92" w:rsidRPr="00C26A9B" w14:paraId="3B6D2487" w14:textId="77777777" w:rsidTr="008A5C92">
        <w:tc>
          <w:tcPr>
            <w:tcW w:w="612" w:type="dxa"/>
            <w:hideMark/>
          </w:tcPr>
          <w:p w14:paraId="475A82B3" w14:textId="77777777" w:rsidR="008A5C92" w:rsidRPr="00C26A9B" w:rsidRDefault="008A5C92" w:rsidP="008A5C92">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DRC</w:t>
            </w:r>
            <w:r w:rsidRPr="00C26A9B">
              <w:rPr>
                <w:rFonts w:ascii="Times New Roman" w:hAnsi="Times New Roman" w:cs="Times New Roman"/>
                <w:sz w:val="24"/>
                <w:szCs w:val="24"/>
                <w:vertAlign w:val="subscript"/>
                <w:lang w:val="ro-RO"/>
              </w:rPr>
              <w:t>b</w:t>
            </w:r>
            <w:proofErr w:type="spellEnd"/>
          </w:p>
        </w:tc>
        <w:tc>
          <w:tcPr>
            <w:tcW w:w="85" w:type="dxa"/>
            <w:hideMark/>
          </w:tcPr>
          <w:p w14:paraId="7654F0E7" w14:textId="77777777" w:rsidR="008A5C92" w:rsidRPr="00C26A9B" w:rsidRDefault="008A5C92" w:rsidP="008A5C92">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659" w:type="dxa"/>
            <w:hideMark/>
          </w:tcPr>
          <w:p w14:paraId="33AAD2FE" w14:textId="77777777" w:rsidR="008A5C92" w:rsidRPr="00C26A9B" w:rsidRDefault="008A5C92" w:rsidP="008A5C92">
            <w:pPr>
              <w:rPr>
                <w:rFonts w:ascii="Times New Roman" w:hAnsi="Times New Roman" w:cs="Times New Roman"/>
                <w:sz w:val="24"/>
                <w:szCs w:val="24"/>
                <w:lang w:val="ro-RO"/>
              </w:rPr>
            </w:pPr>
            <w:r w:rsidRPr="00C26A9B">
              <w:rPr>
                <w:rFonts w:ascii="Times New Roman" w:hAnsi="Times New Roman" w:cs="Times New Roman"/>
                <w:sz w:val="24"/>
                <w:szCs w:val="24"/>
                <w:lang w:val="ro-RO"/>
              </w:rPr>
              <w:t>cerința de fonduri proprii pentru riscul de nerambursare aferentă benzii „b”;</w:t>
            </w:r>
          </w:p>
        </w:tc>
      </w:tr>
    </w:tbl>
    <w:p w14:paraId="651F291B" w14:textId="77777777" w:rsidR="008A5C92" w:rsidRPr="00C26A9B" w:rsidRDefault="008A5C92" w:rsidP="008A5C92">
      <w:pPr>
        <w:rPr>
          <w:rFonts w:ascii="Times New Roman" w:hAnsi="Times New Roman" w:cs="Times New Roman"/>
          <w:vanish/>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208"/>
        <w:gridCol w:w="410"/>
        <w:gridCol w:w="9848"/>
      </w:tblGrid>
      <w:tr w:rsidR="008A5C92" w:rsidRPr="00C26A9B" w14:paraId="095A2364" w14:textId="77777777" w:rsidTr="00E82317">
        <w:tc>
          <w:tcPr>
            <w:tcW w:w="192" w:type="dxa"/>
            <w:hideMark/>
          </w:tcPr>
          <w:p w14:paraId="7778D762" w14:textId="77777777" w:rsidR="008A5C92" w:rsidRPr="00C26A9B" w:rsidRDefault="008A5C92" w:rsidP="008A5C92">
            <w:pPr>
              <w:rPr>
                <w:rFonts w:ascii="Times New Roman" w:hAnsi="Times New Roman" w:cs="Times New Roman"/>
                <w:sz w:val="24"/>
                <w:szCs w:val="24"/>
                <w:lang w:val="ro-RO"/>
              </w:rPr>
            </w:pPr>
            <w:r w:rsidRPr="00C26A9B">
              <w:rPr>
                <w:rFonts w:ascii="Times New Roman" w:hAnsi="Times New Roman" w:cs="Times New Roman"/>
                <w:sz w:val="24"/>
                <w:szCs w:val="24"/>
                <w:lang w:val="ro-RO"/>
              </w:rPr>
              <w:t>i</w:t>
            </w:r>
          </w:p>
        </w:tc>
        <w:tc>
          <w:tcPr>
            <w:tcW w:w="380" w:type="dxa"/>
            <w:hideMark/>
          </w:tcPr>
          <w:p w14:paraId="71EBBDFD" w14:textId="77777777" w:rsidR="008A5C92" w:rsidRPr="00C26A9B" w:rsidRDefault="008A5C92" w:rsidP="008A5C92">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9117" w:type="dxa"/>
            <w:hideMark/>
          </w:tcPr>
          <w:p w14:paraId="7BE4889F" w14:textId="77777777" w:rsidR="008A5C92" w:rsidRPr="00C26A9B" w:rsidRDefault="008A5C92" w:rsidP="008A5C92">
            <w:pPr>
              <w:rPr>
                <w:rFonts w:ascii="Times New Roman" w:hAnsi="Times New Roman" w:cs="Times New Roman"/>
                <w:sz w:val="24"/>
                <w:szCs w:val="24"/>
                <w:lang w:val="ro-RO"/>
              </w:rPr>
            </w:pPr>
            <w:r w:rsidRPr="00C26A9B">
              <w:rPr>
                <w:rFonts w:ascii="Times New Roman" w:hAnsi="Times New Roman" w:cs="Times New Roman"/>
                <w:sz w:val="24"/>
                <w:szCs w:val="24"/>
                <w:lang w:val="ro-RO"/>
              </w:rPr>
              <w:t>un instrument din banda „b”; și</w:t>
            </w:r>
          </w:p>
        </w:tc>
      </w:tr>
    </w:tbl>
    <w:p w14:paraId="620C6EE5" w14:textId="77777777" w:rsidR="008A5C92" w:rsidRPr="00C26A9B" w:rsidRDefault="008A5C92" w:rsidP="008A5C92">
      <w:pPr>
        <w:rPr>
          <w:rFonts w:ascii="Times New Roman" w:hAnsi="Times New Roman" w:cs="Times New Roman"/>
          <w:vanish/>
          <w:sz w:val="24"/>
          <w:szCs w:val="24"/>
          <w:lang w:val="ro-RO"/>
        </w:rPr>
      </w:pPr>
    </w:p>
    <w:tbl>
      <w:tblPr>
        <w:tblW w:w="9453" w:type="dxa"/>
        <w:tblLayout w:type="fixed"/>
        <w:tblCellMar>
          <w:left w:w="0" w:type="dxa"/>
          <w:right w:w="0" w:type="dxa"/>
        </w:tblCellMar>
        <w:tblLook w:val="04A0" w:firstRow="1" w:lastRow="0" w:firstColumn="1" w:lastColumn="0" w:noHBand="0" w:noVBand="1"/>
      </w:tblPr>
      <w:tblGrid>
        <w:gridCol w:w="851"/>
        <w:gridCol w:w="76"/>
        <w:gridCol w:w="8526"/>
      </w:tblGrid>
      <w:tr w:rsidR="008A5C92" w:rsidRPr="00C26A9B" w14:paraId="066BFABC" w14:textId="77777777" w:rsidTr="008A5C92">
        <w:tc>
          <w:tcPr>
            <w:tcW w:w="851" w:type="dxa"/>
            <w:hideMark/>
          </w:tcPr>
          <w:p w14:paraId="1207308B" w14:textId="77777777" w:rsidR="008A5C92" w:rsidRPr="00C26A9B" w:rsidRDefault="008A5C92" w:rsidP="008A5C92">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WtS</w:t>
            </w:r>
            <w:r w:rsidRPr="00C26A9B">
              <w:rPr>
                <w:rFonts w:ascii="Times New Roman" w:hAnsi="Times New Roman" w:cs="Times New Roman"/>
                <w:sz w:val="24"/>
                <w:szCs w:val="24"/>
                <w:vertAlign w:val="subscript"/>
                <w:lang w:val="ro-RO"/>
              </w:rPr>
              <w:t>ACTP</w:t>
            </w:r>
            <w:proofErr w:type="spellEnd"/>
          </w:p>
        </w:tc>
        <w:tc>
          <w:tcPr>
            <w:tcW w:w="76" w:type="dxa"/>
            <w:hideMark/>
          </w:tcPr>
          <w:p w14:paraId="38DE06CF" w14:textId="77777777" w:rsidR="008A5C92" w:rsidRPr="00C26A9B" w:rsidRDefault="008A5C92" w:rsidP="008A5C92">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526" w:type="dxa"/>
            <w:hideMark/>
          </w:tcPr>
          <w:p w14:paraId="16A3EC70" w14:textId="1EFF7D21" w:rsidR="008A5C92" w:rsidRPr="00C26A9B" w:rsidRDefault="008A5C92" w:rsidP="008A5C9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raportul care reflectă beneficiul obținut în urma acoperirii împotriva riscurilor a relațiilor din cadrul unei benzi, calculat în conformitate cu formula </w:t>
            </w:r>
            <w:proofErr w:type="spellStart"/>
            <w:r w:rsidRPr="00C26A9B">
              <w:rPr>
                <w:rFonts w:ascii="Times New Roman" w:hAnsi="Times New Roman" w:cs="Times New Roman"/>
                <w:sz w:val="24"/>
                <w:szCs w:val="24"/>
                <w:lang w:val="ro-RO"/>
              </w:rPr>
              <w:t>WtS</w:t>
            </w:r>
            <w:proofErr w:type="spellEnd"/>
            <w:r w:rsidRPr="00C26A9B">
              <w:rPr>
                <w:rFonts w:ascii="Times New Roman" w:hAnsi="Times New Roman" w:cs="Times New Roman"/>
                <w:sz w:val="24"/>
                <w:szCs w:val="24"/>
                <w:lang w:val="ro-RO"/>
              </w:rPr>
              <w:t xml:space="preserve"> prevăzută lapct.243-244, dar utilizând poziții lungi și scurte din întregul ACTP, și nu doar pozițiile din banda respectivă.</w:t>
            </w:r>
          </w:p>
          <w:p w14:paraId="38B80386" w14:textId="77777777" w:rsidR="008A5C92" w:rsidRPr="00C26A9B" w:rsidRDefault="008A5C92" w:rsidP="008A5C92">
            <w:pPr>
              <w:rPr>
                <w:rFonts w:ascii="Times New Roman" w:hAnsi="Times New Roman" w:cs="Times New Roman"/>
                <w:sz w:val="24"/>
                <w:szCs w:val="24"/>
                <w:lang w:val="ro-RO"/>
              </w:rPr>
            </w:pPr>
          </w:p>
        </w:tc>
      </w:tr>
    </w:tbl>
    <w:p w14:paraId="7FB3612E" w14:textId="77777777" w:rsidR="008A5C92" w:rsidRPr="00C26A9B" w:rsidRDefault="008A5C92" w:rsidP="008A5C92">
      <w:pPr>
        <w:rPr>
          <w:rFonts w:ascii="Times New Roman" w:hAnsi="Times New Roman" w:cs="Times New Roman"/>
          <w:sz w:val="24"/>
          <w:szCs w:val="24"/>
          <w:lang w:val="ro-RO"/>
        </w:rPr>
      </w:pPr>
      <w:r w:rsidRPr="00C26A9B">
        <w:rPr>
          <w:rFonts w:ascii="Times New Roman" w:hAnsi="Times New Roman" w:cs="Times New Roman"/>
          <w:sz w:val="24"/>
          <w:szCs w:val="24"/>
          <w:lang w:val="ro-RO"/>
        </w:rPr>
        <w:t>268.   Băncile calculează cerințele de fonduri proprii pentru riscul de nerambursare aferent ACTP utilizând următoarea formulă:</w:t>
      </w:r>
    </w:p>
    <w:p w14:paraId="1FA419C0" w14:textId="77777777" w:rsidR="008A5C92" w:rsidRPr="00C26A9B" w:rsidRDefault="008A5C92" w:rsidP="008A5C92">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44171632" wp14:editId="0E63CA4B">
            <wp:extent cx="3055620" cy="377190"/>
            <wp:effectExtent l="0" t="0" r="0" b="3810"/>
            <wp:docPr id="157" name="Picture 15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image"/>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055620" cy="377190"/>
                    </a:xfrm>
                    <a:prstGeom prst="rect">
                      <a:avLst/>
                    </a:prstGeom>
                    <a:noFill/>
                    <a:ln>
                      <a:noFill/>
                    </a:ln>
                  </pic:spPr>
                </pic:pic>
              </a:graphicData>
            </a:graphic>
          </wp:inline>
        </w:drawing>
      </w:r>
    </w:p>
    <w:p w14:paraId="757C8DEC" w14:textId="77777777" w:rsidR="008A5C92" w:rsidRPr="00C26A9B" w:rsidRDefault="008A5C92" w:rsidP="008A5C92">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tbl>
      <w:tblPr>
        <w:tblW w:w="9736" w:type="dxa"/>
        <w:tblLayout w:type="fixed"/>
        <w:tblCellMar>
          <w:left w:w="0" w:type="dxa"/>
          <w:right w:w="0" w:type="dxa"/>
        </w:tblCellMar>
        <w:tblLook w:val="04A0" w:firstRow="1" w:lastRow="0" w:firstColumn="1" w:lastColumn="0" w:noHBand="0" w:noVBand="1"/>
      </w:tblPr>
      <w:tblGrid>
        <w:gridCol w:w="993"/>
        <w:gridCol w:w="85"/>
        <w:gridCol w:w="8658"/>
      </w:tblGrid>
      <w:tr w:rsidR="008A5C92" w:rsidRPr="00C26A9B" w14:paraId="3E87385B" w14:textId="77777777" w:rsidTr="008A5C92">
        <w:tc>
          <w:tcPr>
            <w:tcW w:w="993" w:type="dxa"/>
            <w:hideMark/>
          </w:tcPr>
          <w:p w14:paraId="465D9942" w14:textId="77777777" w:rsidR="008A5C92" w:rsidRPr="00C26A9B" w:rsidRDefault="008A5C92" w:rsidP="008A5C92">
            <w:pPr>
              <w:rPr>
                <w:rFonts w:ascii="Times New Roman" w:hAnsi="Times New Roman" w:cs="Times New Roman"/>
                <w:sz w:val="24"/>
                <w:szCs w:val="24"/>
                <w:lang w:val="ro-RO"/>
              </w:rPr>
            </w:pPr>
            <w:r w:rsidRPr="00C26A9B">
              <w:rPr>
                <w:rFonts w:ascii="Times New Roman" w:hAnsi="Times New Roman" w:cs="Times New Roman"/>
                <w:sz w:val="24"/>
                <w:szCs w:val="24"/>
                <w:lang w:val="ro-RO"/>
              </w:rPr>
              <w:t>DRC</w:t>
            </w:r>
            <w:r w:rsidRPr="00C26A9B">
              <w:rPr>
                <w:rFonts w:ascii="Times New Roman" w:hAnsi="Times New Roman" w:cs="Times New Roman"/>
                <w:sz w:val="24"/>
                <w:szCs w:val="24"/>
                <w:vertAlign w:val="subscript"/>
                <w:lang w:val="ro-RO"/>
              </w:rPr>
              <w:t>ACTP</w:t>
            </w:r>
          </w:p>
        </w:tc>
        <w:tc>
          <w:tcPr>
            <w:tcW w:w="85" w:type="dxa"/>
            <w:hideMark/>
          </w:tcPr>
          <w:p w14:paraId="0FCD6301" w14:textId="77777777" w:rsidR="008A5C92" w:rsidRPr="00C26A9B" w:rsidRDefault="008A5C92" w:rsidP="008A5C92">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658" w:type="dxa"/>
            <w:hideMark/>
          </w:tcPr>
          <w:p w14:paraId="555BD1AA" w14:textId="77777777" w:rsidR="008A5C92" w:rsidRPr="00C26A9B" w:rsidRDefault="008A5C92" w:rsidP="008A5C92">
            <w:pPr>
              <w:rPr>
                <w:rFonts w:ascii="Times New Roman" w:hAnsi="Times New Roman" w:cs="Times New Roman"/>
                <w:sz w:val="24"/>
                <w:szCs w:val="24"/>
                <w:lang w:val="ro-RO"/>
              </w:rPr>
            </w:pPr>
            <w:r w:rsidRPr="00C26A9B">
              <w:rPr>
                <w:rFonts w:ascii="Times New Roman" w:hAnsi="Times New Roman" w:cs="Times New Roman"/>
                <w:sz w:val="24"/>
                <w:szCs w:val="24"/>
                <w:lang w:val="ro-RO"/>
              </w:rPr>
              <w:t>cerința de fonduri proprii pentru riscul de nerambursare aferentă ACTP; și</w:t>
            </w:r>
          </w:p>
        </w:tc>
      </w:tr>
    </w:tbl>
    <w:p w14:paraId="6489CD7A" w14:textId="77777777" w:rsidR="008A5C92" w:rsidRPr="00C26A9B" w:rsidRDefault="008A5C92" w:rsidP="008A5C92">
      <w:pPr>
        <w:rPr>
          <w:rFonts w:ascii="Times New Roman" w:hAnsi="Times New Roman" w:cs="Times New Roman"/>
          <w:vanish/>
          <w:sz w:val="24"/>
          <w:szCs w:val="24"/>
          <w:lang w:val="ro-RO"/>
        </w:rPr>
      </w:pPr>
    </w:p>
    <w:tbl>
      <w:tblPr>
        <w:tblW w:w="9498" w:type="dxa"/>
        <w:tblLayout w:type="fixed"/>
        <w:tblCellMar>
          <w:left w:w="0" w:type="dxa"/>
          <w:right w:w="0" w:type="dxa"/>
        </w:tblCellMar>
        <w:tblLook w:val="04A0" w:firstRow="1" w:lastRow="0" w:firstColumn="1" w:lastColumn="0" w:noHBand="0" w:noVBand="1"/>
      </w:tblPr>
      <w:tblGrid>
        <w:gridCol w:w="612"/>
        <w:gridCol w:w="85"/>
        <w:gridCol w:w="8801"/>
      </w:tblGrid>
      <w:tr w:rsidR="008A5C92" w:rsidRPr="00C26A9B" w14:paraId="39105EF1" w14:textId="77777777" w:rsidTr="008A5C92">
        <w:tc>
          <w:tcPr>
            <w:tcW w:w="612" w:type="dxa"/>
            <w:hideMark/>
          </w:tcPr>
          <w:p w14:paraId="159CBA08" w14:textId="77777777" w:rsidR="008A5C92" w:rsidRPr="00C26A9B" w:rsidRDefault="008A5C92" w:rsidP="008A5C92">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DRC</w:t>
            </w:r>
            <w:r w:rsidRPr="00C26A9B">
              <w:rPr>
                <w:rFonts w:ascii="Times New Roman" w:hAnsi="Times New Roman" w:cs="Times New Roman"/>
                <w:sz w:val="24"/>
                <w:szCs w:val="24"/>
                <w:vertAlign w:val="subscript"/>
                <w:lang w:val="ro-RO"/>
              </w:rPr>
              <w:t>b</w:t>
            </w:r>
            <w:proofErr w:type="spellEnd"/>
          </w:p>
        </w:tc>
        <w:tc>
          <w:tcPr>
            <w:tcW w:w="85" w:type="dxa"/>
            <w:hideMark/>
          </w:tcPr>
          <w:p w14:paraId="38999049" w14:textId="77777777" w:rsidR="008A5C92" w:rsidRPr="00C26A9B" w:rsidRDefault="008A5C92" w:rsidP="008A5C92">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8801" w:type="dxa"/>
            <w:hideMark/>
          </w:tcPr>
          <w:p w14:paraId="76411004" w14:textId="77777777" w:rsidR="008A5C92" w:rsidRPr="00C26A9B" w:rsidRDefault="008A5C92" w:rsidP="008A5C92">
            <w:pPr>
              <w:rPr>
                <w:rFonts w:ascii="Times New Roman" w:hAnsi="Times New Roman" w:cs="Times New Roman"/>
                <w:sz w:val="24"/>
                <w:szCs w:val="24"/>
                <w:lang w:val="ro-RO"/>
              </w:rPr>
            </w:pPr>
            <w:r w:rsidRPr="00C26A9B">
              <w:rPr>
                <w:rFonts w:ascii="Times New Roman" w:hAnsi="Times New Roman" w:cs="Times New Roman"/>
                <w:sz w:val="24"/>
                <w:szCs w:val="24"/>
                <w:lang w:val="ro-RO"/>
              </w:rPr>
              <w:t>cerința de fonduri proprii pentru riscul de nerambursare aferentă benzii „b”.</w:t>
            </w:r>
          </w:p>
        </w:tc>
      </w:tr>
    </w:tbl>
    <w:p w14:paraId="0BF27D9F" w14:textId="77777777" w:rsidR="001E3EB2" w:rsidRPr="00C26A9B" w:rsidRDefault="001E3EB2" w:rsidP="001E3EB2">
      <w:pPr>
        <w:rPr>
          <w:rFonts w:ascii="Times New Roman" w:hAnsi="Times New Roman" w:cs="Times New Roman"/>
          <w:b/>
          <w:bCs/>
          <w:sz w:val="24"/>
          <w:szCs w:val="24"/>
          <w:lang w:val="ro-RO"/>
        </w:rPr>
      </w:pPr>
      <w:bookmarkStart w:id="33" w:name="_Hlk195097660"/>
    </w:p>
    <w:p w14:paraId="4A454E48" w14:textId="613D6903" w:rsidR="001E3EB2" w:rsidRPr="00C26A9B" w:rsidRDefault="001E3EB2" w:rsidP="001E3EB2">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Secțiunea 6. Ponderi de risc și corelații</w:t>
      </w:r>
    </w:p>
    <w:p w14:paraId="23460E70" w14:textId="2660150B" w:rsidR="001E3EB2" w:rsidRPr="00CC1E9B" w:rsidRDefault="001E3EB2" w:rsidP="001E3EB2">
      <w:pPr>
        <w:rPr>
          <w:rFonts w:ascii="Times New Roman" w:hAnsi="Times New Roman" w:cs="Times New Roman"/>
          <w:b/>
          <w:bCs/>
          <w:i/>
          <w:iCs/>
          <w:sz w:val="24"/>
          <w:szCs w:val="24"/>
          <w:lang w:val="ro-RO"/>
        </w:rPr>
      </w:pPr>
      <w:r w:rsidRPr="00CC1E9B">
        <w:rPr>
          <w:rFonts w:ascii="Times New Roman" w:hAnsi="Times New Roman" w:cs="Times New Roman"/>
          <w:b/>
          <w:bCs/>
          <w:i/>
          <w:iCs/>
          <w:sz w:val="24"/>
          <w:szCs w:val="24"/>
          <w:lang w:val="ro-RO"/>
        </w:rPr>
        <w:t>Subsecțiunea 1. Ponderi de risc și corelații delta</w:t>
      </w:r>
    </w:p>
    <w:p w14:paraId="47AB9C37" w14:textId="51A4AA84" w:rsidR="008A5C92" w:rsidRPr="00C26A9B" w:rsidRDefault="001E3EB2" w:rsidP="001E3EB2">
      <w:pPr>
        <w:rPr>
          <w:rFonts w:ascii="Times New Roman" w:hAnsi="Times New Roman" w:cs="Times New Roman"/>
          <w:b/>
          <w:bCs/>
          <w:sz w:val="24"/>
          <w:szCs w:val="24"/>
          <w:lang w:val="ro-RO"/>
        </w:rPr>
      </w:pPr>
      <w:r w:rsidRPr="00C26A9B">
        <w:rPr>
          <w:rFonts w:ascii="Times New Roman" w:hAnsi="Times New Roman" w:cs="Times New Roman"/>
          <w:i/>
          <w:iCs/>
          <w:sz w:val="24"/>
          <w:szCs w:val="24"/>
          <w:lang w:val="ro-RO"/>
        </w:rPr>
        <w:t xml:space="preserve">Paragraful 1. </w:t>
      </w:r>
      <w:r w:rsidRPr="00C26A9B">
        <w:rPr>
          <w:rFonts w:ascii="Times New Roman" w:hAnsi="Times New Roman" w:cs="Times New Roman"/>
          <w:b/>
          <w:bCs/>
          <w:sz w:val="24"/>
          <w:szCs w:val="24"/>
          <w:lang w:val="ro-RO"/>
        </w:rPr>
        <w:t>Ponderi de risc pentru riscul general de rată a dobânzii</w:t>
      </w:r>
      <w:bookmarkEnd w:id="33"/>
    </w:p>
    <w:p w14:paraId="320E3B0D" w14:textId="17B4E0BD" w:rsidR="001E3EB2" w:rsidRPr="00C26A9B" w:rsidRDefault="001E3EB2" w:rsidP="001E3EB2">
      <w:pPr>
        <w:rPr>
          <w:rFonts w:ascii="Times New Roman" w:hAnsi="Times New Roman" w:cs="Times New Roman"/>
          <w:sz w:val="24"/>
          <w:szCs w:val="24"/>
          <w:lang w:val="ro-RO"/>
        </w:rPr>
      </w:pPr>
      <w:r w:rsidRPr="00C26A9B">
        <w:rPr>
          <w:rFonts w:ascii="Times New Roman" w:hAnsi="Times New Roman" w:cs="Times New Roman"/>
          <w:sz w:val="24"/>
          <w:szCs w:val="24"/>
          <w:lang w:val="ro-RO"/>
        </w:rPr>
        <w:t>269.   Pentru monedele care nu sunt incluse în subcategoria celei mai lichide monede, astfel cum se menționează la</w:t>
      </w:r>
      <w:r w:rsidR="00421206">
        <w:rPr>
          <w:rFonts w:ascii="Times New Roman" w:hAnsi="Times New Roman" w:cs="Times New Roman"/>
          <w:sz w:val="24"/>
          <w:szCs w:val="24"/>
          <w:lang w:val="ro-RO"/>
        </w:rPr>
        <w:t xml:space="preserve"> subpct.361.2</w:t>
      </w:r>
      <w:r w:rsidRPr="00C26A9B">
        <w:rPr>
          <w:rFonts w:ascii="Times New Roman" w:hAnsi="Times New Roman" w:cs="Times New Roman"/>
          <w:sz w:val="24"/>
          <w:szCs w:val="24"/>
          <w:lang w:val="ro-RO"/>
        </w:rPr>
        <w:t>, ponderile de risc ale sensibilităților la factorii de risc aferenți ratei fără risc sunt următoarele:</w:t>
      </w:r>
    </w:p>
    <w:p w14:paraId="1DEF19E7" w14:textId="66FC23E2" w:rsidR="001E3EB2" w:rsidRPr="00C26A9B" w:rsidRDefault="001E3EB2" w:rsidP="001E3EB2">
      <w:pPr>
        <w:rPr>
          <w:rFonts w:ascii="Times New Roman" w:hAnsi="Times New Roman" w:cs="Times New Roman"/>
          <w:b/>
          <w:bCs/>
          <w:i/>
          <w:iCs/>
          <w:sz w:val="24"/>
          <w:szCs w:val="24"/>
          <w:lang w:val="ro-RO"/>
        </w:rPr>
      </w:pPr>
      <w:r w:rsidRPr="00C26A9B">
        <w:rPr>
          <w:rFonts w:ascii="Times New Roman" w:hAnsi="Times New Roman" w:cs="Times New Roman"/>
          <w:b/>
          <w:bCs/>
          <w:i/>
          <w:iCs/>
          <w:sz w:val="24"/>
          <w:szCs w:val="24"/>
          <w:lang w:val="ro-RO"/>
        </w:rPr>
        <w:t>Tabelul 3</w:t>
      </w:r>
    </w:p>
    <w:tbl>
      <w:tblPr>
        <w:tblW w:w="3600" w:type="dxa"/>
        <w:tblInd w:w="-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18"/>
        <w:gridCol w:w="1012"/>
        <w:gridCol w:w="1870"/>
      </w:tblGrid>
      <w:tr w:rsidR="001E3EB2" w:rsidRPr="00C26A9B" w14:paraId="0C82E5AB" w14:textId="77777777" w:rsidTr="001E3EB2">
        <w:tc>
          <w:tcPr>
            <w:tcW w:w="7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52D45A" w14:textId="77777777" w:rsidR="001E3EB2" w:rsidRPr="00C26A9B" w:rsidRDefault="001E3EB2" w:rsidP="001E3EB2">
            <w:pPr>
              <w:spacing w:after="0" w:line="276" w:lineRule="auto"/>
              <w:jc w:val="both"/>
              <w:rPr>
                <w:rFonts w:ascii="Times New Roman" w:hAnsi="Times New Roman" w:cs="Times New Roman"/>
                <w:b/>
                <w:bCs/>
                <w:color w:val="000000" w:themeColor="text1"/>
                <w:kern w:val="0"/>
                <w:lang w:val="ro-RO"/>
                <w14:ligatures w14:val="none"/>
              </w:rPr>
            </w:pPr>
            <w:r w:rsidRPr="00C26A9B">
              <w:rPr>
                <w:rFonts w:ascii="Times New Roman" w:hAnsi="Times New Roman" w:cs="Times New Roman"/>
                <w:b/>
                <w:bCs/>
                <w:color w:val="000000" w:themeColor="text1"/>
                <w:kern w:val="0"/>
                <w:lang w:val="ro-RO"/>
                <w14:ligatures w14:val="none"/>
              </w:rPr>
              <w:lastRenderedPageBreak/>
              <w:t>Banda</w:t>
            </w:r>
          </w:p>
        </w:tc>
        <w:tc>
          <w:tcPr>
            <w:tcW w:w="10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A963F9" w14:textId="77777777" w:rsidR="001E3EB2" w:rsidRPr="00C26A9B" w:rsidRDefault="001E3EB2" w:rsidP="001E3EB2">
            <w:pPr>
              <w:spacing w:after="0" w:line="276" w:lineRule="auto"/>
              <w:jc w:val="both"/>
              <w:rPr>
                <w:rFonts w:ascii="Times New Roman" w:hAnsi="Times New Roman" w:cs="Times New Roman"/>
                <w:b/>
                <w:bCs/>
                <w:color w:val="000000" w:themeColor="text1"/>
                <w:kern w:val="0"/>
                <w:lang w:val="ro-RO"/>
                <w14:ligatures w14:val="none"/>
              </w:rPr>
            </w:pPr>
            <w:r w:rsidRPr="00C26A9B">
              <w:rPr>
                <w:rFonts w:ascii="Times New Roman" w:hAnsi="Times New Roman" w:cs="Times New Roman"/>
                <w:b/>
                <w:bCs/>
                <w:color w:val="000000" w:themeColor="text1"/>
                <w:kern w:val="0"/>
                <w:lang w:val="ro-RO"/>
                <w14:ligatures w14:val="none"/>
              </w:rPr>
              <w:t>Scadența</w:t>
            </w:r>
          </w:p>
        </w:tc>
        <w:tc>
          <w:tcPr>
            <w:tcW w:w="1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6D3B26" w14:textId="77777777" w:rsidR="001E3EB2" w:rsidRPr="00C26A9B" w:rsidRDefault="001E3EB2" w:rsidP="001E3EB2">
            <w:pPr>
              <w:spacing w:after="0" w:line="276" w:lineRule="auto"/>
              <w:jc w:val="both"/>
              <w:rPr>
                <w:rFonts w:ascii="Times New Roman" w:hAnsi="Times New Roman" w:cs="Times New Roman"/>
                <w:b/>
                <w:bCs/>
                <w:color w:val="000000" w:themeColor="text1"/>
                <w:kern w:val="0"/>
                <w:lang w:val="ro-RO"/>
                <w14:ligatures w14:val="none"/>
              </w:rPr>
            </w:pPr>
            <w:r w:rsidRPr="00C26A9B">
              <w:rPr>
                <w:rFonts w:ascii="Times New Roman" w:hAnsi="Times New Roman" w:cs="Times New Roman"/>
                <w:b/>
                <w:bCs/>
                <w:color w:val="000000" w:themeColor="text1"/>
                <w:kern w:val="0"/>
                <w:lang w:val="ro-RO"/>
                <w14:ligatures w14:val="none"/>
              </w:rPr>
              <w:t>Ponderea de risc</w:t>
            </w:r>
          </w:p>
        </w:tc>
      </w:tr>
      <w:tr w:rsidR="001E3EB2" w:rsidRPr="00C26A9B" w14:paraId="694FC315" w14:textId="77777777" w:rsidTr="001E3EB2">
        <w:tc>
          <w:tcPr>
            <w:tcW w:w="7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B181D4"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1</w:t>
            </w:r>
          </w:p>
        </w:tc>
        <w:tc>
          <w:tcPr>
            <w:tcW w:w="10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CE5809"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0,25 ani</w:t>
            </w:r>
          </w:p>
        </w:tc>
        <w:tc>
          <w:tcPr>
            <w:tcW w:w="1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14500D"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1,7 %</w:t>
            </w:r>
          </w:p>
        </w:tc>
      </w:tr>
      <w:tr w:rsidR="001E3EB2" w:rsidRPr="00C26A9B" w14:paraId="48A746CD" w14:textId="77777777" w:rsidTr="001E3EB2">
        <w:tc>
          <w:tcPr>
            <w:tcW w:w="7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FBFDF5"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2</w:t>
            </w:r>
          </w:p>
        </w:tc>
        <w:tc>
          <w:tcPr>
            <w:tcW w:w="10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4A671C"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0,5 ani</w:t>
            </w:r>
          </w:p>
        </w:tc>
        <w:tc>
          <w:tcPr>
            <w:tcW w:w="1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628578"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1,7 %</w:t>
            </w:r>
          </w:p>
        </w:tc>
      </w:tr>
      <w:tr w:rsidR="001E3EB2" w:rsidRPr="00C26A9B" w14:paraId="515917ED" w14:textId="77777777" w:rsidTr="001E3EB2">
        <w:tc>
          <w:tcPr>
            <w:tcW w:w="7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540A34"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3</w:t>
            </w:r>
          </w:p>
        </w:tc>
        <w:tc>
          <w:tcPr>
            <w:tcW w:w="10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183DAA"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1 an</w:t>
            </w:r>
          </w:p>
        </w:tc>
        <w:tc>
          <w:tcPr>
            <w:tcW w:w="1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027541"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1,6 %</w:t>
            </w:r>
          </w:p>
        </w:tc>
      </w:tr>
      <w:tr w:rsidR="001E3EB2" w:rsidRPr="00C26A9B" w14:paraId="5D020DE4" w14:textId="77777777" w:rsidTr="001E3EB2">
        <w:tc>
          <w:tcPr>
            <w:tcW w:w="7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F7CCB7"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4</w:t>
            </w:r>
          </w:p>
        </w:tc>
        <w:tc>
          <w:tcPr>
            <w:tcW w:w="10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757EB7"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2 ani</w:t>
            </w:r>
          </w:p>
        </w:tc>
        <w:tc>
          <w:tcPr>
            <w:tcW w:w="1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8B2473"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1,3 %</w:t>
            </w:r>
          </w:p>
        </w:tc>
      </w:tr>
      <w:tr w:rsidR="001E3EB2" w:rsidRPr="00C26A9B" w14:paraId="2C1F942A" w14:textId="77777777" w:rsidTr="001E3EB2">
        <w:tc>
          <w:tcPr>
            <w:tcW w:w="7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DBD3EC"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5</w:t>
            </w:r>
          </w:p>
        </w:tc>
        <w:tc>
          <w:tcPr>
            <w:tcW w:w="10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5DD462"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3 ani</w:t>
            </w:r>
          </w:p>
        </w:tc>
        <w:tc>
          <w:tcPr>
            <w:tcW w:w="1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A990AA"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1,2 %</w:t>
            </w:r>
          </w:p>
        </w:tc>
      </w:tr>
      <w:tr w:rsidR="001E3EB2" w:rsidRPr="00C26A9B" w14:paraId="232E1F99" w14:textId="77777777" w:rsidTr="001E3EB2">
        <w:tc>
          <w:tcPr>
            <w:tcW w:w="7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83D0E5"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6</w:t>
            </w:r>
          </w:p>
        </w:tc>
        <w:tc>
          <w:tcPr>
            <w:tcW w:w="10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F1BF87"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5 ani</w:t>
            </w:r>
          </w:p>
        </w:tc>
        <w:tc>
          <w:tcPr>
            <w:tcW w:w="1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4D6BD2"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1,1 %</w:t>
            </w:r>
          </w:p>
        </w:tc>
      </w:tr>
      <w:tr w:rsidR="001E3EB2" w:rsidRPr="00C26A9B" w14:paraId="2C69D54C" w14:textId="77777777" w:rsidTr="001E3EB2">
        <w:tc>
          <w:tcPr>
            <w:tcW w:w="7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7EEEEC"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7</w:t>
            </w:r>
          </w:p>
        </w:tc>
        <w:tc>
          <w:tcPr>
            <w:tcW w:w="10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A0B25F"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10 ani</w:t>
            </w:r>
          </w:p>
        </w:tc>
        <w:tc>
          <w:tcPr>
            <w:tcW w:w="1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E7A9CD"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1,1 %</w:t>
            </w:r>
          </w:p>
        </w:tc>
      </w:tr>
      <w:tr w:rsidR="001E3EB2" w:rsidRPr="00C26A9B" w14:paraId="561D556E" w14:textId="77777777" w:rsidTr="001E3EB2">
        <w:tc>
          <w:tcPr>
            <w:tcW w:w="7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288472"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8</w:t>
            </w:r>
          </w:p>
        </w:tc>
        <w:tc>
          <w:tcPr>
            <w:tcW w:w="10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6E0053"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15 ani</w:t>
            </w:r>
          </w:p>
        </w:tc>
        <w:tc>
          <w:tcPr>
            <w:tcW w:w="1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0F542F"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1,1 %</w:t>
            </w:r>
          </w:p>
        </w:tc>
      </w:tr>
      <w:tr w:rsidR="001E3EB2" w:rsidRPr="00C26A9B" w14:paraId="0A725FCE" w14:textId="77777777" w:rsidTr="001E3EB2">
        <w:tc>
          <w:tcPr>
            <w:tcW w:w="7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634C4E"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9</w:t>
            </w:r>
          </w:p>
        </w:tc>
        <w:tc>
          <w:tcPr>
            <w:tcW w:w="10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732308"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20 de ani</w:t>
            </w:r>
          </w:p>
        </w:tc>
        <w:tc>
          <w:tcPr>
            <w:tcW w:w="1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13A374"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1,1 %</w:t>
            </w:r>
          </w:p>
        </w:tc>
      </w:tr>
      <w:tr w:rsidR="001E3EB2" w:rsidRPr="00C26A9B" w14:paraId="6C93FA7A" w14:textId="77777777" w:rsidTr="001E3EB2">
        <w:tc>
          <w:tcPr>
            <w:tcW w:w="7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D210F7"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10</w:t>
            </w:r>
          </w:p>
        </w:tc>
        <w:tc>
          <w:tcPr>
            <w:tcW w:w="101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E1B73B"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30 de ani</w:t>
            </w:r>
          </w:p>
        </w:tc>
        <w:tc>
          <w:tcPr>
            <w:tcW w:w="18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3F5B06" w14:textId="77777777" w:rsidR="001E3EB2" w:rsidRPr="00C26A9B" w:rsidRDefault="001E3EB2" w:rsidP="001E3EB2">
            <w:pPr>
              <w:spacing w:after="0" w:line="276" w:lineRule="auto"/>
              <w:jc w:val="both"/>
              <w:rPr>
                <w:rFonts w:ascii="Times New Roman" w:hAnsi="Times New Roman" w:cs="Times New Roman"/>
                <w:color w:val="000000" w:themeColor="text1"/>
                <w:kern w:val="0"/>
                <w:lang w:val="ro-RO"/>
                <w14:ligatures w14:val="none"/>
              </w:rPr>
            </w:pPr>
            <w:r w:rsidRPr="00C26A9B">
              <w:rPr>
                <w:rFonts w:ascii="Times New Roman" w:hAnsi="Times New Roman" w:cs="Times New Roman"/>
                <w:color w:val="000000" w:themeColor="text1"/>
                <w:kern w:val="0"/>
                <w:lang w:val="ro-RO"/>
                <w14:ligatures w14:val="none"/>
              </w:rPr>
              <w:t>1,1 %</w:t>
            </w:r>
          </w:p>
        </w:tc>
      </w:tr>
    </w:tbl>
    <w:p w14:paraId="3E096C4F" w14:textId="77777777" w:rsidR="001E3EB2" w:rsidRPr="00C26A9B" w:rsidRDefault="001E3EB2" w:rsidP="001E3EB2">
      <w:pPr>
        <w:rPr>
          <w:rFonts w:ascii="Times New Roman" w:hAnsi="Times New Roman" w:cs="Times New Roman"/>
          <w:sz w:val="24"/>
          <w:szCs w:val="24"/>
          <w:lang w:val="ro-RO"/>
        </w:rPr>
      </w:pPr>
    </w:p>
    <w:p w14:paraId="7A62ADA8" w14:textId="12D9867F" w:rsidR="001E3EB2" w:rsidRPr="00C26A9B" w:rsidRDefault="001E3EB2" w:rsidP="001E3EB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270.   Băncile aplică o pondere de risc de 1,6 % tuturor sensibilităților la inflație și factorilor de risc de bază </w:t>
      </w:r>
      <w:proofErr w:type="spellStart"/>
      <w:r w:rsidRPr="00C26A9B">
        <w:rPr>
          <w:rFonts w:ascii="Times New Roman" w:hAnsi="Times New Roman" w:cs="Times New Roman"/>
          <w:sz w:val="24"/>
          <w:szCs w:val="24"/>
          <w:lang w:val="ro-RO"/>
        </w:rPr>
        <w:t>intervalutară</w:t>
      </w:r>
      <w:proofErr w:type="spellEnd"/>
      <w:r w:rsidRPr="00C26A9B">
        <w:rPr>
          <w:rFonts w:ascii="Times New Roman" w:hAnsi="Times New Roman" w:cs="Times New Roman"/>
          <w:sz w:val="24"/>
          <w:szCs w:val="24"/>
          <w:lang w:val="ro-RO"/>
        </w:rPr>
        <w:t>.</w:t>
      </w:r>
    </w:p>
    <w:p w14:paraId="77AF15F0" w14:textId="111E69BC" w:rsidR="001E3EB2" w:rsidRPr="00C26A9B" w:rsidRDefault="001E3EB2" w:rsidP="001E3EB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271.  Ponderile de risc ale factorilor de risc în funcție de monedele incluse în subcategoria „Cele mai lichide monede”, astfel cum se menționează la </w:t>
      </w:r>
      <w:r w:rsidR="00421206" w:rsidRPr="00421206">
        <w:rPr>
          <w:rFonts w:ascii="Times New Roman" w:hAnsi="Times New Roman" w:cs="Times New Roman"/>
          <w:sz w:val="24"/>
          <w:szCs w:val="24"/>
          <w:lang w:val="ro-RO"/>
        </w:rPr>
        <w:t>subpct.361.2</w:t>
      </w:r>
      <w:r w:rsidRPr="00C26A9B">
        <w:rPr>
          <w:rFonts w:ascii="Times New Roman" w:hAnsi="Times New Roman" w:cs="Times New Roman"/>
          <w:sz w:val="24"/>
          <w:szCs w:val="24"/>
          <w:lang w:val="ro-RO"/>
        </w:rPr>
        <w:t>, și de moneda națională a băncii sunt următoarele:</w:t>
      </w:r>
    </w:p>
    <w:p w14:paraId="12E99A91" w14:textId="77777777" w:rsidR="001E3EB2" w:rsidRPr="00C26A9B" w:rsidRDefault="001E3EB2" w:rsidP="001E3EB2">
      <w:pPr>
        <w:rPr>
          <w:rFonts w:ascii="Times New Roman" w:hAnsi="Times New Roman" w:cs="Times New Roman"/>
          <w:sz w:val="24"/>
          <w:szCs w:val="24"/>
          <w:lang w:val="ro-RO"/>
        </w:rPr>
      </w:pPr>
      <w:r w:rsidRPr="00C26A9B">
        <w:rPr>
          <w:rFonts w:ascii="Times New Roman" w:hAnsi="Times New Roman" w:cs="Times New Roman"/>
          <w:sz w:val="24"/>
          <w:szCs w:val="24"/>
          <w:lang w:val="ro-RO"/>
        </w:rPr>
        <w:t>271.1. pentru factorii de risc aferenți ratei fără risc, ponderile de risc menționate lapct.269 tabelul 3 de la prezentul paragraf împărțite la </w:t>
      </w:r>
      <w:r w:rsidRPr="00C26A9B">
        <w:rPr>
          <w:rFonts w:ascii="Times New Roman" w:hAnsi="Times New Roman" w:cs="Times New Roman"/>
          <w:noProof/>
          <w:sz w:val="24"/>
          <w:szCs w:val="24"/>
          <w:lang w:val="ro-RO"/>
        </w:rPr>
        <w:drawing>
          <wp:inline distT="0" distB="0" distL="0" distR="0" wp14:anchorId="49550638" wp14:editId="2F348F22">
            <wp:extent cx="279400" cy="273050"/>
            <wp:effectExtent l="0" t="0" r="6350" b="0"/>
            <wp:docPr id="158" name="Picture 15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9400" cy="273050"/>
                    </a:xfrm>
                    <a:prstGeom prst="rect">
                      <a:avLst/>
                    </a:prstGeom>
                    <a:noFill/>
                    <a:ln>
                      <a:noFill/>
                    </a:ln>
                  </pic:spPr>
                </pic:pic>
              </a:graphicData>
            </a:graphic>
          </wp:inline>
        </w:drawing>
      </w:r>
      <w:r w:rsidRPr="00C26A9B">
        <w:rPr>
          <w:rFonts w:ascii="Times New Roman" w:hAnsi="Times New Roman" w:cs="Times New Roman"/>
          <w:sz w:val="24"/>
          <w:szCs w:val="24"/>
          <w:lang w:val="ro-RO"/>
        </w:rPr>
        <w:t>;</w:t>
      </w:r>
    </w:p>
    <w:p w14:paraId="659AB324" w14:textId="26DB6240" w:rsidR="001E3EB2" w:rsidRPr="00C26A9B" w:rsidRDefault="001E3EB2" w:rsidP="001E3EB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271.2. pentru factorii de risc de inflație și factorii de risc de bază </w:t>
      </w:r>
      <w:proofErr w:type="spellStart"/>
      <w:r w:rsidRPr="00C26A9B">
        <w:rPr>
          <w:rFonts w:ascii="Times New Roman" w:hAnsi="Times New Roman" w:cs="Times New Roman"/>
          <w:sz w:val="24"/>
          <w:szCs w:val="24"/>
          <w:lang w:val="ro-RO"/>
        </w:rPr>
        <w:t>intervalutară</w:t>
      </w:r>
      <w:proofErr w:type="spellEnd"/>
      <w:r w:rsidRPr="00C26A9B">
        <w:rPr>
          <w:rFonts w:ascii="Times New Roman" w:hAnsi="Times New Roman" w:cs="Times New Roman"/>
          <w:sz w:val="24"/>
          <w:szCs w:val="24"/>
          <w:lang w:val="ro-RO"/>
        </w:rPr>
        <w:t>, ponderile de risc menționate la pct.270 de la prezentul paragraf împărțite la </w:t>
      </w:r>
      <w:r w:rsidRPr="00C26A9B">
        <w:rPr>
          <w:rFonts w:ascii="Times New Roman" w:hAnsi="Times New Roman" w:cs="Times New Roman"/>
          <w:noProof/>
          <w:sz w:val="24"/>
          <w:szCs w:val="24"/>
          <w:lang w:val="ro-RO"/>
        </w:rPr>
        <w:drawing>
          <wp:inline distT="0" distB="0" distL="0" distR="0" wp14:anchorId="6C125A09" wp14:editId="6277F666">
            <wp:extent cx="279400" cy="273050"/>
            <wp:effectExtent l="0" t="0" r="6350" b="0"/>
            <wp:docPr id="159" name="Picture 15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9400" cy="273050"/>
                    </a:xfrm>
                    <a:prstGeom prst="rect">
                      <a:avLst/>
                    </a:prstGeom>
                    <a:noFill/>
                    <a:ln>
                      <a:noFill/>
                    </a:ln>
                  </pic:spPr>
                </pic:pic>
              </a:graphicData>
            </a:graphic>
          </wp:inline>
        </w:drawing>
      </w:r>
      <w:r w:rsidRPr="00C26A9B">
        <w:rPr>
          <w:rFonts w:ascii="Times New Roman" w:hAnsi="Times New Roman" w:cs="Times New Roman"/>
          <w:sz w:val="24"/>
          <w:szCs w:val="24"/>
          <w:lang w:val="ro-RO"/>
        </w:rPr>
        <w:t>.</w:t>
      </w:r>
    </w:p>
    <w:p w14:paraId="12E78EF4" w14:textId="580518FC" w:rsidR="00E169D0" w:rsidRPr="00C26A9B" w:rsidRDefault="00E169D0" w:rsidP="001E3EB2">
      <w:pPr>
        <w:rPr>
          <w:rFonts w:ascii="Times New Roman" w:hAnsi="Times New Roman" w:cs="Times New Roman"/>
          <w:b/>
          <w:bCs/>
          <w:sz w:val="24"/>
          <w:szCs w:val="24"/>
          <w:lang w:val="ro-RO"/>
        </w:rPr>
      </w:pPr>
      <w:bookmarkStart w:id="34" w:name="_Hlk195097703"/>
      <w:r w:rsidRPr="00C26A9B">
        <w:rPr>
          <w:rFonts w:ascii="Times New Roman" w:hAnsi="Times New Roman" w:cs="Times New Roman"/>
          <w:i/>
          <w:iCs/>
          <w:sz w:val="24"/>
          <w:szCs w:val="24"/>
          <w:lang w:val="ro-RO"/>
        </w:rPr>
        <w:t xml:space="preserve">Paragraful 2. </w:t>
      </w:r>
      <w:r w:rsidRPr="00C26A9B">
        <w:rPr>
          <w:rFonts w:ascii="Times New Roman" w:hAnsi="Times New Roman" w:cs="Times New Roman"/>
          <w:b/>
          <w:bCs/>
          <w:sz w:val="24"/>
          <w:szCs w:val="24"/>
          <w:lang w:val="ro-RO"/>
        </w:rPr>
        <w:t>Corelațiile din cadrul unei benzi pentru riscul general de rată a dobânzii</w:t>
      </w:r>
      <w:bookmarkEnd w:id="34"/>
    </w:p>
    <w:p w14:paraId="2D706813" w14:textId="2B3DE322" w:rsidR="00E169D0" w:rsidRPr="00C26A9B" w:rsidRDefault="00E169D0" w:rsidP="001E3EB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272.  Între două sensibilități ponderate ale factorilor </w:t>
      </w:r>
      <w:proofErr w:type="spellStart"/>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k</w:t>
      </w:r>
      <w:proofErr w:type="spellEnd"/>
      <w:r w:rsidRPr="00C26A9B">
        <w:rPr>
          <w:rFonts w:ascii="Times New Roman" w:hAnsi="Times New Roman" w:cs="Times New Roman"/>
          <w:sz w:val="24"/>
          <w:szCs w:val="24"/>
          <w:lang w:val="ro-RO"/>
        </w:rPr>
        <w:t xml:space="preserve"> și </w:t>
      </w:r>
      <w:proofErr w:type="spellStart"/>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l</w:t>
      </w:r>
      <w:proofErr w:type="spellEnd"/>
      <w:r w:rsidRPr="00C26A9B">
        <w:rPr>
          <w:rFonts w:ascii="Times New Roman" w:hAnsi="Times New Roman" w:cs="Times New Roman"/>
          <w:sz w:val="24"/>
          <w:szCs w:val="24"/>
          <w:lang w:val="ro-RO"/>
        </w:rPr>
        <w:t xml:space="preserve"> de risc general de rată a dobânzii din cadrul aceleiași benzi și cu aceeași scadență atribuită, dar care corespund unor curbe diferite, corelația </w:t>
      </w:r>
      <w:proofErr w:type="spellStart"/>
      <w:r w:rsidRPr="00C26A9B">
        <w:rPr>
          <w:rFonts w:ascii="Times New Roman" w:hAnsi="Times New Roman" w:cs="Times New Roman"/>
          <w:sz w:val="24"/>
          <w:szCs w:val="24"/>
          <w:lang w:val="ro-RO"/>
        </w:rPr>
        <w:t>ρkl</w:t>
      </w:r>
      <w:proofErr w:type="spellEnd"/>
      <w:r w:rsidRPr="00C26A9B">
        <w:rPr>
          <w:rFonts w:ascii="Times New Roman" w:hAnsi="Times New Roman" w:cs="Times New Roman"/>
          <w:sz w:val="24"/>
          <w:szCs w:val="24"/>
          <w:lang w:val="ro-RO"/>
        </w:rPr>
        <w:t xml:space="preserve"> este de 99,90 %.</w:t>
      </w:r>
    </w:p>
    <w:p w14:paraId="1DD22D28" w14:textId="77777777" w:rsidR="00E169D0" w:rsidRPr="00C26A9B" w:rsidRDefault="00E169D0" w:rsidP="00E169D0">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273.   Între două sensibilități ponderate ale factorilor </w:t>
      </w:r>
      <w:proofErr w:type="spellStart"/>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k</w:t>
      </w:r>
      <w:proofErr w:type="spellEnd"/>
      <w:r w:rsidRPr="00C26A9B">
        <w:rPr>
          <w:rFonts w:ascii="Times New Roman" w:hAnsi="Times New Roman" w:cs="Times New Roman"/>
          <w:sz w:val="24"/>
          <w:szCs w:val="24"/>
          <w:lang w:val="ro-RO"/>
        </w:rPr>
        <w:t xml:space="preserve"> și </w:t>
      </w:r>
      <w:proofErr w:type="spellStart"/>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l</w:t>
      </w:r>
      <w:proofErr w:type="spellEnd"/>
      <w:r w:rsidRPr="00C26A9B">
        <w:rPr>
          <w:rFonts w:ascii="Times New Roman" w:hAnsi="Times New Roman" w:cs="Times New Roman"/>
          <w:sz w:val="24"/>
          <w:szCs w:val="24"/>
          <w:lang w:val="ro-RO"/>
        </w:rPr>
        <w:t> de risc general de rată a dobânzii din cadrul aceleiași benzi, care corespund aceleiași curbe, dar au scadențe diferite, corelația se stabilește în conformitate cu următoarea formulă:</w:t>
      </w:r>
    </w:p>
    <w:p w14:paraId="231B2502" w14:textId="77777777" w:rsidR="00E169D0" w:rsidRPr="00C26A9B" w:rsidRDefault="00E169D0" w:rsidP="00E169D0">
      <w:pPr>
        <w:rPr>
          <w:rFonts w:ascii="Times New Roman" w:hAnsi="Times New Roman" w:cs="Times New Roman"/>
          <w:sz w:val="24"/>
          <w:szCs w:val="24"/>
          <w:lang w:val="ro-RO"/>
        </w:rPr>
      </w:pPr>
      <w:r w:rsidRPr="00C26A9B">
        <w:rPr>
          <w:rFonts w:ascii="Times New Roman" w:hAnsi="Times New Roman" w:cs="Times New Roman"/>
          <w:noProof/>
          <w:sz w:val="24"/>
          <w:szCs w:val="24"/>
          <w:lang w:val="ro-RO"/>
        </w:rPr>
        <w:drawing>
          <wp:inline distT="0" distB="0" distL="0" distR="0" wp14:anchorId="373F499A" wp14:editId="11F77C61">
            <wp:extent cx="2927350" cy="793750"/>
            <wp:effectExtent l="0" t="0" r="6350" b="6350"/>
            <wp:docPr id="160" name="Picture 16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imag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927350" cy="793750"/>
                    </a:xfrm>
                    <a:prstGeom prst="rect">
                      <a:avLst/>
                    </a:prstGeom>
                    <a:noFill/>
                    <a:ln>
                      <a:noFill/>
                    </a:ln>
                  </pic:spPr>
                </pic:pic>
              </a:graphicData>
            </a:graphic>
          </wp:inline>
        </w:drawing>
      </w:r>
    </w:p>
    <w:p w14:paraId="63679085" w14:textId="77777777" w:rsidR="00E169D0" w:rsidRPr="00C26A9B" w:rsidRDefault="00E169D0" w:rsidP="00E169D0">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tbl>
      <w:tblPr>
        <w:tblW w:w="6192" w:type="dxa"/>
        <w:tblLayout w:type="fixed"/>
        <w:tblCellMar>
          <w:left w:w="0" w:type="dxa"/>
          <w:right w:w="0" w:type="dxa"/>
        </w:tblCellMar>
        <w:tblLook w:val="04A0" w:firstRow="1" w:lastRow="0" w:firstColumn="1" w:lastColumn="0" w:noHBand="0" w:noVBand="1"/>
      </w:tblPr>
      <w:tblGrid>
        <w:gridCol w:w="1985"/>
        <w:gridCol w:w="119"/>
        <w:gridCol w:w="4088"/>
      </w:tblGrid>
      <w:tr w:rsidR="00E169D0" w:rsidRPr="00C26A9B" w14:paraId="59734E64" w14:textId="77777777" w:rsidTr="00E169D0">
        <w:tc>
          <w:tcPr>
            <w:tcW w:w="1985" w:type="dxa"/>
            <w:hideMark/>
          </w:tcPr>
          <w:p w14:paraId="17203382" w14:textId="77777777" w:rsidR="00E169D0" w:rsidRPr="00C26A9B" w:rsidRDefault="00E169D0" w:rsidP="00E169D0">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T</w:t>
            </w:r>
            <w:r w:rsidRPr="00C26A9B">
              <w:rPr>
                <w:rFonts w:ascii="Times New Roman" w:hAnsi="Times New Roman" w:cs="Times New Roman"/>
                <w:sz w:val="24"/>
                <w:szCs w:val="24"/>
                <w:vertAlign w:val="subscript"/>
                <w:lang w:val="ro-RO"/>
              </w:rPr>
              <w:t>k</w:t>
            </w:r>
            <w:proofErr w:type="spellEnd"/>
            <w:r w:rsidRPr="00C26A9B">
              <w:rPr>
                <w:rFonts w:ascii="Times New Roman" w:hAnsi="Times New Roman" w:cs="Times New Roman"/>
                <w:sz w:val="24"/>
                <w:szCs w:val="24"/>
                <w:lang w:val="ro-RO"/>
              </w:rPr>
              <w:t> (</w:t>
            </w:r>
            <w:proofErr w:type="spellStart"/>
            <w:r w:rsidRPr="00C26A9B">
              <w:rPr>
                <w:rFonts w:ascii="Times New Roman" w:hAnsi="Times New Roman" w:cs="Times New Roman"/>
                <w:sz w:val="24"/>
                <w:szCs w:val="24"/>
                <w:lang w:val="ro-RO"/>
              </w:rPr>
              <w:t>respectivT</w:t>
            </w:r>
            <w:r w:rsidRPr="00C26A9B">
              <w:rPr>
                <w:rFonts w:ascii="Times New Roman" w:hAnsi="Times New Roman" w:cs="Times New Roman"/>
                <w:sz w:val="24"/>
                <w:szCs w:val="24"/>
                <w:vertAlign w:val="subscript"/>
                <w:lang w:val="ro-RO"/>
              </w:rPr>
              <w:t>l</w:t>
            </w:r>
            <w:proofErr w:type="spellEnd"/>
            <w:r w:rsidRPr="00C26A9B">
              <w:rPr>
                <w:rFonts w:ascii="Times New Roman" w:hAnsi="Times New Roman" w:cs="Times New Roman"/>
                <w:sz w:val="24"/>
                <w:szCs w:val="24"/>
                <w:lang w:val="ro-RO"/>
              </w:rPr>
              <w:t>)</w:t>
            </w:r>
          </w:p>
        </w:tc>
        <w:tc>
          <w:tcPr>
            <w:tcW w:w="119" w:type="dxa"/>
            <w:hideMark/>
          </w:tcPr>
          <w:p w14:paraId="4964B900" w14:textId="77777777" w:rsidR="00E169D0" w:rsidRPr="00C26A9B" w:rsidRDefault="00E169D0" w:rsidP="00E169D0">
            <w:pPr>
              <w:ind w:hanging="43"/>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4088" w:type="dxa"/>
            <w:hideMark/>
          </w:tcPr>
          <w:p w14:paraId="381A065F" w14:textId="77777777" w:rsidR="00E169D0" w:rsidRPr="00C26A9B" w:rsidRDefault="00E169D0" w:rsidP="00E169D0">
            <w:pPr>
              <w:rPr>
                <w:rFonts w:ascii="Times New Roman" w:hAnsi="Times New Roman" w:cs="Times New Roman"/>
                <w:sz w:val="24"/>
                <w:szCs w:val="24"/>
                <w:lang w:val="ro-RO"/>
              </w:rPr>
            </w:pPr>
            <w:r w:rsidRPr="00C26A9B">
              <w:rPr>
                <w:rFonts w:ascii="Times New Roman" w:hAnsi="Times New Roman" w:cs="Times New Roman"/>
                <w:sz w:val="24"/>
                <w:szCs w:val="24"/>
                <w:lang w:val="ro-RO"/>
              </w:rPr>
              <w:t>scadența care corespunde ratei fără risc;</w:t>
            </w:r>
          </w:p>
        </w:tc>
      </w:tr>
    </w:tbl>
    <w:p w14:paraId="3793310A" w14:textId="77777777" w:rsidR="00E169D0" w:rsidRPr="00C26A9B" w:rsidRDefault="00E169D0" w:rsidP="00E169D0">
      <w:pPr>
        <w:rPr>
          <w:rFonts w:ascii="Times New Roman" w:hAnsi="Times New Roman" w:cs="Times New Roman"/>
          <w:vanish/>
          <w:sz w:val="24"/>
          <w:szCs w:val="24"/>
          <w:lang w:val="ro-RO"/>
        </w:rPr>
      </w:pPr>
    </w:p>
    <w:tbl>
      <w:tblPr>
        <w:tblW w:w="5000" w:type="pct"/>
        <w:tblLayout w:type="fixed"/>
        <w:tblCellMar>
          <w:left w:w="0" w:type="dxa"/>
          <w:right w:w="0" w:type="dxa"/>
        </w:tblCellMar>
        <w:tblLook w:val="04A0" w:firstRow="1" w:lastRow="0" w:firstColumn="1" w:lastColumn="0" w:noHBand="0" w:noVBand="1"/>
      </w:tblPr>
      <w:tblGrid>
        <w:gridCol w:w="1935"/>
        <w:gridCol w:w="1950"/>
        <w:gridCol w:w="6581"/>
      </w:tblGrid>
      <w:tr w:rsidR="00E169D0" w:rsidRPr="00C26A9B" w14:paraId="07F759DE" w14:textId="77777777" w:rsidTr="00E169D0">
        <w:tc>
          <w:tcPr>
            <w:tcW w:w="1730" w:type="dxa"/>
            <w:hideMark/>
          </w:tcPr>
          <w:p w14:paraId="24CD16E4" w14:textId="77777777" w:rsidR="00E169D0" w:rsidRPr="00C26A9B" w:rsidRDefault="00E169D0" w:rsidP="00E169D0">
            <w:pPr>
              <w:rPr>
                <w:rFonts w:ascii="Times New Roman" w:hAnsi="Times New Roman" w:cs="Times New Roman"/>
                <w:sz w:val="24"/>
                <w:szCs w:val="24"/>
                <w:lang w:val="ro-RO"/>
              </w:rPr>
            </w:pPr>
            <w:r w:rsidRPr="00C26A9B">
              <w:rPr>
                <w:rFonts w:ascii="Times New Roman" w:hAnsi="Times New Roman" w:cs="Times New Roman"/>
                <w:sz w:val="24"/>
                <w:szCs w:val="24"/>
                <w:lang w:val="ro-RO"/>
              </w:rPr>
              <w:t>θ</w:t>
            </w:r>
          </w:p>
        </w:tc>
        <w:tc>
          <w:tcPr>
            <w:tcW w:w="1743" w:type="dxa"/>
            <w:hideMark/>
          </w:tcPr>
          <w:p w14:paraId="6AF3DC87" w14:textId="77777777" w:rsidR="00E169D0" w:rsidRPr="00C26A9B" w:rsidRDefault="00E169D0" w:rsidP="00E169D0">
            <w:pPr>
              <w:rPr>
                <w:rFonts w:ascii="Times New Roman" w:hAnsi="Times New Roman" w:cs="Times New Roman"/>
                <w:sz w:val="24"/>
                <w:szCs w:val="24"/>
                <w:lang w:val="ro-RO"/>
              </w:rPr>
            </w:pPr>
            <w:r w:rsidRPr="00C26A9B">
              <w:rPr>
                <w:rFonts w:ascii="Times New Roman" w:hAnsi="Times New Roman" w:cs="Times New Roman"/>
                <w:sz w:val="24"/>
                <w:szCs w:val="24"/>
                <w:lang w:val="ro-RO"/>
              </w:rPr>
              <w:t>=</w:t>
            </w:r>
          </w:p>
        </w:tc>
        <w:tc>
          <w:tcPr>
            <w:tcW w:w="5882" w:type="dxa"/>
            <w:hideMark/>
          </w:tcPr>
          <w:p w14:paraId="28600D9F" w14:textId="77777777" w:rsidR="00E169D0" w:rsidRPr="00C26A9B" w:rsidRDefault="00E169D0" w:rsidP="00E169D0">
            <w:pPr>
              <w:rPr>
                <w:rFonts w:ascii="Times New Roman" w:hAnsi="Times New Roman" w:cs="Times New Roman"/>
                <w:sz w:val="24"/>
                <w:szCs w:val="24"/>
                <w:lang w:val="ro-RO"/>
              </w:rPr>
            </w:pPr>
            <w:r w:rsidRPr="00C26A9B">
              <w:rPr>
                <w:rFonts w:ascii="Times New Roman" w:hAnsi="Times New Roman" w:cs="Times New Roman"/>
                <w:sz w:val="24"/>
                <w:szCs w:val="24"/>
                <w:lang w:val="ro-RO"/>
              </w:rPr>
              <w:t>3 %.</w:t>
            </w:r>
          </w:p>
        </w:tc>
      </w:tr>
    </w:tbl>
    <w:p w14:paraId="3D158D97" w14:textId="140D8EE4" w:rsidR="00E169D0" w:rsidRPr="00C26A9B" w:rsidRDefault="00E169D0" w:rsidP="001E3EB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274.  Între două sensibilități ponderate ale factorilor </w:t>
      </w:r>
      <w:proofErr w:type="spellStart"/>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k</w:t>
      </w:r>
      <w:proofErr w:type="spellEnd"/>
      <w:r w:rsidRPr="00C26A9B">
        <w:rPr>
          <w:rFonts w:ascii="Times New Roman" w:hAnsi="Times New Roman" w:cs="Times New Roman"/>
          <w:sz w:val="24"/>
          <w:szCs w:val="24"/>
          <w:lang w:val="ro-RO"/>
        </w:rPr>
        <w:t xml:space="preserve"> și </w:t>
      </w:r>
      <w:proofErr w:type="spellStart"/>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l</w:t>
      </w:r>
      <w:proofErr w:type="spellEnd"/>
      <w:r w:rsidRPr="00C26A9B">
        <w:rPr>
          <w:rFonts w:ascii="Times New Roman" w:hAnsi="Times New Roman" w:cs="Times New Roman"/>
          <w:sz w:val="24"/>
          <w:szCs w:val="24"/>
          <w:lang w:val="ro-RO"/>
        </w:rPr>
        <w:t xml:space="preserve"> de risc general de rată a dobânzii din cadrul aceleiași benzi, care corespund unor curbe diferite și au scadențe diferite, corelația </w:t>
      </w: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este egală cu parametrul de corelație menționat la</w:t>
      </w:r>
      <w:r w:rsidR="005D65F6">
        <w:rPr>
          <w:rFonts w:ascii="Times New Roman" w:hAnsi="Times New Roman" w:cs="Times New Roman"/>
          <w:sz w:val="24"/>
          <w:szCs w:val="24"/>
          <w:lang w:val="ro-RO"/>
        </w:rPr>
        <w:t xml:space="preserve"> </w:t>
      </w:r>
      <w:r w:rsidRPr="00C26A9B">
        <w:rPr>
          <w:rFonts w:ascii="Times New Roman" w:hAnsi="Times New Roman" w:cs="Times New Roman"/>
          <w:sz w:val="24"/>
          <w:szCs w:val="24"/>
          <w:lang w:val="ro-RO"/>
        </w:rPr>
        <w:t>pct.273, înmulțit cu 99,90 %.</w:t>
      </w:r>
    </w:p>
    <w:p w14:paraId="5E6FE57C" w14:textId="7675068B" w:rsidR="00E169D0" w:rsidRPr="00C26A9B" w:rsidRDefault="00E169D0" w:rsidP="001E3EB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275. Între o sensibilitate ponderată dată a factorilor </w:t>
      </w:r>
      <w:proofErr w:type="spellStart"/>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k</w:t>
      </w:r>
      <w:proofErr w:type="spellEnd"/>
      <w:r w:rsidRPr="00C26A9B">
        <w:rPr>
          <w:rFonts w:ascii="Times New Roman" w:hAnsi="Times New Roman" w:cs="Times New Roman"/>
          <w:sz w:val="24"/>
          <w:szCs w:val="24"/>
          <w:lang w:val="ro-RO"/>
        </w:rPr>
        <w:t xml:space="preserve"> de risc general de rată a dobânzii și o sensibilitate ponderată dată a factorilor </w:t>
      </w:r>
      <w:proofErr w:type="spellStart"/>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l</w:t>
      </w:r>
      <w:proofErr w:type="spellEnd"/>
      <w:r w:rsidRPr="00C26A9B">
        <w:rPr>
          <w:rFonts w:ascii="Times New Roman" w:hAnsi="Times New Roman" w:cs="Times New Roman"/>
          <w:sz w:val="24"/>
          <w:szCs w:val="24"/>
          <w:lang w:val="ro-RO"/>
        </w:rPr>
        <w:t> de risc de inflație, corelația este de 40 %.</w:t>
      </w:r>
    </w:p>
    <w:p w14:paraId="64C7A99B" w14:textId="0C222E0C" w:rsidR="00E169D0" w:rsidRPr="00C26A9B" w:rsidRDefault="00E169D0" w:rsidP="001E3EB2">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 xml:space="preserve">276.   Între o sensibilitate ponderată dată a factorilor </w:t>
      </w:r>
      <w:proofErr w:type="spellStart"/>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k</w:t>
      </w:r>
      <w:proofErr w:type="spellEnd"/>
      <w:r w:rsidRPr="00C26A9B">
        <w:rPr>
          <w:rFonts w:ascii="Times New Roman" w:hAnsi="Times New Roman" w:cs="Times New Roman"/>
          <w:sz w:val="24"/>
          <w:szCs w:val="24"/>
          <w:lang w:val="ro-RO"/>
        </w:rPr>
        <w:t xml:space="preserve"> de risc de bază </w:t>
      </w:r>
      <w:proofErr w:type="spellStart"/>
      <w:r w:rsidRPr="00C26A9B">
        <w:rPr>
          <w:rFonts w:ascii="Times New Roman" w:hAnsi="Times New Roman" w:cs="Times New Roman"/>
          <w:sz w:val="24"/>
          <w:szCs w:val="24"/>
          <w:lang w:val="ro-RO"/>
        </w:rPr>
        <w:t>intervalutară</w:t>
      </w:r>
      <w:proofErr w:type="spellEnd"/>
      <w:r w:rsidRPr="00C26A9B">
        <w:rPr>
          <w:rFonts w:ascii="Times New Roman" w:hAnsi="Times New Roman" w:cs="Times New Roman"/>
          <w:sz w:val="24"/>
          <w:szCs w:val="24"/>
          <w:lang w:val="ro-RO"/>
        </w:rPr>
        <w:t xml:space="preserve"> și o sensibilitate ponderată dată a factorilor </w:t>
      </w:r>
      <w:proofErr w:type="spellStart"/>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l</w:t>
      </w:r>
      <w:proofErr w:type="spellEnd"/>
      <w:r w:rsidRPr="00C26A9B">
        <w:rPr>
          <w:rFonts w:ascii="Times New Roman" w:hAnsi="Times New Roman" w:cs="Times New Roman"/>
          <w:sz w:val="24"/>
          <w:szCs w:val="24"/>
          <w:lang w:val="ro-RO"/>
        </w:rPr>
        <w:t xml:space="preserve"> de risc general de rată a dobânzii, inclusiv un alt factor de risc de bază </w:t>
      </w:r>
      <w:proofErr w:type="spellStart"/>
      <w:r w:rsidRPr="00C26A9B">
        <w:rPr>
          <w:rFonts w:ascii="Times New Roman" w:hAnsi="Times New Roman" w:cs="Times New Roman"/>
          <w:sz w:val="24"/>
          <w:szCs w:val="24"/>
          <w:lang w:val="ro-RO"/>
        </w:rPr>
        <w:t>intervalutară</w:t>
      </w:r>
      <w:proofErr w:type="spellEnd"/>
      <w:r w:rsidRPr="00C26A9B">
        <w:rPr>
          <w:rFonts w:ascii="Times New Roman" w:hAnsi="Times New Roman" w:cs="Times New Roman"/>
          <w:sz w:val="24"/>
          <w:szCs w:val="24"/>
          <w:lang w:val="ro-RO"/>
        </w:rPr>
        <w:t>, corelația este de 0 %.</w:t>
      </w:r>
    </w:p>
    <w:p w14:paraId="7BEA2FC3" w14:textId="62374123" w:rsidR="00626ED1" w:rsidRPr="00C26A9B" w:rsidRDefault="00626ED1" w:rsidP="001E3EB2">
      <w:pPr>
        <w:rPr>
          <w:rFonts w:ascii="Times New Roman" w:hAnsi="Times New Roman" w:cs="Times New Roman"/>
          <w:b/>
          <w:bCs/>
          <w:sz w:val="24"/>
          <w:szCs w:val="24"/>
          <w:lang w:val="ro-RO"/>
        </w:rPr>
      </w:pPr>
      <w:bookmarkStart w:id="35" w:name="_Hlk195097742"/>
      <w:r w:rsidRPr="00C26A9B">
        <w:rPr>
          <w:rFonts w:ascii="Times New Roman" w:hAnsi="Times New Roman" w:cs="Times New Roman"/>
          <w:i/>
          <w:iCs/>
          <w:sz w:val="24"/>
          <w:szCs w:val="24"/>
          <w:lang w:val="ro-RO"/>
        </w:rPr>
        <w:t xml:space="preserve">Paragraful 3. </w:t>
      </w:r>
      <w:r w:rsidRPr="00C26A9B">
        <w:rPr>
          <w:rFonts w:ascii="Times New Roman" w:hAnsi="Times New Roman" w:cs="Times New Roman"/>
          <w:b/>
          <w:bCs/>
          <w:sz w:val="24"/>
          <w:szCs w:val="24"/>
          <w:lang w:val="ro-RO"/>
        </w:rPr>
        <w:t>Corelațiile între benzi pentru riscul general de rată a dobânzii</w:t>
      </w:r>
      <w:bookmarkEnd w:id="35"/>
    </w:p>
    <w:p w14:paraId="42E86F50" w14:textId="69C5887D" w:rsidR="00626ED1" w:rsidRPr="00C26A9B" w:rsidRDefault="00626ED1" w:rsidP="001E3EB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277.   Parametrul </w:t>
      </w:r>
      <w:proofErr w:type="spellStart"/>
      <w:r w:rsidRPr="00C26A9B">
        <w:rPr>
          <w:rFonts w:ascii="Times New Roman" w:hAnsi="Times New Roman" w:cs="Times New Roman"/>
          <w:sz w:val="24"/>
          <w:szCs w:val="24"/>
          <w:lang w:val="ro-RO"/>
        </w:rPr>
        <w:t>γ</w:t>
      </w:r>
      <w:r w:rsidRPr="00C26A9B">
        <w:rPr>
          <w:rFonts w:ascii="Times New Roman" w:hAnsi="Times New Roman" w:cs="Times New Roman"/>
          <w:sz w:val="24"/>
          <w:szCs w:val="24"/>
          <w:vertAlign w:val="subscript"/>
          <w:lang w:val="ro-RO"/>
        </w:rPr>
        <w:t>bc</w:t>
      </w:r>
      <w:proofErr w:type="spellEnd"/>
      <w:r w:rsidRPr="00C26A9B">
        <w:rPr>
          <w:rFonts w:ascii="Times New Roman" w:hAnsi="Times New Roman" w:cs="Times New Roman"/>
          <w:sz w:val="24"/>
          <w:szCs w:val="24"/>
          <w:lang w:val="ro-RO"/>
        </w:rPr>
        <w:t> = 50 % este utilizat pentru agregarea factorilor de risc încadrați în benzi diferite.</w:t>
      </w:r>
    </w:p>
    <w:p w14:paraId="0F20FB69" w14:textId="56CB182E" w:rsidR="00626ED1" w:rsidRPr="00C26A9B" w:rsidRDefault="00626ED1" w:rsidP="001E3EB2">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278.  Parametrul </w:t>
      </w:r>
      <w:proofErr w:type="spellStart"/>
      <w:r w:rsidRPr="00C26A9B">
        <w:rPr>
          <w:rFonts w:ascii="Times New Roman" w:hAnsi="Times New Roman" w:cs="Times New Roman"/>
          <w:sz w:val="24"/>
          <w:szCs w:val="24"/>
          <w:lang w:val="ro-RO"/>
        </w:rPr>
        <w:t>γ</w:t>
      </w:r>
      <w:r w:rsidRPr="00C26A9B">
        <w:rPr>
          <w:rFonts w:ascii="Times New Roman" w:hAnsi="Times New Roman" w:cs="Times New Roman"/>
          <w:sz w:val="24"/>
          <w:szCs w:val="24"/>
          <w:vertAlign w:val="subscript"/>
          <w:lang w:val="ro-RO"/>
        </w:rPr>
        <w:t>bc</w:t>
      </w:r>
      <w:proofErr w:type="spellEnd"/>
      <w:r w:rsidRPr="00C26A9B">
        <w:rPr>
          <w:rFonts w:ascii="Times New Roman" w:hAnsi="Times New Roman" w:cs="Times New Roman"/>
          <w:sz w:val="24"/>
          <w:szCs w:val="24"/>
          <w:lang w:val="ro-RO"/>
        </w:rPr>
        <w:t xml:space="preserve"> = 80 % este utilizat pentru agregarea unui factor de risc de rată a dobânzii bazat pe o monedă menționată la </w:t>
      </w:r>
      <w:r w:rsidR="001F12E8" w:rsidRPr="001F12E8">
        <w:rPr>
          <w:rFonts w:ascii="Times New Roman" w:hAnsi="Times New Roman" w:cs="Times New Roman"/>
          <w:sz w:val="24"/>
          <w:szCs w:val="24"/>
          <w:lang w:val="ro-RO"/>
        </w:rPr>
        <w:t>pct</w:t>
      </w:r>
      <w:r w:rsidR="001F12E8">
        <w:rPr>
          <w:rFonts w:ascii="Times New Roman" w:hAnsi="Times New Roman" w:cs="Times New Roman"/>
          <w:sz w:val="24"/>
          <w:szCs w:val="24"/>
          <w:lang w:val="ro-RO"/>
        </w:rPr>
        <w:t>.316</w:t>
      </w:r>
      <w:r w:rsidRPr="00C26A9B">
        <w:rPr>
          <w:rFonts w:ascii="Times New Roman" w:hAnsi="Times New Roman" w:cs="Times New Roman"/>
          <w:sz w:val="24"/>
          <w:szCs w:val="24"/>
          <w:lang w:val="ro-RO"/>
        </w:rPr>
        <w:t xml:space="preserve"> și un factor de risc de rată a dobânzii bazat pe euro.</w:t>
      </w:r>
    </w:p>
    <w:p w14:paraId="7789C239" w14:textId="7AECEA3B" w:rsidR="00626ED1" w:rsidRPr="00C26A9B" w:rsidRDefault="00626ED1" w:rsidP="001E3EB2">
      <w:pPr>
        <w:rPr>
          <w:rFonts w:ascii="Times New Roman" w:hAnsi="Times New Roman" w:cs="Times New Roman"/>
          <w:b/>
          <w:bCs/>
          <w:sz w:val="24"/>
          <w:szCs w:val="24"/>
          <w:lang w:val="ro-RO"/>
        </w:rPr>
      </w:pPr>
      <w:bookmarkStart w:id="36" w:name="_Hlk195097773"/>
      <w:r w:rsidRPr="00C26A9B">
        <w:rPr>
          <w:rFonts w:ascii="Times New Roman" w:hAnsi="Times New Roman" w:cs="Times New Roman"/>
          <w:i/>
          <w:iCs/>
          <w:sz w:val="24"/>
          <w:szCs w:val="24"/>
          <w:lang w:val="ro-RO"/>
        </w:rPr>
        <w:t xml:space="preserve">Paragraful 4. </w:t>
      </w:r>
      <w:r w:rsidRPr="00C26A9B">
        <w:rPr>
          <w:rFonts w:ascii="Times New Roman" w:hAnsi="Times New Roman" w:cs="Times New Roman"/>
          <w:b/>
          <w:bCs/>
          <w:sz w:val="24"/>
          <w:szCs w:val="24"/>
          <w:lang w:val="ro-RO"/>
        </w:rPr>
        <w:t>Ponderile de risc pentru riscul de marjă de credit pentru instrumente care nu sunt poziții din securitizare</w:t>
      </w:r>
      <w:bookmarkEnd w:id="36"/>
    </w:p>
    <w:p w14:paraId="5B465434"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279. Ponderile de risc pentru sensibilitățile la factori de risc de marjă de credit pentru instrumente care nu sunt poziții din securitizare sunt aceleași pentru toate scadențele (0,5 ani, 1 an, 3 ani, 5 ani, 10 ani) din fiecare bandă din tabelul 4:</w:t>
      </w:r>
    </w:p>
    <w:p w14:paraId="3419297B" w14:textId="77777777" w:rsidR="00626ED1" w:rsidRPr="00C26A9B" w:rsidRDefault="00626ED1" w:rsidP="00626ED1">
      <w:pPr>
        <w:rPr>
          <w:rFonts w:ascii="Times New Roman" w:hAnsi="Times New Roman" w:cs="Times New Roman"/>
          <w:b/>
          <w:bCs/>
          <w:sz w:val="24"/>
          <w:szCs w:val="24"/>
          <w:lang w:val="ro-RO"/>
        </w:rPr>
      </w:pPr>
      <w:r w:rsidRPr="00C26A9B">
        <w:rPr>
          <w:rFonts w:ascii="Times New Roman" w:hAnsi="Times New Roman" w:cs="Times New Roman"/>
          <w:b/>
          <w:bCs/>
          <w:i/>
          <w:iCs/>
          <w:sz w:val="24"/>
          <w:szCs w:val="24"/>
          <w:lang w:val="ro-RO"/>
        </w:rPr>
        <w:t>Tabelul 4</w:t>
      </w:r>
    </w:p>
    <w:tbl>
      <w:tblPr>
        <w:tblW w:w="8923"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85"/>
        <w:gridCol w:w="1985"/>
        <w:gridCol w:w="4960"/>
        <w:gridCol w:w="993"/>
      </w:tblGrid>
      <w:tr w:rsidR="00626ED1" w:rsidRPr="00C26A9B" w14:paraId="10A89B45"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591E50" w14:textId="77777777" w:rsidR="00626ED1" w:rsidRPr="00C26A9B" w:rsidRDefault="00626ED1" w:rsidP="00626ED1">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Numărul benzii</w:t>
            </w:r>
          </w:p>
        </w:tc>
        <w:tc>
          <w:tcPr>
            <w:tcW w:w="1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ECB99B" w14:textId="77777777" w:rsidR="00626ED1" w:rsidRPr="00C26A9B" w:rsidRDefault="00626ED1" w:rsidP="00626ED1">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Calitatea creditului</w:t>
            </w:r>
          </w:p>
        </w:tc>
        <w:tc>
          <w:tcPr>
            <w:tcW w:w="4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994147" w14:textId="77777777" w:rsidR="00626ED1" w:rsidRPr="00C26A9B" w:rsidRDefault="00626ED1" w:rsidP="00626ED1">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Sectorul</w:t>
            </w:r>
          </w:p>
        </w:tc>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6A360F" w14:textId="77777777" w:rsidR="00626ED1" w:rsidRPr="00C26A9B" w:rsidRDefault="00626ED1" w:rsidP="00626ED1">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Ponderea de risc</w:t>
            </w:r>
          </w:p>
        </w:tc>
      </w:tr>
      <w:tr w:rsidR="00626ED1" w:rsidRPr="00C26A9B" w14:paraId="490E3D81"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5953ED"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1</w:t>
            </w:r>
          </w:p>
        </w:tc>
        <w:tc>
          <w:tcPr>
            <w:tcW w:w="1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F564DF"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Toate</w:t>
            </w:r>
          </w:p>
        </w:tc>
        <w:tc>
          <w:tcPr>
            <w:tcW w:w="4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2B7436"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Administrația centrală a Republicii Moldova și Banca Națională a Moldovei</w:t>
            </w:r>
          </w:p>
        </w:tc>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16141B"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0,5 %</w:t>
            </w:r>
          </w:p>
        </w:tc>
      </w:tr>
      <w:tr w:rsidR="00626ED1" w:rsidRPr="00C26A9B" w14:paraId="23C4E277"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5A54B5"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2</w:t>
            </w:r>
          </w:p>
        </w:tc>
        <w:tc>
          <w:tcPr>
            <w:tcW w:w="198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706B3D"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Nivelul 1-3 de calitate a creditului</w:t>
            </w:r>
          </w:p>
        </w:tc>
        <w:tc>
          <w:tcPr>
            <w:tcW w:w="4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E50A01" w14:textId="5CB89C04"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Administrația centrală a </w:t>
            </w:r>
            <w:r w:rsidR="000D39DC">
              <w:rPr>
                <w:rFonts w:ascii="Times New Roman" w:hAnsi="Times New Roman" w:cs="Times New Roman"/>
                <w:sz w:val="24"/>
                <w:szCs w:val="24"/>
                <w:lang w:val="ro-RO"/>
              </w:rPr>
              <w:t>unui alt stat</w:t>
            </w:r>
            <w:r w:rsidRPr="00C26A9B">
              <w:rPr>
                <w:rFonts w:ascii="Times New Roman" w:hAnsi="Times New Roman" w:cs="Times New Roman"/>
                <w:sz w:val="24"/>
                <w:szCs w:val="24"/>
                <w:lang w:val="ro-RO"/>
              </w:rPr>
              <w:t xml:space="preserve">, inclusiv băncile centrale, băncile de dezvoltare multilaterală și organizațiile internaționale menționate la pct.46 sau 47 din Regulamentul nr.111/2018 </w:t>
            </w:r>
          </w:p>
        </w:tc>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BDADE4"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0,5 %</w:t>
            </w:r>
          </w:p>
        </w:tc>
      </w:tr>
      <w:tr w:rsidR="00626ED1" w:rsidRPr="00C26A9B" w14:paraId="3C317A53"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30B284"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3</w:t>
            </w:r>
          </w:p>
        </w:tc>
        <w:tc>
          <w:tcPr>
            <w:tcW w:w="1985" w:type="dxa"/>
            <w:vMerge/>
            <w:tcBorders>
              <w:top w:val="outset" w:sz="6" w:space="0" w:color="auto"/>
              <w:left w:val="outset" w:sz="6" w:space="0" w:color="auto"/>
              <w:bottom w:val="outset" w:sz="6" w:space="0" w:color="auto"/>
              <w:right w:val="outset" w:sz="6" w:space="0" w:color="auto"/>
            </w:tcBorders>
            <w:vAlign w:val="center"/>
            <w:hideMark/>
          </w:tcPr>
          <w:p w14:paraId="0E3D5024" w14:textId="77777777" w:rsidR="00626ED1" w:rsidRPr="00C26A9B" w:rsidRDefault="00626ED1" w:rsidP="00626ED1">
            <w:pPr>
              <w:rPr>
                <w:rFonts w:ascii="Times New Roman" w:hAnsi="Times New Roman" w:cs="Times New Roman"/>
                <w:sz w:val="24"/>
                <w:szCs w:val="24"/>
                <w:lang w:val="ro-RO"/>
              </w:rPr>
            </w:pPr>
          </w:p>
        </w:tc>
        <w:tc>
          <w:tcPr>
            <w:tcW w:w="4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3834EA"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Administrații regionale sau locale și entități din sectorul public</w:t>
            </w:r>
          </w:p>
        </w:tc>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52EBEB"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1,0 %</w:t>
            </w:r>
          </w:p>
        </w:tc>
      </w:tr>
      <w:tr w:rsidR="00626ED1" w:rsidRPr="00C26A9B" w14:paraId="0E29C75F"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2EA7D4"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4</w:t>
            </w:r>
          </w:p>
        </w:tc>
        <w:tc>
          <w:tcPr>
            <w:tcW w:w="1985" w:type="dxa"/>
            <w:vMerge/>
            <w:tcBorders>
              <w:top w:val="outset" w:sz="6" w:space="0" w:color="auto"/>
              <w:left w:val="outset" w:sz="6" w:space="0" w:color="auto"/>
              <w:bottom w:val="outset" w:sz="6" w:space="0" w:color="auto"/>
              <w:right w:val="outset" w:sz="6" w:space="0" w:color="auto"/>
            </w:tcBorders>
            <w:vAlign w:val="center"/>
            <w:hideMark/>
          </w:tcPr>
          <w:p w14:paraId="05E95C84" w14:textId="77777777" w:rsidR="00626ED1" w:rsidRPr="00C26A9B" w:rsidRDefault="00626ED1" w:rsidP="00626ED1">
            <w:pPr>
              <w:rPr>
                <w:rFonts w:ascii="Times New Roman" w:hAnsi="Times New Roman" w:cs="Times New Roman"/>
                <w:sz w:val="24"/>
                <w:szCs w:val="24"/>
                <w:lang w:val="ro-RO"/>
              </w:rPr>
            </w:pPr>
          </w:p>
        </w:tc>
        <w:tc>
          <w:tcPr>
            <w:tcW w:w="4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8EE807"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Entități din sectorul financiar, inclusiv bănci înregistrate sau înființate de o administrație centrală, o administrație regională sau o autoritate locală și creditori promoționali</w:t>
            </w:r>
          </w:p>
        </w:tc>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683799"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5,0 %</w:t>
            </w:r>
          </w:p>
        </w:tc>
      </w:tr>
      <w:tr w:rsidR="00626ED1" w:rsidRPr="00C26A9B" w14:paraId="4ED7ECB4"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D2325E"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5</w:t>
            </w:r>
          </w:p>
        </w:tc>
        <w:tc>
          <w:tcPr>
            <w:tcW w:w="1985" w:type="dxa"/>
            <w:vMerge/>
            <w:tcBorders>
              <w:top w:val="outset" w:sz="6" w:space="0" w:color="auto"/>
              <w:left w:val="outset" w:sz="6" w:space="0" w:color="auto"/>
              <w:bottom w:val="outset" w:sz="6" w:space="0" w:color="auto"/>
              <w:right w:val="outset" w:sz="6" w:space="0" w:color="auto"/>
            </w:tcBorders>
            <w:vAlign w:val="center"/>
            <w:hideMark/>
          </w:tcPr>
          <w:p w14:paraId="61E33C74" w14:textId="77777777" w:rsidR="00626ED1" w:rsidRPr="00C26A9B" w:rsidRDefault="00626ED1" w:rsidP="00626ED1">
            <w:pPr>
              <w:rPr>
                <w:rFonts w:ascii="Times New Roman" w:hAnsi="Times New Roman" w:cs="Times New Roman"/>
                <w:sz w:val="24"/>
                <w:szCs w:val="24"/>
                <w:lang w:val="ro-RO"/>
              </w:rPr>
            </w:pPr>
          </w:p>
        </w:tc>
        <w:tc>
          <w:tcPr>
            <w:tcW w:w="4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93152A"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Materiale de bază, energie, produse industriale, agricultură, industria prelucrătoare, industria extractivă</w:t>
            </w:r>
          </w:p>
        </w:tc>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9FE318"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3,0 %</w:t>
            </w:r>
          </w:p>
        </w:tc>
      </w:tr>
      <w:tr w:rsidR="00626ED1" w:rsidRPr="00C26A9B" w14:paraId="59BD2C76"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A09F30"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6</w:t>
            </w:r>
          </w:p>
        </w:tc>
        <w:tc>
          <w:tcPr>
            <w:tcW w:w="1985" w:type="dxa"/>
            <w:vMerge/>
            <w:tcBorders>
              <w:top w:val="outset" w:sz="6" w:space="0" w:color="auto"/>
              <w:left w:val="outset" w:sz="6" w:space="0" w:color="auto"/>
              <w:bottom w:val="outset" w:sz="6" w:space="0" w:color="auto"/>
              <w:right w:val="outset" w:sz="6" w:space="0" w:color="auto"/>
            </w:tcBorders>
            <w:vAlign w:val="center"/>
            <w:hideMark/>
          </w:tcPr>
          <w:p w14:paraId="4907E08F" w14:textId="77777777" w:rsidR="00626ED1" w:rsidRPr="00C26A9B" w:rsidRDefault="00626ED1" w:rsidP="00626ED1">
            <w:pPr>
              <w:rPr>
                <w:rFonts w:ascii="Times New Roman" w:hAnsi="Times New Roman" w:cs="Times New Roman"/>
                <w:sz w:val="24"/>
                <w:szCs w:val="24"/>
                <w:lang w:val="ro-RO"/>
              </w:rPr>
            </w:pPr>
          </w:p>
        </w:tc>
        <w:tc>
          <w:tcPr>
            <w:tcW w:w="4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3EABE9"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Bunuri și servicii pentru consumatori, transport și depozitare, servicii administrative și activități de sprijin</w:t>
            </w:r>
          </w:p>
        </w:tc>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55DAF1"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3,0 %</w:t>
            </w:r>
          </w:p>
        </w:tc>
      </w:tr>
      <w:tr w:rsidR="00626ED1" w:rsidRPr="00C26A9B" w14:paraId="7A3C4D9D"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5F8DB3"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7</w:t>
            </w:r>
          </w:p>
        </w:tc>
        <w:tc>
          <w:tcPr>
            <w:tcW w:w="1985" w:type="dxa"/>
            <w:vMerge/>
            <w:tcBorders>
              <w:top w:val="outset" w:sz="6" w:space="0" w:color="auto"/>
              <w:left w:val="outset" w:sz="6" w:space="0" w:color="auto"/>
              <w:bottom w:val="outset" w:sz="6" w:space="0" w:color="auto"/>
              <w:right w:val="outset" w:sz="6" w:space="0" w:color="auto"/>
            </w:tcBorders>
            <w:vAlign w:val="center"/>
            <w:hideMark/>
          </w:tcPr>
          <w:p w14:paraId="71CBD5E7" w14:textId="77777777" w:rsidR="00626ED1" w:rsidRPr="00C26A9B" w:rsidRDefault="00626ED1" w:rsidP="00626ED1">
            <w:pPr>
              <w:rPr>
                <w:rFonts w:ascii="Times New Roman" w:hAnsi="Times New Roman" w:cs="Times New Roman"/>
                <w:sz w:val="24"/>
                <w:szCs w:val="24"/>
                <w:lang w:val="ro-RO"/>
              </w:rPr>
            </w:pPr>
          </w:p>
        </w:tc>
        <w:tc>
          <w:tcPr>
            <w:tcW w:w="4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DA02DE"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Tehnologie, telecomunicații</w:t>
            </w:r>
          </w:p>
        </w:tc>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ACD38B"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2,0 %</w:t>
            </w:r>
          </w:p>
        </w:tc>
      </w:tr>
      <w:tr w:rsidR="00626ED1" w:rsidRPr="00C26A9B" w14:paraId="7CC3EC59"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7A833B"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8</w:t>
            </w:r>
          </w:p>
        </w:tc>
        <w:tc>
          <w:tcPr>
            <w:tcW w:w="1985" w:type="dxa"/>
            <w:vMerge/>
            <w:tcBorders>
              <w:top w:val="outset" w:sz="6" w:space="0" w:color="auto"/>
              <w:left w:val="outset" w:sz="6" w:space="0" w:color="auto"/>
              <w:bottom w:val="outset" w:sz="6" w:space="0" w:color="auto"/>
              <w:right w:val="outset" w:sz="6" w:space="0" w:color="auto"/>
            </w:tcBorders>
            <w:vAlign w:val="center"/>
            <w:hideMark/>
          </w:tcPr>
          <w:p w14:paraId="550970BC" w14:textId="77777777" w:rsidR="00626ED1" w:rsidRPr="00C26A9B" w:rsidRDefault="00626ED1" w:rsidP="00626ED1">
            <w:pPr>
              <w:rPr>
                <w:rFonts w:ascii="Times New Roman" w:hAnsi="Times New Roman" w:cs="Times New Roman"/>
                <w:sz w:val="24"/>
                <w:szCs w:val="24"/>
                <w:lang w:val="ro-RO"/>
              </w:rPr>
            </w:pPr>
          </w:p>
        </w:tc>
        <w:tc>
          <w:tcPr>
            <w:tcW w:w="4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36B157"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Asistență medicală, utilități, activități profesionale și tehnice</w:t>
            </w:r>
          </w:p>
        </w:tc>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3E36AA"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1,5 %</w:t>
            </w:r>
          </w:p>
        </w:tc>
      </w:tr>
      <w:tr w:rsidR="00626ED1" w:rsidRPr="00C26A9B" w14:paraId="0AA8CC7D"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4F1550"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9</w:t>
            </w:r>
          </w:p>
        </w:tc>
        <w:tc>
          <w:tcPr>
            <w:tcW w:w="1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F13EA9"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4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FD8D66"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Obligațiuni garantate emise de bănci din Republica Moldova</w:t>
            </w:r>
          </w:p>
        </w:tc>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264EC5"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1,0 %</w:t>
            </w:r>
          </w:p>
        </w:tc>
      </w:tr>
      <w:tr w:rsidR="00626ED1" w:rsidRPr="00C26A9B" w14:paraId="707CC578" w14:textId="77777777" w:rsidTr="00B01DA4">
        <w:trPr>
          <w:jc w:val="center"/>
        </w:trPr>
        <w:tc>
          <w:tcPr>
            <w:tcW w:w="98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B980A0"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10</w:t>
            </w:r>
          </w:p>
        </w:tc>
        <w:tc>
          <w:tcPr>
            <w:tcW w:w="1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8829DB"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Nivelul 1 de calitate a creditului</w:t>
            </w:r>
          </w:p>
        </w:tc>
        <w:tc>
          <w:tcPr>
            <w:tcW w:w="4960"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BA8516" w14:textId="6B78C2EA"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Obligațiuni garantate emise de bănci din </w:t>
            </w:r>
            <w:r w:rsidR="000D39DC">
              <w:rPr>
                <w:rFonts w:ascii="Times New Roman" w:hAnsi="Times New Roman" w:cs="Times New Roman"/>
                <w:sz w:val="24"/>
                <w:szCs w:val="24"/>
                <w:lang w:val="ro-RO"/>
              </w:rPr>
              <w:t>alte state</w:t>
            </w:r>
          </w:p>
        </w:tc>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905E41"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1,5 %</w:t>
            </w:r>
          </w:p>
        </w:tc>
      </w:tr>
      <w:tr w:rsidR="00626ED1" w:rsidRPr="00C26A9B" w14:paraId="09241A6D" w14:textId="77777777" w:rsidTr="00B01DA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7DB06EF9" w14:textId="77777777" w:rsidR="00626ED1" w:rsidRPr="00C26A9B" w:rsidRDefault="00626ED1" w:rsidP="00626ED1">
            <w:pPr>
              <w:rPr>
                <w:rFonts w:ascii="Times New Roman" w:hAnsi="Times New Roman" w:cs="Times New Roman"/>
                <w:sz w:val="24"/>
                <w:szCs w:val="24"/>
                <w:lang w:val="ro-RO"/>
              </w:rPr>
            </w:pPr>
          </w:p>
        </w:tc>
        <w:tc>
          <w:tcPr>
            <w:tcW w:w="1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9E3353"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Nivelurile 2-3 de calitate a creditului</w:t>
            </w:r>
          </w:p>
        </w:tc>
        <w:tc>
          <w:tcPr>
            <w:tcW w:w="4960" w:type="dxa"/>
            <w:vMerge/>
            <w:tcBorders>
              <w:top w:val="outset" w:sz="6" w:space="0" w:color="auto"/>
              <w:left w:val="outset" w:sz="6" w:space="0" w:color="auto"/>
              <w:bottom w:val="outset" w:sz="6" w:space="0" w:color="auto"/>
              <w:right w:val="outset" w:sz="6" w:space="0" w:color="auto"/>
            </w:tcBorders>
            <w:vAlign w:val="center"/>
            <w:hideMark/>
          </w:tcPr>
          <w:p w14:paraId="7423F481" w14:textId="77777777" w:rsidR="00626ED1" w:rsidRPr="00C26A9B" w:rsidRDefault="00626ED1" w:rsidP="00626ED1">
            <w:pPr>
              <w:rPr>
                <w:rFonts w:ascii="Times New Roman" w:hAnsi="Times New Roman" w:cs="Times New Roman"/>
                <w:sz w:val="24"/>
                <w:szCs w:val="24"/>
                <w:lang w:val="ro-RO"/>
              </w:rPr>
            </w:pPr>
          </w:p>
        </w:tc>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67F4B9"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2,5 %</w:t>
            </w:r>
          </w:p>
        </w:tc>
      </w:tr>
      <w:tr w:rsidR="00626ED1" w:rsidRPr="00C26A9B" w14:paraId="7F1339A0"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168A6F"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11</w:t>
            </w:r>
          </w:p>
        </w:tc>
        <w:tc>
          <w:tcPr>
            <w:tcW w:w="198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C99F11"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Nivelul 4-6 de calitate a creditului și fără rating</w:t>
            </w:r>
          </w:p>
        </w:tc>
        <w:tc>
          <w:tcPr>
            <w:tcW w:w="4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89B48A" w14:textId="28EF7E9B"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Administrația centrală a </w:t>
            </w:r>
            <w:r w:rsidR="000D39DC">
              <w:rPr>
                <w:rFonts w:ascii="Times New Roman" w:hAnsi="Times New Roman" w:cs="Times New Roman"/>
                <w:sz w:val="24"/>
                <w:szCs w:val="24"/>
                <w:lang w:val="ro-RO"/>
              </w:rPr>
              <w:t>unui alt stat</w:t>
            </w:r>
            <w:r w:rsidRPr="00C26A9B">
              <w:rPr>
                <w:rFonts w:ascii="Times New Roman" w:hAnsi="Times New Roman" w:cs="Times New Roman"/>
                <w:sz w:val="24"/>
                <w:szCs w:val="24"/>
                <w:lang w:val="ro-RO"/>
              </w:rPr>
              <w:t xml:space="preserve">, inclusiv băncile centrale, băncile de dezvoltare multilaterală și organizațiile internaționale menționate la articolul 46 sau 47 din Regulamentul nr.111/2018 </w:t>
            </w:r>
          </w:p>
        </w:tc>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DFF051"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2 %</w:t>
            </w:r>
          </w:p>
        </w:tc>
      </w:tr>
      <w:tr w:rsidR="00626ED1" w:rsidRPr="00C26A9B" w14:paraId="4CCDFC8A"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96A60A"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12</w:t>
            </w:r>
          </w:p>
        </w:tc>
        <w:tc>
          <w:tcPr>
            <w:tcW w:w="1985" w:type="dxa"/>
            <w:vMerge/>
            <w:tcBorders>
              <w:top w:val="outset" w:sz="6" w:space="0" w:color="auto"/>
              <w:left w:val="outset" w:sz="6" w:space="0" w:color="auto"/>
              <w:bottom w:val="outset" w:sz="6" w:space="0" w:color="auto"/>
              <w:right w:val="outset" w:sz="6" w:space="0" w:color="auto"/>
            </w:tcBorders>
            <w:vAlign w:val="center"/>
            <w:hideMark/>
          </w:tcPr>
          <w:p w14:paraId="716C8B4C" w14:textId="77777777" w:rsidR="00626ED1" w:rsidRPr="00C26A9B" w:rsidRDefault="00626ED1" w:rsidP="00626ED1">
            <w:pPr>
              <w:rPr>
                <w:rFonts w:ascii="Times New Roman" w:hAnsi="Times New Roman" w:cs="Times New Roman"/>
                <w:sz w:val="24"/>
                <w:szCs w:val="24"/>
                <w:lang w:val="ro-RO"/>
              </w:rPr>
            </w:pPr>
          </w:p>
        </w:tc>
        <w:tc>
          <w:tcPr>
            <w:tcW w:w="4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28CF41"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Administrații regionale sau locale și entități din sectorul public</w:t>
            </w:r>
          </w:p>
        </w:tc>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A3D923"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4,0 %</w:t>
            </w:r>
          </w:p>
        </w:tc>
      </w:tr>
      <w:tr w:rsidR="00626ED1" w:rsidRPr="00C26A9B" w14:paraId="4D7E461F"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5E1878"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13</w:t>
            </w:r>
          </w:p>
        </w:tc>
        <w:tc>
          <w:tcPr>
            <w:tcW w:w="1985" w:type="dxa"/>
            <w:vMerge/>
            <w:tcBorders>
              <w:top w:val="outset" w:sz="6" w:space="0" w:color="auto"/>
              <w:left w:val="outset" w:sz="6" w:space="0" w:color="auto"/>
              <w:bottom w:val="outset" w:sz="6" w:space="0" w:color="auto"/>
              <w:right w:val="outset" w:sz="6" w:space="0" w:color="auto"/>
            </w:tcBorders>
            <w:vAlign w:val="center"/>
            <w:hideMark/>
          </w:tcPr>
          <w:p w14:paraId="55DD815E" w14:textId="77777777" w:rsidR="00626ED1" w:rsidRPr="00C26A9B" w:rsidRDefault="00626ED1" w:rsidP="00626ED1">
            <w:pPr>
              <w:rPr>
                <w:rFonts w:ascii="Times New Roman" w:hAnsi="Times New Roman" w:cs="Times New Roman"/>
                <w:sz w:val="24"/>
                <w:szCs w:val="24"/>
                <w:lang w:val="ro-RO"/>
              </w:rPr>
            </w:pPr>
          </w:p>
        </w:tc>
        <w:tc>
          <w:tcPr>
            <w:tcW w:w="4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B8E1D2" w14:textId="77777777" w:rsidR="00626ED1" w:rsidRPr="00C26A9B" w:rsidRDefault="00626ED1" w:rsidP="00626ED1">
            <w:pPr>
              <w:rPr>
                <w:rFonts w:ascii="Times New Roman" w:hAnsi="Times New Roman" w:cs="Times New Roman"/>
                <w:sz w:val="24"/>
                <w:szCs w:val="24"/>
                <w:lang w:val="ro-RO"/>
              </w:rPr>
            </w:pPr>
            <w:hyperlink r:id="rId54" w:tooltip="32024R1623: REPLACED" w:history="1">
              <w:r w:rsidRPr="00C26A9B">
                <w:rPr>
                  <w:rStyle w:val="Hyperlink"/>
                  <w:rFonts w:ascii="Times New Roman" w:hAnsi="Times New Roman" w:cs="Times New Roman"/>
                  <w:sz w:val="24"/>
                  <w:szCs w:val="24"/>
                  <w:lang w:val="ro-RO"/>
                </w:rPr>
                <w:t> </w:t>
              </w:r>
            </w:hyperlink>
            <w:r w:rsidRPr="00C26A9B">
              <w:rPr>
                <w:rFonts w:ascii="Times New Roman" w:hAnsi="Times New Roman" w:cs="Times New Roman"/>
                <w:sz w:val="24"/>
                <w:szCs w:val="24"/>
                <w:lang w:val="ro-RO"/>
              </w:rPr>
              <w:t>  Entități din sectorul financiar, inclusiv bănci înregistrate sau înființate de o administrație centrală, o administrație regională sau o autoritate locală, creditori promoționali și obligațiuni garantate</w:t>
            </w:r>
            <w:r w:rsidRPr="00C26A9B">
              <w:rPr>
                <w:rFonts w:ascii="Times New Roman" w:hAnsi="Times New Roman" w:cs="Times New Roman"/>
                <w:b/>
                <w:bCs/>
                <w:sz w:val="24"/>
                <w:szCs w:val="24"/>
                <w:lang w:val="ro-RO"/>
              </w:rPr>
              <w:t> </w:t>
            </w:r>
          </w:p>
        </w:tc>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BBF3A2"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12,0 %</w:t>
            </w:r>
          </w:p>
        </w:tc>
      </w:tr>
      <w:tr w:rsidR="00626ED1" w:rsidRPr="00C26A9B" w14:paraId="2A08C0F4"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54FCEA"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14</w:t>
            </w:r>
          </w:p>
        </w:tc>
        <w:tc>
          <w:tcPr>
            <w:tcW w:w="1985" w:type="dxa"/>
            <w:vMerge/>
            <w:tcBorders>
              <w:top w:val="outset" w:sz="6" w:space="0" w:color="auto"/>
              <w:left w:val="outset" w:sz="6" w:space="0" w:color="auto"/>
              <w:bottom w:val="outset" w:sz="6" w:space="0" w:color="auto"/>
              <w:right w:val="outset" w:sz="6" w:space="0" w:color="auto"/>
            </w:tcBorders>
            <w:vAlign w:val="center"/>
            <w:hideMark/>
          </w:tcPr>
          <w:p w14:paraId="577754D4" w14:textId="77777777" w:rsidR="00626ED1" w:rsidRPr="00C26A9B" w:rsidRDefault="00626ED1" w:rsidP="00626ED1">
            <w:pPr>
              <w:rPr>
                <w:rFonts w:ascii="Times New Roman" w:hAnsi="Times New Roman" w:cs="Times New Roman"/>
                <w:sz w:val="24"/>
                <w:szCs w:val="24"/>
                <w:lang w:val="ro-RO"/>
              </w:rPr>
            </w:pPr>
          </w:p>
        </w:tc>
        <w:tc>
          <w:tcPr>
            <w:tcW w:w="4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FE2F39"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Materiale de bază, energie, produse industriale, agricultură, industria prelucrătoare, industria extractivă</w:t>
            </w:r>
          </w:p>
        </w:tc>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665648"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7,0 %</w:t>
            </w:r>
          </w:p>
        </w:tc>
      </w:tr>
      <w:tr w:rsidR="00626ED1" w:rsidRPr="00C26A9B" w14:paraId="6FB53056"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DF1E58"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15</w:t>
            </w:r>
          </w:p>
        </w:tc>
        <w:tc>
          <w:tcPr>
            <w:tcW w:w="1985" w:type="dxa"/>
            <w:vMerge/>
            <w:tcBorders>
              <w:top w:val="outset" w:sz="6" w:space="0" w:color="auto"/>
              <w:left w:val="outset" w:sz="6" w:space="0" w:color="auto"/>
              <w:bottom w:val="outset" w:sz="6" w:space="0" w:color="auto"/>
              <w:right w:val="outset" w:sz="6" w:space="0" w:color="auto"/>
            </w:tcBorders>
            <w:vAlign w:val="center"/>
            <w:hideMark/>
          </w:tcPr>
          <w:p w14:paraId="069BD74F" w14:textId="77777777" w:rsidR="00626ED1" w:rsidRPr="00C26A9B" w:rsidRDefault="00626ED1" w:rsidP="00626ED1">
            <w:pPr>
              <w:rPr>
                <w:rFonts w:ascii="Times New Roman" w:hAnsi="Times New Roman" w:cs="Times New Roman"/>
                <w:sz w:val="24"/>
                <w:szCs w:val="24"/>
                <w:lang w:val="ro-RO"/>
              </w:rPr>
            </w:pPr>
          </w:p>
        </w:tc>
        <w:tc>
          <w:tcPr>
            <w:tcW w:w="4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9FB42A"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Bunuri și servicii pentru consumatori, transport și depozitare, servicii administrative și activități de sprijin</w:t>
            </w:r>
          </w:p>
        </w:tc>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CF6728"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8,5 %</w:t>
            </w:r>
          </w:p>
        </w:tc>
      </w:tr>
      <w:tr w:rsidR="00626ED1" w:rsidRPr="00C26A9B" w14:paraId="79C0B5B7"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0C4609"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16</w:t>
            </w:r>
          </w:p>
        </w:tc>
        <w:tc>
          <w:tcPr>
            <w:tcW w:w="1985" w:type="dxa"/>
            <w:vMerge/>
            <w:tcBorders>
              <w:top w:val="outset" w:sz="6" w:space="0" w:color="auto"/>
              <w:left w:val="outset" w:sz="6" w:space="0" w:color="auto"/>
              <w:bottom w:val="outset" w:sz="6" w:space="0" w:color="auto"/>
              <w:right w:val="outset" w:sz="6" w:space="0" w:color="auto"/>
            </w:tcBorders>
            <w:vAlign w:val="center"/>
            <w:hideMark/>
          </w:tcPr>
          <w:p w14:paraId="12E7853D" w14:textId="77777777" w:rsidR="00626ED1" w:rsidRPr="00C26A9B" w:rsidRDefault="00626ED1" w:rsidP="00626ED1">
            <w:pPr>
              <w:rPr>
                <w:rFonts w:ascii="Times New Roman" w:hAnsi="Times New Roman" w:cs="Times New Roman"/>
                <w:sz w:val="24"/>
                <w:szCs w:val="24"/>
                <w:lang w:val="ro-RO"/>
              </w:rPr>
            </w:pPr>
          </w:p>
        </w:tc>
        <w:tc>
          <w:tcPr>
            <w:tcW w:w="4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EF30F4"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Tehnologie, telecomunicații</w:t>
            </w:r>
          </w:p>
        </w:tc>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35D888"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5,5 %</w:t>
            </w:r>
          </w:p>
        </w:tc>
      </w:tr>
      <w:tr w:rsidR="00626ED1" w:rsidRPr="00C26A9B" w14:paraId="32F78456"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08254A"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17</w:t>
            </w:r>
          </w:p>
        </w:tc>
        <w:tc>
          <w:tcPr>
            <w:tcW w:w="1985" w:type="dxa"/>
            <w:vMerge/>
            <w:tcBorders>
              <w:top w:val="outset" w:sz="6" w:space="0" w:color="auto"/>
              <w:left w:val="outset" w:sz="6" w:space="0" w:color="auto"/>
              <w:bottom w:val="outset" w:sz="6" w:space="0" w:color="auto"/>
              <w:right w:val="outset" w:sz="6" w:space="0" w:color="auto"/>
            </w:tcBorders>
            <w:vAlign w:val="center"/>
            <w:hideMark/>
          </w:tcPr>
          <w:p w14:paraId="608B72CE" w14:textId="77777777" w:rsidR="00626ED1" w:rsidRPr="00C26A9B" w:rsidRDefault="00626ED1" w:rsidP="00626ED1">
            <w:pPr>
              <w:rPr>
                <w:rFonts w:ascii="Times New Roman" w:hAnsi="Times New Roman" w:cs="Times New Roman"/>
                <w:sz w:val="24"/>
                <w:szCs w:val="24"/>
                <w:lang w:val="ro-RO"/>
              </w:rPr>
            </w:pPr>
          </w:p>
        </w:tc>
        <w:tc>
          <w:tcPr>
            <w:tcW w:w="49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C02A77"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Asistență medicală, utilități, activități profesionale și tehnice</w:t>
            </w:r>
          </w:p>
        </w:tc>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2A0B12"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5,0 %</w:t>
            </w:r>
          </w:p>
        </w:tc>
      </w:tr>
      <w:tr w:rsidR="00626ED1" w:rsidRPr="00C26A9B" w14:paraId="1B120B35"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9CA611"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18</w:t>
            </w:r>
          </w:p>
        </w:tc>
        <w:tc>
          <w:tcPr>
            <w:tcW w:w="694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9BB751"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Alt sector</w:t>
            </w:r>
          </w:p>
        </w:tc>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D4496F"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12,0 %</w:t>
            </w:r>
          </w:p>
        </w:tc>
      </w:tr>
      <w:tr w:rsidR="00626ED1" w:rsidRPr="00C26A9B" w14:paraId="1A2472DD"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44B437"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19</w:t>
            </w:r>
          </w:p>
        </w:tc>
        <w:tc>
          <w:tcPr>
            <w:tcW w:w="694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C27227"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Indici de credit cotați cu majoritatea componentelor individuale din categoria </w:t>
            </w:r>
            <w:proofErr w:type="spellStart"/>
            <w:r w:rsidRPr="00C26A9B">
              <w:rPr>
                <w:rFonts w:ascii="Times New Roman" w:hAnsi="Times New Roman" w:cs="Times New Roman"/>
                <w:i/>
                <w:iCs/>
                <w:sz w:val="24"/>
                <w:szCs w:val="24"/>
                <w:lang w:val="ro-RO"/>
              </w:rPr>
              <w:t>investment</w:t>
            </w:r>
            <w:proofErr w:type="spellEnd"/>
            <w:r w:rsidRPr="00C26A9B">
              <w:rPr>
                <w:rFonts w:ascii="Times New Roman" w:hAnsi="Times New Roman" w:cs="Times New Roman"/>
                <w:i/>
                <w:iCs/>
                <w:sz w:val="24"/>
                <w:szCs w:val="24"/>
                <w:lang w:val="ro-RO"/>
              </w:rPr>
              <w:t xml:space="preserve"> grade</w:t>
            </w:r>
          </w:p>
        </w:tc>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A229A5"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1,5 %</w:t>
            </w:r>
          </w:p>
        </w:tc>
      </w:tr>
      <w:tr w:rsidR="00626ED1" w:rsidRPr="00C26A9B" w14:paraId="5610EBD4"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574C8D"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20</w:t>
            </w:r>
          </w:p>
        </w:tc>
        <w:tc>
          <w:tcPr>
            <w:tcW w:w="694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205C8B"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Indici de credit cotați cu majoritatea componentelor individuale din categoria </w:t>
            </w:r>
            <w:r w:rsidRPr="00C26A9B">
              <w:rPr>
                <w:rFonts w:ascii="Times New Roman" w:hAnsi="Times New Roman" w:cs="Times New Roman"/>
                <w:i/>
                <w:iCs/>
                <w:sz w:val="24"/>
                <w:szCs w:val="24"/>
                <w:lang w:val="ro-RO"/>
              </w:rPr>
              <w:t>non-</w:t>
            </w:r>
            <w:proofErr w:type="spellStart"/>
            <w:r w:rsidRPr="00C26A9B">
              <w:rPr>
                <w:rFonts w:ascii="Times New Roman" w:hAnsi="Times New Roman" w:cs="Times New Roman"/>
                <w:i/>
                <w:iCs/>
                <w:sz w:val="24"/>
                <w:szCs w:val="24"/>
                <w:lang w:val="ro-RO"/>
              </w:rPr>
              <w:t>investment</w:t>
            </w:r>
            <w:proofErr w:type="spellEnd"/>
            <w:r w:rsidRPr="00C26A9B">
              <w:rPr>
                <w:rFonts w:ascii="Times New Roman" w:hAnsi="Times New Roman" w:cs="Times New Roman"/>
                <w:i/>
                <w:iCs/>
                <w:sz w:val="24"/>
                <w:szCs w:val="24"/>
                <w:lang w:val="ro-RO"/>
              </w:rPr>
              <w:t xml:space="preserve"> grade</w:t>
            </w:r>
            <w:r w:rsidRPr="00C26A9B">
              <w:rPr>
                <w:rFonts w:ascii="Times New Roman" w:hAnsi="Times New Roman" w:cs="Times New Roman"/>
                <w:sz w:val="24"/>
                <w:szCs w:val="24"/>
                <w:lang w:val="ro-RO"/>
              </w:rPr>
              <w:t> sau fără rating</w:t>
            </w:r>
          </w:p>
        </w:tc>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8B177D" w14:textId="77777777" w:rsidR="00626ED1" w:rsidRPr="00C26A9B" w:rsidRDefault="00626ED1" w:rsidP="00626ED1">
            <w:pPr>
              <w:rPr>
                <w:rFonts w:ascii="Times New Roman" w:hAnsi="Times New Roman" w:cs="Times New Roman"/>
                <w:sz w:val="24"/>
                <w:szCs w:val="24"/>
                <w:lang w:val="ro-RO"/>
              </w:rPr>
            </w:pPr>
            <w:r w:rsidRPr="00C26A9B">
              <w:rPr>
                <w:rFonts w:ascii="Times New Roman" w:hAnsi="Times New Roman" w:cs="Times New Roman"/>
                <w:sz w:val="24"/>
                <w:szCs w:val="24"/>
                <w:lang w:val="ro-RO"/>
              </w:rPr>
              <w:t>5 %</w:t>
            </w:r>
          </w:p>
        </w:tc>
      </w:tr>
    </w:tbl>
    <w:p w14:paraId="3B2DC3C9" w14:textId="77777777" w:rsidR="00626ED1" w:rsidRPr="00C26A9B" w:rsidRDefault="00626ED1" w:rsidP="001E3EB2">
      <w:pPr>
        <w:rPr>
          <w:rFonts w:ascii="Times New Roman" w:hAnsi="Times New Roman" w:cs="Times New Roman"/>
          <w:sz w:val="24"/>
          <w:szCs w:val="24"/>
          <w:lang w:val="ro-RO"/>
        </w:rPr>
      </w:pPr>
    </w:p>
    <w:p w14:paraId="4BC9F53E" w14:textId="06D8BC7B" w:rsidR="00E169D0"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280. În sensul prezentului paragraf, unei expuneri i se atribuie categoria de calitate a creditului corespunzătoare categoriei de calitate a creditului pe care ar urma să o primească în conformitate cu abordarea standardizată pentru riscul de credit prevăzută în Regulamentul nr.111/2018.</w:t>
      </w:r>
    </w:p>
    <w:p w14:paraId="0856C677" w14:textId="2ACE80D1"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281.   Atunci când atribuie o expunere la risc unui sector, băncile se bazează pe o clasificare care este utilizată în mod curent pe piață pentru gruparea emitenților în funcție de sector. Băncile încadrează fiecare emitent într-o singură bandă sectorială din tabelul 4. Expunerile la risc provenind de la orice emitent pe care o bancă nu le poate atribui unui anumit sector în acest mod sunt încadrate în banda 18 din tabelul 4.</w:t>
      </w:r>
    </w:p>
    <w:p w14:paraId="6D1C04C2" w14:textId="27F31983"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282.   Prin derogare de la pct.281, băncile pot încadra în banda 4 o expunere la risc aferentă unei obligațiuni garantate care nu beneficiază de rating în cazul în care banca care a emis obligațiunea garantată are nivelul 1-3 de calitate a creditului.</w:t>
      </w:r>
    </w:p>
    <w:p w14:paraId="72CB5246" w14:textId="7D203532" w:rsidR="00B01DA4" w:rsidRPr="00C26A9B" w:rsidRDefault="00B01DA4" w:rsidP="00B01DA4">
      <w:pPr>
        <w:rPr>
          <w:rFonts w:ascii="Times New Roman" w:hAnsi="Times New Roman" w:cs="Times New Roman"/>
          <w:b/>
          <w:bCs/>
          <w:sz w:val="24"/>
          <w:szCs w:val="24"/>
          <w:lang w:val="ro-RO"/>
        </w:rPr>
      </w:pPr>
      <w:bookmarkStart w:id="37" w:name="_Hlk195097816"/>
      <w:r w:rsidRPr="00C26A9B">
        <w:rPr>
          <w:rFonts w:ascii="Times New Roman" w:hAnsi="Times New Roman" w:cs="Times New Roman"/>
          <w:i/>
          <w:iCs/>
          <w:sz w:val="24"/>
          <w:szCs w:val="24"/>
          <w:lang w:val="ro-RO"/>
        </w:rPr>
        <w:t xml:space="preserve">Paragraful 5. </w:t>
      </w:r>
      <w:r w:rsidRPr="00C26A9B">
        <w:rPr>
          <w:rFonts w:ascii="Times New Roman" w:hAnsi="Times New Roman" w:cs="Times New Roman"/>
          <w:b/>
          <w:bCs/>
          <w:sz w:val="24"/>
          <w:szCs w:val="24"/>
          <w:lang w:val="ro-RO"/>
        </w:rPr>
        <w:t>Corelațiile din cadrul unei benzi pentru riscul de marjă de credit pentru instrumente care nu sunt poziții din securitizare</w:t>
      </w:r>
      <w:bookmarkEnd w:id="37"/>
    </w:p>
    <w:p w14:paraId="6162D820"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283.  Parametrul de corelație </w:t>
      </w: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xml:space="preserve"> între două sensibilități </w:t>
      </w:r>
      <w:proofErr w:type="spellStart"/>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k</w:t>
      </w:r>
      <w:proofErr w:type="spellEnd"/>
      <w:r w:rsidRPr="00C26A9B">
        <w:rPr>
          <w:rFonts w:ascii="Times New Roman" w:hAnsi="Times New Roman" w:cs="Times New Roman"/>
          <w:sz w:val="24"/>
          <w:szCs w:val="24"/>
          <w:lang w:val="ro-RO"/>
        </w:rPr>
        <w:t xml:space="preserve"> și </w:t>
      </w:r>
      <w:proofErr w:type="spellStart"/>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l</w:t>
      </w:r>
      <w:proofErr w:type="spellEnd"/>
      <w:r w:rsidRPr="00C26A9B">
        <w:rPr>
          <w:rFonts w:ascii="Times New Roman" w:hAnsi="Times New Roman" w:cs="Times New Roman"/>
          <w:sz w:val="24"/>
          <w:szCs w:val="24"/>
          <w:lang w:val="ro-RO"/>
        </w:rPr>
        <w:t> din cadrul aceleiași benzi, se stabilește după cum urmează:</w:t>
      </w:r>
    </w:p>
    <w:p w14:paraId="280A1F57" w14:textId="77777777" w:rsidR="00B01DA4" w:rsidRPr="00C26A9B" w:rsidRDefault="00B01DA4" w:rsidP="00B01DA4">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xml:space="preserve"> = </w:t>
      </w: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w:t>
      </w:r>
      <w:r w:rsidRPr="00C26A9B">
        <w:rPr>
          <w:rFonts w:ascii="Times New Roman" w:hAnsi="Times New Roman" w:cs="Times New Roman"/>
          <w:sz w:val="24"/>
          <w:szCs w:val="24"/>
          <w:vertAlign w:val="superscript"/>
          <w:lang w:val="ro-RO"/>
        </w:rPr>
        <w:t>(nume)</w:t>
      </w:r>
      <w:r w:rsidRPr="00C26A9B">
        <w:rPr>
          <w:rFonts w:ascii="Times New Roman" w:hAnsi="Times New Roman" w:cs="Times New Roman"/>
          <w:sz w:val="24"/>
          <w:szCs w:val="24"/>
          <w:lang w:val="ro-RO"/>
        </w:rPr>
        <w:t xml:space="preserve"> · </w:t>
      </w: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w:t>
      </w:r>
      <w:r w:rsidRPr="00C26A9B">
        <w:rPr>
          <w:rFonts w:ascii="Times New Roman" w:hAnsi="Times New Roman" w:cs="Times New Roman"/>
          <w:sz w:val="24"/>
          <w:szCs w:val="24"/>
          <w:vertAlign w:val="superscript"/>
          <w:lang w:val="ro-RO"/>
        </w:rPr>
        <w:t>(scadență)</w:t>
      </w:r>
      <w:r w:rsidRPr="00C26A9B">
        <w:rPr>
          <w:rFonts w:ascii="Times New Roman" w:hAnsi="Times New Roman" w:cs="Times New Roman"/>
          <w:sz w:val="24"/>
          <w:szCs w:val="24"/>
          <w:lang w:val="ro-RO"/>
        </w:rPr>
        <w:t xml:space="preserve"> · </w:t>
      </w: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w:t>
      </w:r>
      <w:r w:rsidRPr="00C26A9B">
        <w:rPr>
          <w:rFonts w:ascii="Times New Roman" w:hAnsi="Times New Roman" w:cs="Times New Roman"/>
          <w:sz w:val="24"/>
          <w:szCs w:val="24"/>
          <w:vertAlign w:val="superscript"/>
          <w:lang w:val="ro-RO"/>
        </w:rPr>
        <w:t>(bază)</w:t>
      </w:r>
    </w:p>
    <w:p w14:paraId="27610CAC"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p w14:paraId="512FE193" w14:textId="77777777" w:rsidR="00B01DA4" w:rsidRPr="00C26A9B" w:rsidRDefault="00B01DA4" w:rsidP="00B01DA4">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w:t>
      </w:r>
      <w:r w:rsidRPr="00C26A9B">
        <w:rPr>
          <w:rFonts w:ascii="Times New Roman" w:hAnsi="Times New Roman" w:cs="Times New Roman"/>
          <w:sz w:val="24"/>
          <w:szCs w:val="24"/>
          <w:vertAlign w:val="superscript"/>
          <w:lang w:val="ro-RO"/>
        </w:rPr>
        <w:t>(nume)</w:t>
      </w:r>
      <w:r w:rsidRPr="00C26A9B">
        <w:rPr>
          <w:rFonts w:ascii="Times New Roman" w:hAnsi="Times New Roman" w:cs="Times New Roman"/>
          <w:sz w:val="24"/>
          <w:szCs w:val="24"/>
          <w:lang w:val="ro-RO"/>
        </w:rPr>
        <w:t> este egal cu 1 atunci când cele două nume ale sensibilităților k și l sunt identice; este egal cu 35 % atunci când cele două nume ale sensibilităților k și l se află în benzile 1-18 din tabelul 4 de la pct.279; în caz contrar este egal cu 80 %;</w:t>
      </w:r>
    </w:p>
    <w:p w14:paraId="34ED9BFF" w14:textId="77777777" w:rsidR="00B01DA4" w:rsidRPr="00C26A9B" w:rsidRDefault="00B01DA4" w:rsidP="00B01DA4">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w:t>
      </w:r>
      <w:r w:rsidRPr="00C26A9B">
        <w:rPr>
          <w:rFonts w:ascii="Times New Roman" w:hAnsi="Times New Roman" w:cs="Times New Roman"/>
          <w:sz w:val="24"/>
          <w:szCs w:val="24"/>
          <w:vertAlign w:val="superscript"/>
          <w:lang w:val="ro-RO"/>
        </w:rPr>
        <w:t>(scadență)</w:t>
      </w:r>
      <w:r w:rsidRPr="00C26A9B">
        <w:rPr>
          <w:rFonts w:ascii="Times New Roman" w:hAnsi="Times New Roman" w:cs="Times New Roman"/>
          <w:sz w:val="24"/>
          <w:szCs w:val="24"/>
          <w:lang w:val="ro-RO"/>
        </w:rPr>
        <w:t> este egal cu 1 atunci când cele două puncte ale sensibilităților „k” și „l” sunt identice, iar în caz contrar cu 65 %;</w:t>
      </w:r>
    </w:p>
    <w:p w14:paraId="6045E647" w14:textId="1A864614" w:rsidR="00B01DA4" w:rsidRPr="00C26A9B" w:rsidRDefault="00B01DA4" w:rsidP="00B01DA4">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w:t>
      </w:r>
      <w:r w:rsidRPr="00C26A9B">
        <w:rPr>
          <w:rFonts w:ascii="Times New Roman" w:hAnsi="Times New Roman" w:cs="Times New Roman"/>
          <w:sz w:val="24"/>
          <w:szCs w:val="24"/>
          <w:vertAlign w:val="superscript"/>
          <w:lang w:val="ro-RO"/>
        </w:rPr>
        <w:t>(bază)</w:t>
      </w:r>
      <w:r w:rsidRPr="00C26A9B">
        <w:rPr>
          <w:rFonts w:ascii="Times New Roman" w:hAnsi="Times New Roman" w:cs="Times New Roman"/>
          <w:sz w:val="24"/>
          <w:szCs w:val="24"/>
          <w:lang w:val="ro-RO"/>
        </w:rPr>
        <w:t> este egal cu 1 atunci când cele două sensibilități corespund acelorași curbe, iar în caz contrar cu 99,90 %.</w:t>
      </w:r>
    </w:p>
    <w:p w14:paraId="5FC81DBC" w14:textId="1E485AAE"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284.   Parametrii de corelație menționați la pct.283 nu se aplică benzii 18 din tabelul 4 de la pct.279. Cerința de capital pentru formula de agregare a riscului delta din cadrul benzii 18 este egală cu suma valorilor absolute ale sensibilităților nete ponderate atribuite benzii respective:</w:t>
      </w:r>
    </w:p>
    <w:p w14:paraId="4F45166D" w14:textId="226A820E"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noProof/>
          <w:color w:val="000000" w:themeColor="text1"/>
          <w:lang w:val="ro-RO"/>
        </w:rPr>
        <w:drawing>
          <wp:inline distT="0" distB="0" distL="0" distR="0" wp14:anchorId="6B0C2295" wp14:editId="4B97A39E">
            <wp:extent cx="2317750" cy="584200"/>
            <wp:effectExtent l="0" t="0" r="6350" b="6350"/>
            <wp:docPr id="161" name="Picture 16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imag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17750" cy="584200"/>
                    </a:xfrm>
                    <a:prstGeom prst="rect">
                      <a:avLst/>
                    </a:prstGeom>
                    <a:noFill/>
                    <a:ln>
                      <a:noFill/>
                    </a:ln>
                  </pic:spPr>
                </pic:pic>
              </a:graphicData>
            </a:graphic>
          </wp:inline>
        </w:drawing>
      </w:r>
    </w:p>
    <w:p w14:paraId="0DE5B861" w14:textId="4950B432" w:rsidR="00B01DA4" w:rsidRPr="00C26A9B" w:rsidRDefault="00B01DA4" w:rsidP="00B01DA4">
      <w:pPr>
        <w:rPr>
          <w:rFonts w:ascii="Times New Roman" w:hAnsi="Times New Roman" w:cs="Times New Roman"/>
          <w:b/>
          <w:bCs/>
          <w:sz w:val="24"/>
          <w:szCs w:val="24"/>
          <w:lang w:val="ro-RO"/>
        </w:rPr>
      </w:pPr>
      <w:bookmarkStart w:id="38" w:name="_Hlk195097848"/>
      <w:r w:rsidRPr="00C26A9B">
        <w:rPr>
          <w:rFonts w:ascii="Times New Roman" w:hAnsi="Times New Roman" w:cs="Times New Roman"/>
          <w:i/>
          <w:iCs/>
          <w:sz w:val="24"/>
          <w:szCs w:val="24"/>
          <w:lang w:val="ro-RO"/>
        </w:rPr>
        <w:t xml:space="preserve">Paragraful 6. </w:t>
      </w:r>
      <w:r w:rsidRPr="00C26A9B">
        <w:rPr>
          <w:rFonts w:ascii="Times New Roman" w:hAnsi="Times New Roman" w:cs="Times New Roman"/>
          <w:b/>
          <w:bCs/>
          <w:sz w:val="24"/>
          <w:szCs w:val="24"/>
          <w:lang w:val="ro-RO"/>
        </w:rPr>
        <w:t>Corelațiile între benzi pentru riscul de marjă de credit pentru instrumente care nu sunt poziții din securitizare</w:t>
      </w:r>
      <w:bookmarkEnd w:id="38"/>
    </w:p>
    <w:p w14:paraId="3993856E"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285. Parametrul de corelație </w:t>
      </w:r>
      <w:proofErr w:type="spellStart"/>
      <w:r w:rsidRPr="00C26A9B">
        <w:rPr>
          <w:rFonts w:ascii="Times New Roman" w:hAnsi="Times New Roman" w:cs="Times New Roman"/>
          <w:sz w:val="24"/>
          <w:szCs w:val="24"/>
          <w:lang w:val="ro-RO"/>
        </w:rPr>
        <w:t>γ</w:t>
      </w:r>
      <w:r w:rsidRPr="00C26A9B">
        <w:rPr>
          <w:rFonts w:ascii="Times New Roman" w:hAnsi="Times New Roman" w:cs="Times New Roman"/>
          <w:sz w:val="24"/>
          <w:szCs w:val="24"/>
          <w:vertAlign w:val="subscript"/>
          <w:lang w:val="ro-RO"/>
        </w:rPr>
        <w:t>bc</w:t>
      </w:r>
      <w:proofErr w:type="spellEnd"/>
      <w:r w:rsidRPr="00C26A9B">
        <w:rPr>
          <w:rFonts w:ascii="Times New Roman" w:hAnsi="Times New Roman" w:cs="Times New Roman"/>
          <w:sz w:val="24"/>
          <w:szCs w:val="24"/>
          <w:lang w:val="ro-RO"/>
        </w:rPr>
        <w:t> care se aplică la agregarea sensibilităților între benzi diferite se stabilește după cum urmează:</w:t>
      </w:r>
    </w:p>
    <w:p w14:paraId="6B728D79" w14:textId="77777777" w:rsidR="00B01DA4" w:rsidRPr="00C26A9B" w:rsidRDefault="00B01DA4" w:rsidP="00B01DA4">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γ</w:t>
      </w:r>
      <w:r w:rsidRPr="00C26A9B">
        <w:rPr>
          <w:rFonts w:ascii="Times New Roman" w:hAnsi="Times New Roman" w:cs="Times New Roman"/>
          <w:sz w:val="24"/>
          <w:szCs w:val="24"/>
          <w:vertAlign w:val="subscript"/>
          <w:lang w:val="ro-RO"/>
        </w:rPr>
        <w:t>bc</w:t>
      </w:r>
      <w:proofErr w:type="spellEnd"/>
      <w:r w:rsidRPr="00C26A9B">
        <w:rPr>
          <w:rFonts w:ascii="Times New Roman" w:hAnsi="Times New Roman" w:cs="Times New Roman"/>
          <w:sz w:val="24"/>
          <w:szCs w:val="24"/>
          <w:lang w:val="ro-RO"/>
        </w:rPr>
        <w:t xml:space="preserve"> = </w:t>
      </w:r>
      <w:proofErr w:type="spellStart"/>
      <w:r w:rsidRPr="00C26A9B">
        <w:rPr>
          <w:rFonts w:ascii="Times New Roman" w:hAnsi="Times New Roman" w:cs="Times New Roman"/>
          <w:sz w:val="24"/>
          <w:szCs w:val="24"/>
          <w:lang w:val="ro-RO"/>
        </w:rPr>
        <w:t>γ</w:t>
      </w:r>
      <w:r w:rsidRPr="00C26A9B">
        <w:rPr>
          <w:rFonts w:ascii="Times New Roman" w:hAnsi="Times New Roman" w:cs="Times New Roman"/>
          <w:sz w:val="24"/>
          <w:szCs w:val="24"/>
          <w:vertAlign w:val="subscript"/>
          <w:lang w:val="ro-RO"/>
        </w:rPr>
        <w:t>bc</w:t>
      </w:r>
      <w:proofErr w:type="spellEnd"/>
      <w:r w:rsidRPr="00C26A9B">
        <w:rPr>
          <w:rFonts w:ascii="Times New Roman" w:hAnsi="Times New Roman" w:cs="Times New Roman"/>
          <w:sz w:val="24"/>
          <w:szCs w:val="24"/>
          <w:lang w:val="ro-RO"/>
        </w:rPr>
        <w:t> </w:t>
      </w:r>
      <w:r w:rsidRPr="00C26A9B">
        <w:rPr>
          <w:rFonts w:ascii="Times New Roman" w:hAnsi="Times New Roman" w:cs="Times New Roman"/>
          <w:sz w:val="24"/>
          <w:szCs w:val="24"/>
          <w:vertAlign w:val="superscript"/>
          <w:lang w:val="ro-RO"/>
        </w:rPr>
        <w:t>(rating)</w:t>
      </w:r>
      <w:r w:rsidRPr="00C26A9B">
        <w:rPr>
          <w:rFonts w:ascii="Times New Roman" w:hAnsi="Times New Roman" w:cs="Times New Roman"/>
          <w:sz w:val="24"/>
          <w:szCs w:val="24"/>
          <w:lang w:val="ro-RO"/>
        </w:rPr>
        <w:t xml:space="preserve"> · </w:t>
      </w:r>
      <w:proofErr w:type="spellStart"/>
      <w:r w:rsidRPr="00C26A9B">
        <w:rPr>
          <w:rFonts w:ascii="Times New Roman" w:hAnsi="Times New Roman" w:cs="Times New Roman"/>
          <w:sz w:val="24"/>
          <w:szCs w:val="24"/>
          <w:lang w:val="ro-RO"/>
        </w:rPr>
        <w:t>γ</w:t>
      </w:r>
      <w:r w:rsidRPr="00C26A9B">
        <w:rPr>
          <w:rFonts w:ascii="Times New Roman" w:hAnsi="Times New Roman" w:cs="Times New Roman"/>
          <w:sz w:val="24"/>
          <w:szCs w:val="24"/>
          <w:vertAlign w:val="subscript"/>
          <w:lang w:val="ro-RO"/>
        </w:rPr>
        <w:t>bc</w:t>
      </w:r>
      <w:proofErr w:type="spellEnd"/>
      <w:r w:rsidRPr="00C26A9B">
        <w:rPr>
          <w:rFonts w:ascii="Times New Roman" w:hAnsi="Times New Roman" w:cs="Times New Roman"/>
          <w:sz w:val="24"/>
          <w:szCs w:val="24"/>
          <w:lang w:val="ro-RO"/>
        </w:rPr>
        <w:t> </w:t>
      </w:r>
      <w:r w:rsidRPr="00C26A9B">
        <w:rPr>
          <w:rFonts w:ascii="Times New Roman" w:hAnsi="Times New Roman" w:cs="Times New Roman"/>
          <w:sz w:val="24"/>
          <w:szCs w:val="24"/>
          <w:vertAlign w:val="superscript"/>
          <w:lang w:val="ro-RO"/>
        </w:rPr>
        <w:t>(sector)</w:t>
      </w:r>
    </w:p>
    <w:p w14:paraId="24AA43DC"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p w14:paraId="32FA0DCA" w14:textId="77777777" w:rsidR="00B01DA4" w:rsidRPr="00C26A9B" w:rsidRDefault="00B01DA4" w:rsidP="00B01DA4">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γ</w:t>
      </w:r>
      <w:r w:rsidRPr="00C26A9B">
        <w:rPr>
          <w:rFonts w:ascii="Times New Roman" w:hAnsi="Times New Roman" w:cs="Times New Roman"/>
          <w:sz w:val="24"/>
          <w:szCs w:val="24"/>
          <w:vertAlign w:val="subscript"/>
          <w:lang w:val="ro-RO"/>
        </w:rPr>
        <w:t>bc</w:t>
      </w:r>
      <w:proofErr w:type="spellEnd"/>
      <w:r w:rsidRPr="00C26A9B">
        <w:rPr>
          <w:rFonts w:ascii="Times New Roman" w:hAnsi="Times New Roman" w:cs="Times New Roman"/>
          <w:sz w:val="24"/>
          <w:szCs w:val="24"/>
          <w:lang w:val="ro-RO"/>
        </w:rPr>
        <w:t> </w:t>
      </w:r>
      <w:r w:rsidRPr="00C26A9B">
        <w:rPr>
          <w:rFonts w:ascii="Times New Roman" w:hAnsi="Times New Roman" w:cs="Times New Roman"/>
          <w:sz w:val="24"/>
          <w:szCs w:val="24"/>
          <w:vertAlign w:val="superscript"/>
          <w:lang w:val="ro-RO"/>
        </w:rPr>
        <w:t>(rating)</w:t>
      </w:r>
      <w:r w:rsidRPr="00C26A9B">
        <w:rPr>
          <w:rFonts w:ascii="Times New Roman" w:hAnsi="Times New Roman" w:cs="Times New Roman"/>
          <w:sz w:val="24"/>
          <w:szCs w:val="24"/>
          <w:lang w:val="ro-RO"/>
        </w:rPr>
        <w:t> este egal cu:</w:t>
      </w:r>
    </w:p>
    <w:p w14:paraId="3DEFC112"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285.1. 1 atunci când benzile b și c sunt benzile 1-17 și ambele benzi intră în aceeași categorie de calitate a creditului (fie „nivelul 1-3 de calitate a creditului”, fie „nivelul 4-6 de calitate a creditului”); în caz contrar este egal cu 50 %; în scopul acestui calcul, se consideră că banda 1 intră în aceeași categorie de calitate a creditului ca și benzile care au nivelul 1-3 de calitate a creditului;</w:t>
      </w:r>
    </w:p>
    <w:p w14:paraId="31CE9C57"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285.2. 1 atunci când banda b sau c este banda 18;</w:t>
      </w:r>
    </w:p>
    <w:p w14:paraId="5E509669"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285.3. 1 atunci când banda b sau c este banda 19, iar cealaltă bandă are nivelul 1-3 de calitate a creditului; în caz contrar este egal cu 50 %;</w:t>
      </w:r>
    </w:p>
    <w:p w14:paraId="54A72E0F"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285.4. 1 atunci când banda b sau c este banda 20, iar cealaltă bandă are nivelul 4-6 de calitate a creditului; în caz contrar este egal cu 50 %;</w:t>
      </w:r>
    </w:p>
    <w:p w14:paraId="2C9ECF37" w14:textId="77777777" w:rsidR="00B01DA4" w:rsidRPr="00C26A9B" w:rsidRDefault="00B01DA4" w:rsidP="00B01DA4">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lastRenderedPageBreak/>
        <w:t>γ</w:t>
      </w:r>
      <w:r w:rsidRPr="00C26A9B">
        <w:rPr>
          <w:rFonts w:ascii="Times New Roman" w:hAnsi="Times New Roman" w:cs="Times New Roman"/>
          <w:sz w:val="24"/>
          <w:szCs w:val="24"/>
          <w:vertAlign w:val="subscript"/>
          <w:lang w:val="ro-RO"/>
        </w:rPr>
        <w:t>bc</w:t>
      </w:r>
      <w:proofErr w:type="spellEnd"/>
      <w:r w:rsidRPr="00C26A9B">
        <w:rPr>
          <w:rFonts w:ascii="Times New Roman" w:hAnsi="Times New Roman" w:cs="Times New Roman"/>
          <w:sz w:val="24"/>
          <w:szCs w:val="24"/>
          <w:lang w:val="ro-RO"/>
        </w:rPr>
        <w:t> </w:t>
      </w:r>
      <w:r w:rsidRPr="00C26A9B">
        <w:rPr>
          <w:rFonts w:ascii="Times New Roman" w:hAnsi="Times New Roman" w:cs="Times New Roman"/>
          <w:sz w:val="24"/>
          <w:szCs w:val="24"/>
          <w:vertAlign w:val="superscript"/>
          <w:lang w:val="ro-RO"/>
        </w:rPr>
        <w:t>(sector)</w:t>
      </w:r>
      <w:r w:rsidRPr="00C26A9B">
        <w:rPr>
          <w:rFonts w:ascii="Times New Roman" w:hAnsi="Times New Roman" w:cs="Times New Roman"/>
          <w:sz w:val="24"/>
          <w:szCs w:val="24"/>
          <w:lang w:val="ro-RO"/>
        </w:rPr>
        <w:t> este egal cu 1 atunci când cele două benzi care fac parte din același sector, iar în caz contrar cu procentul corespunzător prevăzut în tabelul 5:</w:t>
      </w:r>
    </w:p>
    <w:p w14:paraId="482C97BD" w14:textId="77777777" w:rsidR="00B01DA4" w:rsidRPr="00C26A9B" w:rsidRDefault="00B01DA4" w:rsidP="00B01DA4">
      <w:pPr>
        <w:rPr>
          <w:rFonts w:ascii="Times New Roman" w:hAnsi="Times New Roman" w:cs="Times New Roman"/>
          <w:b/>
          <w:bCs/>
          <w:sz w:val="24"/>
          <w:szCs w:val="24"/>
          <w:lang w:val="ro-RO"/>
        </w:rPr>
      </w:pPr>
      <w:r w:rsidRPr="00C26A9B">
        <w:rPr>
          <w:rFonts w:ascii="Times New Roman" w:hAnsi="Times New Roman" w:cs="Times New Roman"/>
          <w:b/>
          <w:bCs/>
          <w:i/>
          <w:iCs/>
          <w:sz w:val="24"/>
          <w:szCs w:val="24"/>
          <w:lang w:val="ro-RO"/>
        </w:rPr>
        <w:t>Tabelul 5</w:t>
      </w:r>
    </w:p>
    <w:tbl>
      <w:tblPr>
        <w:tblW w:w="912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85"/>
        <w:gridCol w:w="883"/>
        <w:gridCol w:w="731"/>
        <w:gridCol w:w="715"/>
        <w:gridCol w:w="700"/>
        <w:gridCol w:w="826"/>
        <w:gridCol w:w="811"/>
        <w:gridCol w:w="795"/>
        <w:gridCol w:w="780"/>
        <w:gridCol w:w="567"/>
        <w:gridCol w:w="708"/>
        <w:gridCol w:w="625"/>
      </w:tblGrid>
      <w:tr w:rsidR="00B01DA4" w:rsidRPr="00C26A9B" w14:paraId="4DB5E8C5"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C60074" w14:textId="77777777" w:rsidR="00B01DA4" w:rsidRPr="00C26A9B" w:rsidRDefault="00B01DA4" w:rsidP="00B01DA4">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Banda</w:t>
            </w:r>
          </w:p>
        </w:tc>
        <w:tc>
          <w:tcPr>
            <w:tcW w:w="8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0C5754" w14:textId="77777777" w:rsidR="00B01DA4" w:rsidRPr="00C26A9B" w:rsidRDefault="00B01DA4" w:rsidP="00B01DA4">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1, 2 și 11</w:t>
            </w:r>
          </w:p>
        </w:tc>
        <w:tc>
          <w:tcPr>
            <w:tcW w:w="7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7F0EA6" w14:textId="77777777" w:rsidR="00B01DA4" w:rsidRPr="00C26A9B" w:rsidRDefault="00B01DA4" w:rsidP="00B01DA4">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3 și 12</w:t>
            </w:r>
          </w:p>
        </w:tc>
        <w:tc>
          <w:tcPr>
            <w:tcW w:w="7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61EE0A" w14:textId="77777777" w:rsidR="00B01DA4" w:rsidRPr="00C26A9B" w:rsidRDefault="00B01DA4" w:rsidP="00B01DA4">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4 și 13</w:t>
            </w:r>
          </w:p>
        </w:tc>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F5D9A9" w14:textId="77777777" w:rsidR="00B01DA4" w:rsidRPr="00C26A9B" w:rsidRDefault="00B01DA4" w:rsidP="00B01DA4">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5 și 14</w:t>
            </w:r>
          </w:p>
        </w:tc>
        <w:tc>
          <w:tcPr>
            <w:tcW w:w="8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AC150B" w14:textId="77777777" w:rsidR="00B01DA4" w:rsidRPr="00C26A9B" w:rsidRDefault="00B01DA4" w:rsidP="00B01DA4">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6 și 15</w:t>
            </w:r>
          </w:p>
        </w:tc>
        <w:tc>
          <w:tcPr>
            <w:tcW w:w="8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B00928" w14:textId="77777777" w:rsidR="00B01DA4" w:rsidRPr="00C26A9B" w:rsidRDefault="00B01DA4" w:rsidP="00B01DA4">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7 și 16</w:t>
            </w:r>
          </w:p>
        </w:tc>
        <w:tc>
          <w:tcPr>
            <w:tcW w:w="7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5C2C49" w14:textId="77777777" w:rsidR="00B01DA4" w:rsidRPr="00C26A9B" w:rsidRDefault="00B01DA4" w:rsidP="00B01DA4">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8 și 17</w:t>
            </w:r>
          </w:p>
        </w:tc>
        <w:tc>
          <w:tcPr>
            <w:tcW w:w="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1B9D73" w14:textId="77777777" w:rsidR="00B01DA4" w:rsidRPr="00C26A9B" w:rsidRDefault="00B01DA4" w:rsidP="00B01DA4">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9 și 10</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740FB6" w14:textId="77777777" w:rsidR="00B01DA4" w:rsidRPr="00C26A9B" w:rsidRDefault="00B01DA4" w:rsidP="00B01DA4">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18</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8B75D0" w14:textId="77777777" w:rsidR="00B01DA4" w:rsidRPr="00C26A9B" w:rsidRDefault="00B01DA4" w:rsidP="00B01DA4">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19</w:t>
            </w:r>
          </w:p>
        </w:tc>
        <w:tc>
          <w:tcPr>
            <w:tcW w:w="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3364FD" w14:textId="77777777" w:rsidR="00B01DA4" w:rsidRPr="00C26A9B" w:rsidRDefault="00B01DA4" w:rsidP="00B01DA4">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20</w:t>
            </w:r>
          </w:p>
        </w:tc>
      </w:tr>
      <w:tr w:rsidR="00B01DA4" w:rsidRPr="00C26A9B" w14:paraId="0D3107FF"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AFA382"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1, 2 și 11</w:t>
            </w:r>
          </w:p>
        </w:tc>
        <w:tc>
          <w:tcPr>
            <w:tcW w:w="8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20992E"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A14338"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75 %</w:t>
            </w:r>
          </w:p>
        </w:tc>
        <w:tc>
          <w:tcPr>
            <w:tcW w:w="7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9C7616"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10 %</w:t>
            </w:r>
          </w:p>
        </w:tc>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6B136B"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20 %</w:t>
            </w:r>
          </w:p>
        </w:tc>
        <w:tc>
          <w:tcPr>
            <w:tcW w:w="8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D4B93B"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25 %</w:t>
            </w:r>
          </w:p>
        </w:tc>
        <w:tc>
          <w:tcPr>
            <w:tcW w:w="8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D2B93E"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20 %</w:t>
            </w:r>
          </w:p>
        </w:tc>
        <w:tc>
          <w:tcPr>
            <w:tcW w:w="7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194AD4"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15 %</w:t>
            </w:r>
          </w:p>
        </w:tc>
        <w:tc>
          <w:tcPr>
            <w:tcW w:w="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586F8D"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10 %</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BC211A"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0 %</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4EDB15"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45 %</w:t>
            </w:r>
          </w:p>
        </w:tc>
        <w:tc>
          <w:tcPr>
            <w:tcW w:w="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377931"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45 %</w:t>
            </w:r>
          </w:p>
        </w:tc>
      </w:tr>
      <w:tr w:rsidR="00B01DA4" w:rsidRPr="00C26A9B" w14:paraId="773D1340"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0C8825"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3 și 12</w:t>
            </w:r>
          </w:p>
        </w:tc>
        <w:tc>
          <w:tcPr>
            <w:tcW w:w="8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CFCA5B"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92F9DF"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88C0AC"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5 %</w:t>
            </w:r>
          </w:p>
        </w:tc>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544619"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15 %</w:t>
            </w:r>
          </w:p>
        </w:tc>
        <w:tc>
          <w:tcPr>
            <w:tcW w:w="8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120F18"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20 %</w:t>
            </w:r>
          </w:p>
        </w:tc>
        <w:tc>
          <w:tcPr>
            <w:tcW w:w="8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D9AF4F"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15 %</w:t>
            </w:r>
          </w:p>
        </w:tc>
        <w:tc>
          <w:tcPr>
            <w:tcW w:w="7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274E42"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10 %</w:t>
            </w:r>
          </w:p>
        </w:tc>
        <w:tc>
          <w:tcPr>
            <w:tcW w:w="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F1E450"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10 %</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D09C96"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0 %</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142A4A"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45 %</w:t>
            </w:r>
          </w:p>
        </w:tc>
        <w:tc>
          <w:tcPr>
            <w:tcW w:w="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A74634"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45 %</w:t>
            </w:r>
          </w:p>
        </w:tc>
      </w:tr>
      <w:tr w:rsidR="00B01DA4" w:rsidRPr="00C26A9B" w14:paraId="2B376306"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1880B2"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4 și 13</w:t>
            </w:r>
          </w:p>
        </w:tc>
        <w:tc>
          <w:tcPr>
            <w:tcW w:w="8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0E3602"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3AC29E"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4903B5"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202E91"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5 %</w:t>
            </w:r>
          </w:p>
        </w:tc>
        <w:tc>
          <w:tcPr>
            <w:tcW w:w="8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A7352A"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15 %</w:t>
            </w:r>
          </w:p>
        </w:tc>
        <w:tc>
          <w:tcPr>
            <w:tcW w:w="8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AF407C"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20 %</w:t>
            </w:r>
          </w:p>
        </w:tc>
        <w:tc>
          <w:tcPr>
            <w:tcW w:w="7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499FAE"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5 %</w:t>
            </w:r>
          </w:p>
        </w:tc>
        <w:tc>
          <w:tcPr>
            <w:tcW w:w="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7F8663"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20 %</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537C4C"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0 %</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D464DF"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45 %</w:t>
            </w:r>
          </w:p>
        </w:tc>
        <w:tc>
          <w:tcPr>
            <w:tcW w:w="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2EA331"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45 %</w:t>
            </w:r>
          </w:p>
        </w:tc>
      </w:tr>
      <w:tr w:rsidR="00B01DA4" w:rsidRPr="00C26A9B" w14:paraId="7CA29A2F"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DE96F4"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5 și 14</w:t>
            </w:r>
          </w:p>
        </w:tc>
        <w:tc>
          <w:tcPr>
            <w:tcW w:w="8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51C3D7"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D2E798"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0B9FEB"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02AADA"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8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6134AD"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20 %</w:t>
            </w:r>
          </w:p>
        </w:tc>
        <w:tc>
          <w:tcPr>
            <w:tcW w:w="8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2EB5A1"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25 %</w:t>
            </w:r>
          </w:p>
        </w:tc>
        <w:tc>
          <w:tcPr>
            <w:tcW w:w="7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FAA0BA"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5 %</w:t>
            </w:r>
          </w:p>
        </w:tc>
        <w:tc>
          <w:tcPr>
            <w:tcW w:w="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F4E51A"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5 %</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05CEB8"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0 %</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D82C21"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45 %</w:t>
            </w:r>
          </w:p>
        </w:tc>
        <w:tc>
          <w:tcPr>
            <w:tcW w:w="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21CC2D"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45 %</w:t>
            </w:r>
          </w:p>
        </w:tc>
      </w:tr>
      <w:tr w:rsidR="00B01DA4" w:rsidRPr="00C26A9B" w14:paraId="32422E3E"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01F3FD"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6 și 15</w:t>
            </w:r>
          </w:p>
        </w:tc>
        <w:tc>
          <w:tcPr>
            <w:tcW w:w="8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F9EE94"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426A0D"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EB36BB"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9FA51C"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8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8E02B5"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8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0AA3EF"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25 %</w:t>
            </w:r>
          </w:p>
        </w:tc>
        <w:tc>
          <w:tcPr>
            <w:tcW w:w="7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3FDAEC"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5 %</w:t>
            </w:r>
          </w:p>
        </w:tc>
        <w:tc>
          <w:tcPr>
            <w:tcW w:w="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BE5411"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15 %</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AC0332"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0 %</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0358AD"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45 %</w:t>
            </w:r>
          </w:p>
        </w:tc>
        <w:tc>
          <w:tcPr>
            <w:tcW w:w="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6DB193"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45 %</w:t>
            </w:r>
          </w:p>
        </w:tc>
      </w:tr>
      <w:tr w:rsidR="00B01DA4" w:rsidRPr="00C26A9B" w14:paraId="28A909CF"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F4D232"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7 și 16</w:t>
            </w:r>
          </w:p>
        </w:tc>
        <w:tc>
          <w:tcPr>
            <w:tcW w:w="8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30A18D"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B292D1"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B70150"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BA4C68"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8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11EC73"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8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A8DA3B"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C8FD32"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5 %</w:t>
            </w:r>
          </w:p>
        </w:tc>
        <w:tc>
          <w:tcPr>
            <w:tcW w:w="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A6596F"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20 %</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C1AAE1"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0 %</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C52C03"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45 %</w:t>
            </w:r>
          </w:p>
        </w:tc>
        <w:tc>
          <w:tcPr>
            <w:tcW w:w="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366AB9"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45 %</w:t>
            </w:r>
          </w:p>
        </w:tc>
      </w:tr>
      <w:tr w:rsidR="00B01DA4" w:rsidRPr="00C26A9B" w14:paraId="127AC0C4"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EA126D"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8 și 17</w:t>
            </w:r>
          </w:p>
        </w:tc>
        <w:tc>
          <w:tcPr>
            <w:tcW w:w="8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D1E3B2"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19067F"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1B0004"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DC770B"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8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CF8F73"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8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BF204B"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46BE33"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FBAC61"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5 %</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10D6D5"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0 %</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0EA229"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45 %</w:t>
            </w:r>
          </w:p>
        </w:tc>
        <w:tc>
          <w:tcPr>
            <w:tcW w:w="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6FF79A"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45 %</w:t>
            </w:r>
          </w:p>
        </w:tc>
      </w:tr>
      <w:tr w:rsidR="00B01DA4" w:rsidRPr="00C26A9B" w14:paraId="66CDC85E"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41CF63"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9 și 10</w:t>
            </w:r>
          </w:p>
        </w:tc>
        <w:tc>
          <w:tcPr>
            <w:tcW w:w="8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BDB493"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C53A4E"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5A8014"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F04C84"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8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B44836"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8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42F472"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A86F10"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B994C1"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8C5EB7"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0 %</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1A91EF"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45 %</w:t>
            </w:r>
          </w:p>
        </w:tc>
        <w:tc>
          <w:tcPr>
            <w:tcW w:w="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5D568B"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45 %</w:t>
            </w:r>
          </w:p>
        </w:tc>
      </w:tr>
      <w:tr w:rsidR="00B01DA4" w:rsidRPr="00C26A9B" w14:paraId="30CDFEE7"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8CAEFD"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18</w:t>
            </w:r>
          </w:p>
        </w:tc>
        <w:tc>
          <w:tcPr>
            <w:tcW w:w="8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220EE1"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A1A807"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B7E9A9"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8BDF6B"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8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0702B6"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8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FFB6BE"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125A77"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25269F"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47A617"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BB825E"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0 %</w:t>
            </w:r>
          </w:p>
        </w:tc>
        <w:tc>
          <w:tcPr>
            <w:tcW w:w="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852AF7"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0 %</w:t>
            </w:r>
          </w:p>
        </w:tc>
      </w:tr>
      <w:tr w:rsidR="00B01DA4" w:rsidRPr="00C26A9B" w14:paraId="757F68FA"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B8AE18"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19</w:t>
            </w:r>
          </w:p>
        </w:tc>
        <w:tc>
          <w:tcPr>
            <w:tcW w:w="8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FBC82D"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3B510C"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A10604"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7073F6"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8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1D7A2A"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8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E44FE9"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DA6F64"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F02FAF"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623D0A"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CC9B1F"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67E314"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75 %</w:t>
            </w:r>
          </w:p>
        </w:tc>
      </w:tr>
      <w:tr w:rsidR="00B01DA4" w:rsidRPr="00C26A9B" w14:paraId="4C338715" w14:textId="77777777" w:rsidTr="00B01DA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EB428C"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20</w:t>
            </w:r>
          </w:p>
        </w:tc>
        <w:tc>
          <w:tcPr>
            <w:tcW w:w="8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64B4EC"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3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7DA730"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83B407"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9E5758"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8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89ACE6"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8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BADCE8"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9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B97297"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6E018B"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5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3E008C"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A7C68A"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c>
          <w:tcPr>
            <w:tcW w:w="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786124" w14:textId="77777777" w:rsidR="00B01DA4" w:rsidRPr="00C26A9B" w:rsidRDefault="00B01DA4" w:rsidP="00B01DA4">
            <w:pPr>
              <w:rPr>
                <w:rFonts w:ascii="Times New Roman" w:hAnsi="Times New Roman" w:cs="Times New Roman"/>
                <w:sz w:val="24"/>
                <w:szCs w:val="24"/>
                <w:lang w:val="ro-RO"/>
              </w:rPr>
            </w:pPr>
            <w:r w:rsidRPr="00C26A9B">
              <w:rPr>
                <w:rFonts w:ascii="Times New Roman" w:hAnsi="Times New Roman" w:cs="Times New Roman"/>
                <w:sz w:val="24"/>
                <w:szCs w:val="24"/>
                <w:lang w:val="ro-RO"/>
              </w:rPr>
              <w:t> </w:t>
            </w:r>
          </w:p>
        </w:tc>
      </w:tr>
    </w:tbl>
    <w:p w14:paraId="26F0F01C" w14:textId="77777777" w:rsidR="00B01DA4" w:rsidRPr="00C26A9B" w:rsidRDefault="00B01DA4" w:rsidP="00B01DA4">
      <w:pPr>
        <w:rPr>
          <w:rFonts w:ascii="Times New Roman" w:hAnsi="Times New Roman" w:cs="Times New Roman"/>
          <w:sz w:val="24"/>
          <w:szCs w:val="24"/>
          <w:lang w:val="ro-RO"/>
        </w:rPr>
      </w:pPr>
    </w:p>
    <w:p w14:paraId="341B2EBA" w14:textId="6028BA58" w:rsidR="00B01DA4" w:rsidRPr="00C26A9B" w:rsidRDefault="00B9278E" w:rsidP="00B01DA4">
      <w:pPr>
        <w:rPr>
          <w:rFonts w:ascii="Times New Roman" w:hAnsi="Times New Roman" w:cs="Times New Roman"/>
          <w:b/>
          <w:bCs/>
          <w:sz w:val="24"/>
          <w:szCs w:val="24"/>
          <w:lang w:val="ro-RO"/>
        </w:rPr>
      </w:pPr>
      <w:bookmarkStart w:id="39" w:name="_Hlk195097884"/>
      <w:r w:rsidRPr="00C26A9B">
        <w:rPr>
          <w:rFonts w:ascii="Times New Roman" w:hAnsi="Times New Roman" w:cs="Times New Roman"/>
          <w:i/>
          <w:iCs/>
          <w:sz w:val="24"/>
          <w:szCs w:val="24"/>
          <w:lang w:val="ro-RO"/>
        </w:rPr>
        <w:t xml:space="preserve">Paragraful 7. </w:t>
      </w:r>
      <w:r w:rsidRPr="00C26A9B">
        <w:rPr>
          <w:rFonts w:ascii="Times New Roman" w:hAnsi="Times New Roman" w:cs="Times New Roman"/>
          <w:b/>
          <w:bCs/>
          <w:sz w:val="24"/>
          <w:szCs w:val="24"/>
          <w:lang w:val="ro-RO"/>
        </w:rPr>
        <w:t>Ponderile de risc pentru securitizările riscului de marjă de credit incluse în ACTP</w:t>
      </w:r>
      <w:bookmarkEnd w:id="39"/>
    </w:p>
    <w:p w14:paraId="450A386C"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286. Ponderile de risc pentru sensibilitățile la factori de risc aferenți securitizărilor riscului de marjă de credit incluse în ACTP sunt aceleași pentru toate scadențele (0,5 ani, 1 an, 3 ani, 5 ani, 10 ani) din fiecare bandă și se specifică pentru fiecare bandă din tabelul 6:</w:t>
      </w:r>
    </w:p>
    <w:p w14:paraId="1BAEC246" w14:textId="77777777" w:rsidR="00B9278E" w:rsidRPr="00C26A9B" w:rsidRDefault="00B9278E" w:rsidP="00B9278E">
      <w:pPr>
        <w:rPr>
          <w:rFonts w:ascii="Times New Roman" w:hAnsi="Times New Roman" w:cs="Times New Roman"/>
          <w:b/>
          <w:bCs/>
          <w:sz w:val="24"/>
          <w:szCs w:val="24"/>
          <w:lang w:val="ro-RO"/>
        </w:rPr>
      </w:pPr>
      <w:r w:rsidRPr="00C26A9B">
        <w:rPr>
          <w:rFonts w:ascii="Times New Roman" w:hAnsi="Times New Roman" w:cs="Times New Roman"/>
          <w:b/>
          <w:bCs/>
          <w:i/>
          <w:iCs/>
          <w:sz w:val="24"/>
          <w:szCs w:val="24"/>
          <w:lang w:val="ro-RO"/>
        </w:rPr>
        <w:t>Tabelul 6</w:t>
      </w:r>
    </w:p>
    <w:tbl>
      <w:tblPr>
        <w:tblW w:w="8072"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26"/>
        <w:gridCol w:w="1417"/>
        <w:gridCol w:w="4537"/>
        <w:gridCol w:w="992"/>
      </w:tblGrid>
      <w:tr w:rsidR="00B9278E" w:rsidRPr="00C26A9B" w14:paraId="25F46C69" w14:textId="77777777" w:rsidTr="00B9278E">
        <w:trPr>
          <w:jc w:val="center"/>
        </w:trPr>
        <w:tc>
          <w:tcPr>
            <w:tcW w:w="1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5FC4C2" w14:textId="77777777" w:rsidR="00B9278E" w:rsidRPr="00C26A9B" w:rsidRDefault="00B9278E" w:rsidP="00B9278E">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Numărul benzii</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0C0B55" w14:textId="77777777" w:rsidR="00B9278E" w:rsidRPr="00C26A9B" w:rsidRDefault="00B9278E" w:rsidP="00B9278E">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Calitatea creditului</w:t>
            </w:r>
          </w:p>
        </w:tc>
        <w:tc>
          <w:tcPr>
            <w:tcW w:w="45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1BB94F" w14:textId="77777777" w:rsidR="00B9278E" w:rsidRPr="00C26A9B" w:rsidRDefault="00B9278E" w:rsidP="00B9278E">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Sectorul</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A0E816" w14:textId="77777777" w:rsidR="00B9278E" w:rsidRPr="00C26A9B" w:rsidRDefault="00B9278E" w:rsidP="00B9278E">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Ponderea de risc</w:t>
            </w:r>
          </w:p>
        </w:tc>
      </w:tr>
      <w:tr w:rsidR="00B9278E" w:rsidRPr="00C26A9B" w14:paraId="5D7D17F9" w14:textId="77777777" w:rsidTr="00B9278E">
        <w:trPr>
          <w:jc w:val="center"/>
        </w:trPr>
        <w:tc>
          <w:tcPr>
            <w:tcW w:w="1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EFB882"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862E32"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Toate</w:t>
            </w:r>
          </w:p>
        </w:tc>
        <w:tc>
          <w:tcPr>
            <w:tcW w:w="45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A6D4E8"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Administrația centrală a Republicii Moldova și Banca Națională a Moldovei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42B096"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4,0 %</w:t>
            </w:r>
          </w:p>
        </w:tc>
      </w:tr>
      <w:tr w:rsidR="00B9278E" w:rsidRPr="00C26A9B" w14:paraId="30C0691C" w14:textId="77777777" w:rsidTr="00B9278E">
        <w:trPr>
          <w:jc w:val="center"/>
        </w:trPr>
        <w:tc>
          <w:tcPr>
            <w:tcW w:w="1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0D8F1D"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2</w:t>
            </w:r>
          </w:p>
        </w:tc>
        <w:tc>
          <w:tcPr>
            <w:tcW w:w="1417"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381557"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  Nivelul 1-10 de calitate a creditului</w:t>
            </w:r>
            <w:r w:rsidRPr="00C26A9B">
              <w:rPr>
                <w:rFonts w:ascii="Times New Roman" w:hAnsi="Times New Roman" w:cs="Times New Roman"/>
                <w:b/>
                <w:bCs/>
                <w:sz w:val="24"/>
                <w:szCs w:val="24"/>
                <w:lang w:val="ro-RO"/>
              </w:rPr>
              <w:t> </w:t>
            </w:r>
          </w:p>
        </w:tc>
        <w:tc>
          <w:tcPr>
            <w:tcW w:w="45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4540A6" w14:textId="3A941602"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Administrația centrală a </w:t>
            </w:r>
            <w:r w:rsidR="000D39DC">
              <w:rPr>
                <w:rFonts w:ascii="Times New Roman" w:hAnsi="Times New Roman" w:cs="Times New Roman"/>
                <w:sz w:val="24"/>
                <w:szCs w:val="24"/>
                <w:lang w:val="ro-RO"/>
              </w:rPr>
              <w:t>unui alt stat</w:t>
            </w:r>
            <w:r w:rsidRPr="00C26A9B">
              <w:rPr>
                <w:rFonts w:ascii="Times New Roman" w:hAnsi="Times New Roman" w:cs="Times New Roman"/>
                <w:sz w:val="24"/>
                <w:szCs w:val="24"/>
                <w:lang w:val="ro-RO"/>
              </w:rPr>
              <w:t xml:space="preserve">, inclusiv băncile centrale, băncile de dezvoltare multilaterală și organizațiile internaționale menționate la pct.46 sau 47 din  Regulamentul nr.111/2018 </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CDEB16"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4,0 %</w:t>
            </w:r>
          </w:p>
        </w:tc>
      </w:tr>
      <w:tr w:rsidR="00B9278E" w:rsidRPr="00C26A9B" w14:paraId="0FA0D511" w14:textId="77777777" w:rsidTr="00B9278E">
        <w:trPr>
          <w:jc w:val="center"/>
        </w:trPr>
        <w:tc>
          <w:tcPr>
            <w:tcW w:w="1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8D20E7"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3</w:t>
            </w:r>
          </w:p>
        </w:tc>
        <w:tc>
          <w:tcPr>
            <w:tcW w:w="1417" w:type="dxa"/>
            <w:vMerge/>
            <w:tcBorders>
              <w:top w:val="outset" w:sz="6" w:space="0" w:color="auto"/>
              <w:left w:val="outset" w:sz="6" w:space="0" w:color="auto"/>
              <w:bottom w:val="outset" w:sz="6" w:space="0" w:color="auto"/>
              <w:right w:val="outset" w:sz="6" w:space="0" w:color="auto"/>
            </w:tcBorders>
            <w:vAlign w:val="center"/>
            <w:hideMark/>
          </w:tcPr>
          <w:p w14:paraId="21342492" w14:textId="77777777" w:rsidR="00B9278E" w:rsidRPr="00C26A9B" w:rsidRDefault="00B9278E" w:rsidP="00B9278E">
            <w:pPr>
              <w:rPr>
                <w:rFonts w:ascii="Times New Roman" w:hAnsi="Times New Roman" w:cs="Times New Roman"/>
                <w:sz w:val="24"/>
                <w:szCs w:val="24"/>
                <w:lang w:val="ro-RO"/>
              </w:rPr>
            </w:pPr>
          </w:p>
        </w:tc>
        <w:tc>
          <w:tcPr>
            <w:tcW w:w="45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6BC908"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Administrații regionale sau locale și entități din sectorul public</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0C2980"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4,0 %</w:t>
            </w:r>
          </w:p>
        </w:tc>
      </w:tr>
      <w:tr w:rsidR="00B9278E" w:rsidRPr="00C26A9B" w14:paraId="4A58E4DC" w14:textId="77777777" w:rsidTr="00B9278E">
        <w:trPr>
          <w:jc w:val="center"/>
        </w:trPr>
        <w:tc>
          <w:tcPr>
            <w:tcW w:w="1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1A9E2E"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4</w:t>
            </w:r>
          </w:p>
        </w:tc>
        <w:tc>
          <w:tcPr>
            <w:tcW w:w="1417" w:type="dxa"/>
            <w:vMerge/>
            <w:tcBorders>
              <w:top w:val="outset" w:sz="6" w:space="0" w:color="auto"/>
              <w:left w:val="outset" w:sz="6" w:space="0" w:color="auto"/>
              <w:bottom w:val="outset" w:sz="6" w:space="0" w:color="auto"/>
              <w:right w:val="outset" w:sz="6" w:space="0" w:color="auto"/>
            </w:tcBorders>
            <w:vAlign w:val="center"/>
            <w:hideMark/>
          </w:tcPr>
          <w:p w14:paraId="20331C9C" w14:textId="77777777" w:rsidR="00B9278E" w:rsidRPr="00C26A9B" w:rsidRDefault="00B9278E" w:rsidP="00B9278E">
            <w:pPr>
              <w:rPr>
                <w:rFonts w:ascii="Times New Roman" w:hAnsi="Times New Roman" w:cs="Times New Roman"/>
                <w:sz w:val="24"/>
                <w:szCs w:val="24"/>
                <w:lang w:val="ro-RO"/>
              </w:rPr>
            </w:pPr>
          </w:p>
        </w:tc>
        <w:tc>
          <w:tcPr>
            <w:tcW w:w="45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DD549A"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Entități din sectorul financiar, inclusiv bănci înregistrate sau înființate de o administrație centrală, o administrație regională sau o autoritate locală și creditori promoționali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03802C"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8,0 %</w:t>
            </w:r>
          </w:p>
        </w:tc>
      </w:tr>
      <w:tr w:rsidR="00B9278E" w:rsidRPr="00C26A9B" w14:paraId="06999289" w14:textId="77777777" w:rsidTr="00B9278E">
        <w:trPr>
          <w:jc w:val="center"/>
        </w:trPr>
        <w:tc>
          <w:tcPr>
            <w:tcW w:w="1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50B3B2"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5</w:t>
            </w:r>
          </w:p>
        </w:tc>
        <w:tc>
          <w:tcPr>
            <w:tcW w:w="1417" w:type="dxa"/>
            <w:vMerge/>
            <w:tcBorders>
              <w:top w:val="outset" w:sz="6" w:space="0" w:color="auto"/>
              <w:left w:val="outset" w:sz="6" w:space="0" w:color="auto"/>
              <w:bottom w:val="outset" w:sz="6" w:space="0" w:color="auto"/>
              <w:right w:val="outset" w:sz="6" w:space="0" w:color="auto"/>
            </w:tcBorders>
            <w:vAlign w:val="center"/>
            <w:hideMark/>
          </w:tcPr>
          <w:p w14:paraId="660AA374" w14:textId="77777777" w:rsidR="00B9278E" w:rsidRPr="00C26A9B" w:rsidRDefault="00B9278E" w:rsidP="00B9278E">
            <w:pPr>
              <w:rPr>
                <w:rFonts w:ascii="Times New Roman" w:hAnsi="Times New Roman" w:cs="Times New Roman"/>
                <w:sz w:val="24"/>
                <w:szCs w:val="24"/>
                <w:lang w:val="ro-RO"/>
              </w:rPr>
            </w:pPr>
          </w:p>
        </w:tc>
        <w:tc>
          <w:tcPr>
            <w:tcW w:w="45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2D99A5"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Materiale de bază, energie, produse industriale, agricultură, industria prelucrătoare, industria extractivă</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6C1620"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5,0 %</w:t>
            </w:r>
          </w:p>
        </w:tc>
      </w:tr>
      <w:tr w:rsidR="00B9278E" w:rsidRPr="00C26A9B" w14:paraId="353E9D51" w14:textId="77777777" w:rsidTr="00B9278E">
        <w:trPr>
          <w:jc w:val="center"/>
        </w:trPr>
        <w:tc>
          <w:tcPr>
            <w:tcW w:w="1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973B21"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6</w:t>
            </w:r>
          </w:p>
        </w:tc>
        <w:tc>
          <w:tcPr>
            <w:tcW w:w="1417" w:type="dxa"/>
            <w:vMerge/>
            <w:tcBorders>
              <w:top w:val="outset" w:sz="6" w:space="0" w:color="auto"/>
              <w:left w:val="outset" w:sz="6" w:space="0" w:color="auto"/>
              <w:bottom w:val="outset" w:sz="6" w:space="0" w:color="auto"/>
              <w:right w:val="outset" w:sz="6" w:space="0" w:color="auto"/>
            </w:tcBorders>
            <w:vAlign w:val="center"/>
            <w:hideMark/>
          </w:tcPr>
          <w:p w14:paraId="60C44504" w14:textId="77777777" w:rsidR="00B9278E" w:rsidRPr="00C26A9B" w:rsidRDefault="00B9278E" w:rsidP="00B9278E">
            <w:pPr>
              <w:rPr>
                <w:rFonts w:ascii="Times New Roman" w:hAnsi="Times New Roman" w:cs="Times New Roman"/>
                <w:sz w:val="24"/>
                <w:szCs w:val="24"/>
                <w:lang w:val="ro-RO"/>
              </w:rPr>
            </w:pPr>
          </w:p>
        </w:tc>
        <w:tc>
          <w:tcPr>
            <w:tcW w:w="45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989719"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Bunuri și servicii pentru consumatori, transport și depozitare, servicii administrative și activități de sprijin</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E98275"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4,0 %</w:t>
            </w:r>
          </w:p>
        </w:tc>
      </w:tr>
      <w:tr w:rsidR="00B9278E" w:rsidRPr="00C26A9B" w14:paraId="6C24B841" w14:textId="77777777" w:rsidTr="00B9278E">
        <w:trPr>
          <w:jc w:val="center"/>
        </w:trPr>
        <w:tc>
          <w:tcPr>
            <w:tcW w:w="1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260BF6"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7</w:t>
            </w:r>
          </w:p>
        </w:tc>
        <w:tc>
          <w:tcPr>
            <w:tcW w:w="1417" w:type="dxa"/>
            <w:vMerge/>
            <w:tcBorders>
              <w:top w:val="outset" w:sz="6" w:space="0" w:color="auto"/>
              <w:left w:val="outset" w:sz="6" w:space="0" w:color="auto"/>
              <w:bottom w:val="outset" w:sz="6" w:space="0" w:color="auto"/>
              <w:right w:val="outset" w:sz="6" w:space="0" w:color="auto"/>
            </w:tcBorders>
            <w:vAlign w:val="center"/>
            <w:hideMark/>
          </w:tcPr>
          <w:p w14:paraId="54A5A68C" w14:textId="77777777" w:rsidR="00B9278E" w:rsidRPr="00C26A9B" w:rsidRDefault="00B9278E" w:rsidP="00B9278E">
            <w:pPr>
              <w:rPr>
                <w:rFonts w:ascii="Times New Roman" w:hAnsi="Times New Roman" w:cs="Times New Roman"/>
                <w:sz w:val="24"/>
                <w:szCs w:val="24"/>
                <w:lang w:val="ro-RO"/>
              </w:rPr>
            </w:pPr>
          </w:p>
        </w:tc>
        <w:tc>
          <w:tcPr>
            <w:tcW w:w="45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F31BF4"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Tehnologie, telecomunicații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844A57"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3,0 %</w:t>
            </w:r>
          </w:p>
        </w:tc>
      </w:tr>
      <w:tr w:rsidR="00B9278E" w:rsidRPr="00C26A9B" w14:paraId="622D187D" w14:textId="77777777" w:rsidTr="00B9278E">
        <w:trPr>
          <w:jc w:val="center"/>
        </w:trPr>
        <w:tc>
          <w:tcPr>
            <w:tcW w:w="1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BD8ED9"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8</w:t>
            </w:r>
          </w:p>
        </w:tc>
        <w:tc>
          <w:tcPr>
            <w:tcW w:w="1417" w:type="dxa"/>
            <w:vMerge/>
            <w:tcBorders>
              <w:top w:val="outset" w:sz="6" w:space="0" w:color="auto"/>
              <w:left w:val="outset" w:sz="6" w:space="0" w:color="auto"/>
              <w:bottom w:val="outset" w:sz="6" w:space="0" w:color="auto"/>
              <w:right w:val="outset" w:sz="6" w:space="0" w:color="auto"/>
            </w:tcBorders>
            <w:vAlign w:val="center"/>
            <w:hideMark/>
          </w:tcPr>
          <w:p w14:paraId="1E1DF0C7" w14:textId="77777777" w:rsidR="00B9278E" w:rsidRPr="00C26A9B" w:rsidRDefault="00B9278E" w:rsidP="00B9278E">
            <w:pPr>
              <w:rPr>
                <w:rFonts w:ascii="Times New Roman" w:hAnsi="Times New Roman" w:cs="Times New Roman"/>
                <w:sz w:val="24"/>
                <w:szCs w:val="24"/>
                <w:lang w:val="ro-RO"/>
              </w:rPr>
            </w:pPr>
          </w:p>
        </w:tc>
        <w:tc>
          <w:tcPr>
            <w:tcW w:w="45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AAC2E1"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Asistență medicală, utilități, activități profesionale și tehnice</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03219C"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2,0 %</w:t>
            </w:r>
          </w:p>
        </w:tc>
      </w:tr>
      <w:tr w:rsidR="00B9278E" w:rsidRPr="00C26A9B" w14:paraId="4CEFA3C7" w14:textId="77777777" w:rsidTr="00B9278E">
        <w:trPr>
          <w:jc w:val="center"/>
        </w:trPr>
        <w:tc>
          <w:tcPr>
            <w:tcW w:w="1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1163CD"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9</w:t>
            </w:r>
          </w:p>
        </w:tc>
        <w:tc>
          <w:tcPr>
            <w:tcW w:w="1417" w:type="dxa"/>
            <w:vMerge/>
            <w:tcBorders>
              <w:top w:val="outset" w:sz="6" w:space="0" w:color="auto"/>
              <w:left w:val="outset" w:sz="6" w:space="0" w:color="auto"/>
              <w:bottom w:val="outset" w:sz="6" w:space="0" w:color="auto"/>
              <w:right w:val="outset" w:sz="6" w:space="0" w:color="auto"/>
            </w:tcBorders>
            <w:vAlign w:val="center"/>
            <w:hideMark/>
          </w:tcPr>
          <w:p w14:paraId="712E9AFE" w14:textId="77777777" w:rsidR="00B9278E" w:rsidRPr="00C26A9B" w:rsidRDefault="00B9278E" w:rsidP="00B9278E">
            <w:pPr>
              <w:rPr>
                <w:rFonts w:ascii="Times New Roman" w:hAnsi="Times New Roman" w:cs="Times New Roman"/>
                <w:sz w:val="24"/>
                <w:szCs w:val="24"/>
                <w:lang w:val="ro-RO"/>
              </w:rPr>
            </w:pPr>
          </w:p>
        </w:tc>
        <w:tc>
          <w:tcPr>
            <w:tcW w:w="45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FCF54A"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Obligațiuni garantate emise de bănci din Republica Moldova</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5AEAD4"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3,0 %</w:t>
            </w:r>
          </w:p>
        </w:tc>
      </w:tr>
      <w:tr w:rsidR="00B9278E" w:rsidRPr="00C26A9B" w14:paraId="08C2E51B" w14:textId="77777777" w:rsidTr="00B9278E">
        <w:trPr>
          <w:jc w:val="center"/>
        </w:trPr>
        <w:tc>
          <w:tcPr>
            <w:tcW w:w="1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6ADE30"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10</w:t>
            </w:r>
          </w:p>
        </w:tc>
        <w:tc>
          <w:tcPr>
            <w:tcW w:w="1417" w:type="dxa"/>
            <w:vMerge/>
            <w:tcBorders>
              <w:top w:val="outset" w:sz="6" w:space="0" w:color="auto"/>
              <w:left w:val="outset" w:sz="6" w:space="0" w:color="auto"/>
              <w:bottom w:val="outset" w:sz="6" w:space="0" w:color="auto"/>
              <w:right w:val="outset" w:sz="6" w:space="0" w:color="auto"/>
            </w:tcBorders>
            <w:vAlign w:val="center"/>
            <w:hideMark/>
          </w:tcPr>
          <w:p w14:paraId="3EDAA98F" w14:textId="77777777" w:rsidR="00B9278E" w:rsidRPr="00C26A9B" w:rsidRDefault="00B9278E" w:rsidP="00B9278E">
            <w:pPr>
              <w:rPr>
                <w:rFonts w:ascii="Times New Roman" w:hAnsi="Times New Roman" w:cs="Times New Roman"/>
                <w:sz w:val="24"/>
                <w:szCs w:val="24"/>
                <w:lang w:val="ro-RO"/>
              </w:rPr>
            </w:pPr>
          </w:p>
        </w:tc>
        <w:tc>
          <w:tcPr>
            <w:tcW w:w="45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A7AFC9" w14:textId="1E168B9A"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Obligațiuni garantate emise de bănci din </w:t>
            </w:r>
            <w:r w:rsidR="000D39DC">
              <w:rPr>
                <w:rFonts w:ascii="Times New Roman" w:hAnsi="Times New Roman" w:cs="Times New Roman"/>
                <w:sz w:val="24"/>
                <w:szCs w:val="24"/>
                <w:lang w:val="ro-RO"/>
              </w:rPr>
              <w:t>alte state</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0F8DE1"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6,0 %</w:t>
            </w:r>
          </w:p>
        </w:tc>
      </w:tr>
      <w:tr w:rsidR="00B9278E" w:rsidRPr="00C26A9B" w14:paraId="756D0A48" w14:textId="77777777" w:rsidTr="00B9278E">
        <w:trPr>
          <w:jc w:val="center"/>
        </w:trPr>
        <w:tc>
          <w:tcPr>
            <w:tcW w:w="1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DBF3BB"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11</w:t>
            </w:r>
          </w:p>
        </w:tc>
        <w:tc>
          <w:tcPr>
            <w:tcW w:w="1417"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222C3F" w14:textId="77777777" w:rsidR="00B9278E" w:rsidRPr="00C26A9B" w:rsidRDefault="00B9278E" w:rsidP="00B9278E">
            <w:pPr>
              <w:rPr>
                <w:rFonts w:ascii="Times New Roman" w:hAnsi="Times New Roman" w:cs="Times New Roman"/>
                <w:sz w:val="24"/>
                <w:szCs w:val="24"/>
                <w:lang w:val="ro-RO"/>
              </w:rPr>
            </w:pPr>
            <w:hyperlink r:id="rId56" w:tooltip="32024R1623: REPLACED" w:history="1">
              <w:r w:rsidRPr="00C26A9B">
                <w:rPr>
                  <w:rStyle w:val="Hyperlink"/>
                  <w:rFonts w:ascii="Times New Roman" w:hAnsi="Times New Roman" w:cs="Times New Roman"/>
                  <w:sz w:val="24"/>
                  <w:szCs w:val="24"/>
                  <w:lang w:val="ro-RO"/>
                </w:rPr>
                <w:t> </w:t>
              </w:r>
            </w:hyperlink>
            <w:r w:rsidRPr="00C26A9B">
              <w:rPr>
                <w:rFonts w:ascii="Times New Roman" w:hAnsi="Times New Roman" w:cs="Times New Roman"/>
                <w:sz w:val="24"/>
                <w:szCs w:val="24"/>
                <w:lang w:val="ro-RO"/>
              </w:rPr>
              <w:t>  Nivelul 11-17 de calitate a creditului</w:t>
            </w:r>
            <w:r w:rsidRPr="00C26A9B">
              <w:rPr>
                <w:rFonts w:ascii="Times New Roman" w:hAnsi="Times New Roman" w:cs="Times New Roman"/>
                <w:b/>
                <w:bCs/>
                <w:sz w:val="24"/>
                <w:szCs w:val="24"/>
                <w:lang w:val="ro-RO"/>
              </w:rPr>
              <w:t> </w:t>
            </w:r>
          </w:p>
        </w:tc>
        <w:tc>
          <w:tcPr>
            <w:tcW w:w="45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135E5A" w14:textId="41E3F8CB"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Administrația centrală a </w:t>
            </w:r>
            <w:r w:rsidR="005F2163">
              <w:rPr>
                <w:rFonts w:ascii="Times New Roman" w:hAnsi="Times New Roman" w:cs="Times New Roman"/>
                <w:sz w:val="24"/>
                <w:szCs w:val="24"/>
                <w:lang w:val="ro-RO"/>
              </w:rPr>
              <w:t>unui alt stat</w:t>
            </w:r>
            <w:r w:rsidRPr="00C26A9B">
              <w:rPr>
                <w:rFonts w:ascii="Times New Roman" w:hAnsi="Times New Roman" w:cs="Times New Roman"/>
                <w:sz w:val="24"/>
                <w:szCs w:val="24"/>
                <w:lang w:val="ro-RO"/>
              </w:rPr>
              <w:t xml:space="preserve">, inclusiv băncile centrale, băncile de dezvoltare multilaterală și organizațiile internaționale menționate la pct.46 sau 47 din  Regulamentul nr.111/2018 </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178C44"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13,0 %</w:t>
            </w:r>
          </w:p>
        </w:tc>
      </w:tr>
      <w:tr w:rsidR="00B9278E" w:rsidRPr="00C26A9B" w14:paraId="6212DC27" w14:textId="77777777" w:rsidTr="00B9278E">
        <w:trPr>
          <w:jc w:val="center"/>
        </w:trPr>
        <w:tc>
          <w:tcPr>
            <w:tcW w:w="1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30567A"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12</w:t>
            </w:r>
          </w:p>
        </w:tc>
        <w:tc>
          <w:tcPr>
            <w:tcW w:w="1417" w:type="dxa"/>
            <w:vMerge/>
            <w:tcBorders>
              <w:top w:val="outset" w:sz="6" w:space="0" w:color="auto"/>
              <w:left w:val="outset" w:sz="6" w:space="0" w:color="auto"/>
              <w:bottom w:val="outset" w:sz="6" w:space="0" w:color="auto"/>
              <w:right w:val="outset" w:sz="6" w:space="0" w:color="auto"/>
            </w:tcBorders>
            <w:vAlign w:val="center"/>
            <w:hideMark/>
          </w:tcPr>
          <w:p w14:paraId="20727CEF" w14:textId="77777777" w:rsidR="00B9278E" w:rsidRPr="00C26A9B" w:rsidRDefault="00B9278E" w:rsidP="00B9278E">
            <w:pPr>
              <w:rPr>
                <w:rFonts w:ascii="Times New Roman" w:hAnsi="Times New Roman" w:cs="Times New Roman"/>
                <w:sz w:val="24"/>
                <w:szCs w:val="24"/>
                <w:lang w:val="ro-RO"/>
              </w:rPr>
            </w:pPr>
          </w:p>
        </w:tc>
        <w:tc>
          <w:tcPr>
            <w:tcW w:w="45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2FA4FA"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Administrații regionale sau locale și entități din sectorul public</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D907F4"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13,0 %</w:t>
            </w:r>
          </w:p>
        </w:tc>
      </w:tr>
      <w:tr w:rsidR="00B9278E" w:rsidRPr="00C26A9B" w14:paraId="12C53580" w14:textId="77777777" w:rsidTr="00B9278E">
        <w:trPr>
          <w:jc w:val="center"/>
        </w:trPr>
        <w:tc>
          <w:tcPr>
            <w:tcW w:w="1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94AD12"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13</w:t>
            </w:r>
          </w:p>
        </w:tc>
        <w:tc>
          <w:tcPr>
            <w:tcW w:w="1417" w:type="dxa"/>
            <w:vMerge/>
            <w:tcBorders>
              <w:top w:val="outset" w:sz="6" w:space="0" w:color="auto"/>
              <w:left w:val="outset" w:sz="6" w:space="0" w:color="auto"/>
              <w:bottom w:val="outset" w:sz="6" w:space="0" w:color="auto"/>
              <w:right w:val="outset" w:sz="6" w:space="0" w:color="auto"/>
            </w:tcBorders>
            <w:vAlign w:val="center"/>
            <w:hideMark/>
          </w:tcPr>
          <w:p w14:paraId="4AC04A67" w14:textId="77777777" w:rsidR="00B9278E" w:rsidRPr="00C26A9B" w:rsidRDefault="00B9278E" w:rsidP="00B9278E">
            <w:pPr>
              <w:rPr>
                <w:rFonts w:ascii="Times New Roman" w:hAnsi="Times New Roman" w:cs="Times New Roman"/>
                <w:sz w:val="24"/>
                <w:szCs w:val="24"/>
                <w:lang w:val="ro-RO"/>
              </w:rPr>
            </w:pPr>
          </w:p>
        </w:tc>
        <w:tc>
          <w:tcPr>
            <w:tcW w:w="45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F33A78" w14:textId="552E1248" w:rsidR="00B9278E" w:rsidRPr="00C26A9B" w:rsidRDefault="00B9278E" w:rsidP="00B9278E">
            <w:pPr>
              <w:rPr>
                <w:rFonts w:ascii="Times New Roman" w:hAnsi="Times New Roman" w:cs="Times New Roman"/>
                <w:sz w:val="24"/>
                <w:szCs w:val="24"/>
                <w:lang w:val="ro-RO"/>
              </w:rPr>
            </w:pPr>
            <w:hyperlink r:id="rId57" w:tooltip="32024R1623: REPLACED" w:history="1">
              <w:r w:rsidRPr="00C26A9B">
                <w:rPr>
                  <w:rStyle w:val="Hyperlink"/>
                  <w:rFonts w:ascii="Times New Roman" w:hAnsi="Times New Roman" w:cs="Times New Roman"/>
                  <w:sz w:val="24"/>
                  <w:szCs w:val="24"/>
                  <w:lang w:val="ro-RO"/>
                </w:rPr>
                <w:t> </w:t>
              </w:r>
            </w:hyperlink>
            <w:r w:rsidRPr="00C26A9B">
              <w:rPr>
                <w:rFonts w:ascii="Times New Roman" w:hAnsi="Times New Roman" w:cs="Times New Roman"/>
                <w:sz w:val="24"/>
                <w:szCs w:val="24"/>
                <w:lang w:val="ro-RO"/>
              </w:rPr>
              <w:t>Entități din sectorul financiar, inclusiv bănci înregistrate sau înființate de o administrație centrală, o administrație regională sau o autoritate locală, creditori promoționali și obligațiuni garantate</w:t>
            </w:r>
            <w:r w:rsidRPr="00C26A9B">
              <w:rPr>
                <w:rFonts w:ascii="Times New Roman" w:hAnsi="Times New Roman" w:cs="Times New Roman"/>
                <w:b/>
                <w:bCs/>
                <w:sz w:val="24"/>
                <w:szCs w:val="24"/>
                <w:lang w:val="ro-RO"/>
              </w:rPr>
              <w:t> </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16DA66"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16,0 %</w:t>
            </w:r>
          </w:p>
        </w:tc>
      </w:tr>
      <w:tr w:rsidR="00B9278E" w:rsidRPr="00C26A9B" w14:paraId="01AA3737" w14:textId="77777777" w:rsidTr="00B9278E">
        <w:trPr>
          <w:jc w:val="center"/>
        </w:trPr>
        <w:tc>
          <w:tcPr>
            <w:tcW w:w="1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A23D0D"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14</w:t>
            </w:r>
          </w:p>
        </w:tc>
        <w:tc>
          <w:tcPr>
            <w:tcW w:w="1417" w:type="dxa"/>
            <w:vMerge/>
            <w:tcBorders>
              <w:top w:val="outset" w:sz="6" w:space="0" w:color="auto"/>
              <w:left w:val="outset" w:sz="6" w:space="0" w:color="auto"/>
              <w:bottom w:val="outset" w:sz="6" w:space="0" w:color="auto"/>
              <w:right w:val="outset" w:sz="6" w:space="0" w:color="auto"/>
            </w:tcBorders>
            <w:vAlign w:val="center"/>
            <w:hideMark/>
          </w:tcPr>
          <w:p w14:paraId="150CF57D" w14:textId="77777777" w:rsidR="00B9278E" w:rsidRPr="00C26A9B" w:rsidRDefault="00B9278E" w:rsidP="00B9278E">
            <w:pPr>
              <w:rPr>
                <w:rFonts w:ascii="Times New Roman" w:hAnsi="Times New Roman" w:cs="Times New Roman"/>
                <w:sz w:val="24"/>
                <w:szCs w:val="24"/>
                <w:lang w:val="ro-RO"/>
              </w:rPr>
            </w:pPr>
          </w:p>
        </w:tc>
        <w:tc>
          <w:tcPr>
            <w:tcW w:w="45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32871D"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Materiale de bază, energie, produse industriale, agricultură, industria prelucrătoare, industria extractivă</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76410D"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10,0 %</w:t>
            </w:r>
          </w:p>
        </w:tc>
      </w:tr>
      <w:tr w:rsidR="00B9278E" w:rsidRPr="00C26A9B" w14:paraId="15B7EB3F" w14:textId="77777777" w:rsidTr="00B9278E">
        <w:trPr>
          <w:jc w:val="center"/>
        </w:trPr>
        <w:tc>
          <w:tcPr>
            <w:tcW w:w="1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14E1E3"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15</w:t>
            </w:r>
          </w:p>
        </w:tc>
        <w:tc>
          <w:tcPr>
            <w:tcW w:w="1417" w:type="dxa"/>
            <w:vMerge/>
            <w:tcBorders>
              <w:top w:val="outset" w:sz="6" w:space="0" w:color="auto"/>
              <w:left w:val="outset" w:sz="6" w:space="0" w:color="auto"/>
              <w:bottom w:val="outset" w:sz="6" w:space="0" w:color="auto"/>
              <w:right w:val="outset" w:sz="6" w:space="0" w:color="auto"/>
            </w:tcBorders>
            <w:vAlign w:val="center"/>
            <w:hideMark/>
          </w:tcPr>
          <w:p w14:paraId="0E2AC86A" w14:textId="77777777" w:rsidR="00B9278E" w:rsidRPr="00C26A9B" w:rsidRDefault="00B9278E" w:rsidP="00B9278E">
            <w:pPr>
              <w:rPr>
                <w:rFonts w:ascii="Times New Roman" w:hAnsi="Times New Roman" w:cs="Times New Roman"/>
                <w:sz w:val="24"/>
                <w:szCs w:val="24"/>
                <w:lang w:val="ro-RO"/>
              </w:rPr>
            </w:pPr>
          </w:p>
        </w:tc>
        <w:tc>
          <w:tcPr>
            <w:tcW w:w="45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574EC5"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Bunuri și servicii pentru consumatori, transport și depozitare, servicii administrative și activități de sprijin</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75A140"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12,0 %</w:t>
            </w:r>
          </w:p>
        </w:tc>
      </w:tr>
      <w:tr w:rsidR="00B9278E" w:rsidRPr="00C26A9B" w14:paraId="76F055DA" w14:textId="77777777" w:rsidTr="00B9278E">
        <w:trPr>
          <w:jc w:val="center"/>
        </w:trPr>
        <w:tc>
          <w:tcPr>
            <w:tcW w:w="1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C87EF1"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16</w:t>
            </w:r>
          </w:p>
        </w:tc>
        <w:tc>
          <w:tcPr>
            <w:tcW w:w="1417" w:type="dxa"/>
            <w:vMerge/>
            <w:tcBorders>
              <w:top w:val="outset" w:sz="6" w:space="0" w:color="auto"/>
              <w:left w:val="outset" w:sz="6" w:space="0" w:color="auto"/>
              <w:bottom w:val="outset" w:sz="6" w:space="0" w:color="auto"/>
              <w:right w:val="outset" w:sz="6" w:space="0" w:color="auto"/>
            </w:tcBorders>
            <w:vAlign w:val="center"/>
            <w:hideMark/>
          </w:tcPr>
          <w:p w14:paraId="65BAC016" w14:textId="77777777" w:rsidR="00B9278E" w:rsidRPr="00C26A9B" w:rsidRDefault="00B9278E" w:rsidP="00B9278E">
            <w:pPr>
              <w:rPr>
                <w:rFonts w:ascii="Times New Roman" w:hAnsi="Times New Roman" w:cs="Times New Roman"/>
                <w:sz w:val="24"/>
                <w:szCs w:val="24"/>
                <w:lang w:val="ro-RO"/>
              </w:rPr>
            </w:pPr>
          </w:p>
        </w:tc>
        <w:tc>
          <w:tcPr>
            <w:tcW w:w="45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67F258"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Tehnologie, telecomunicații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C8F874"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12,0 %</w:t>
            </w:r>
          </w:p>
        </w:tc>
      </w:tr>
      <w:tr w:rsidR="00B9278E" w:rsidRPr="00C26A9B" w14:paraId="4AB22B00" w14:textId="77777777" w:rsidTr="00B9278E">
        <w:trPr>
          <w:jc w:val="center"/>
        </w:trPr>
        <w:tc>
          <w:tcPr>
            <w:tcW w:w="1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1A729E"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17</w:t>
            </w:r>
          </w:p>
        </w:tc>
        <w:tc>
          <w:tcPr>
            <w:tcW w:w="1417" w:type="dxa"/>
            <w:vMerge/>
            <w:tcBorders>
              <w:top w:val="outset" w:sz="6" w:space="0" w:color="auto"/>
              <w:left w:val="outset" w:sz="6" w:space="0" w:color="auto"/>
              <w:bottom w:val="outset" w:sz="6" w:space="0" w:color="auto"/>
              <w:right w:val="outset" w:sz="6" w:space="0" w:color="auto"/>
            </w:tcBorders>
            <w:vAlign w:val="center"/>
            <w:hideMark/>
          </w:tcPr>
          <w:p w14:paraId="7AAC2349" w14:textId="77777777" w:rsidR="00B9278E" w:rsidRPr="00C26A9B" w:rsidRDefault="00B9278E" w:rsidP="00B9278E">
            <w:pPr>
              <w:rPr>
                <w:rFonts w:ascii="Times New Roman" w:hAnsi="Times New Roman" w:cs="Times New Roman"/>
                <w:sz w:val="24"/>
                <w:szCs w:val="24"/>
                <w:lang w:val="ro-RO"/>
              </w:rPr>
            </w:pPr>
          </w:p>
        </w:tc>
        <w:tc>
          <w:tcPr>
            <w:tcW w:w="45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D2AC85"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Asistență medicală, utilități, activități profesionale și tehnice</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312DAE"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12,0 %</w:t>
            </w:r>
          </w:p>
        </w:tc>
      </w:tr>
      <w:tr w:rsidR="00B9278E" w:rsidRPr="00C26A9B" w14:paraId="7D5F061A" w14:textId="77777777" w:rsidTr="00B9278E">
        <w:trPr>
          <w:jc w:val="center"/>
        </w:trPr>
        <w:tc>
          <w:tcPr>
            <w:tcW w:w="1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288115"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18</w:t>
            </w:r>
          </w:p>
        </w:tc>
        <w:tc>
          <w:tcPr>
            <w:tcW w:w="5954"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ECD38E"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Alt sector</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7CA8A8"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13,0 %</w:t>
            </w:r>
          </w:p>
        </w:tc>
      </w:tr>
    </w:tbl>
    <w:p w14:paraId="683CD3C1" w14:textId="77777777" w:rsidR="00B9278E" w:rsidRPr="00C26A9B" w:rsidRDefault="00B9278E" w:rsidP="00B9278E">
      <w:pPr>
        <w:rPr>
          <w:rFonts w:ascii="Times New Roman" w:hAnsi="Times New Roman" w:cs="Times New Roman"/>
          <w:sz w:val="24"/>
          <w:szCs w:val="24"/>
          <w:lang w:val="ro-RO"/>
        </w:rPr>
      </w:pPr>
    </w:p>
    <w:p w14:paraId="4B89046C" w14:textId="61CC4EF9"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287. În sensul prezentului paragraf, unei expuneri i se atribuie categoria de calitate a creditului corespunzătoare categoriei de calitate a creditului pe care ar urma să o primească în conformitate cu abordarea standardizată pentru riscul de credit prevăzută în Regulamentul nr.111/2018.</w:t>
      </w:r>
    </w:p>
    <w:p w14:paraId="101A2BD2" w14:textId="627B726F"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288. Prin derogare de la pct.287, băncile pot încadra în banda 4 o expunere la risc aferentă unei obligațiuni garantate care nu beneficiază de rating în cazul în care banca care emite obligațiunea garantată are nivelul 1-3 de calitate a creditului.</w:t>
      </w:r>
    </w:p>
    <w:p w14:paraId="75ED4578" w14:textId="21B1C83E" w:rsidR="00B9278E" w:rsidRPr="00C26A9B" w:rsidRDefault="00B9278E" w:rsidP="00B9278E">
      <w:pPr>
        <w:rPr>
          <w:rFonts w:ascii="Times New Roman" w:hAnsi="Times New Roman" w:cs="Times New Roman"/>
          <w:b/>
          <w:bCs/>
          <w:sz w:val="24"/>
          <w:szCs w:val="24"/>
          <w:lang w:val="ro-RO"/>
        </w:rPr>
      </w:pPr>
      <w:bookmarkStart w:id="40" w:name="_Hlk195097922"/>
      <w:r w:rsidRPr="00C26A9B">
        <w:rPr>
          <w:rFonts w:ascii="Times New Roman" w:hAnsi="Times New Roman" w:cs="Times New Roman"/>
          <w:i/>
          <w:iCs/>
          <w:sz w:val="24"/>
          <w:szCs w:val="24"/>
          <w:lang w:val="ro-RO"/>
        </w:rPr>
        <w:t xml:space="preserve">Paragraful 8. </w:t>
      </w:r>
      <w:r w:rsidRPr="00C26A9B">
        <w:rPr>
          <w:rFonts w:ascii="Times New Roman" w:hAnsi="Times New Roman" w:cs="Times New Roman"/>
          <w:b/>
          <w:bCs/>
          <w:sz w:val="24"/>
          <w:szCs w:val="24"/>
          <w:lang w:val="ro-RO"/>
        </w:rPr>
        <w:t>Corelațiile pentru securitizările riscului de marjă de credit incluse în ACTP</w:t>
      </w:r>
      <w:bookmarkEnd w:id="40"/>
    </w:p>
    <w:p w14:paraId="35421089" w14:textId="6E80469A"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289.   Corelația pentru riscul delta </w:t>
      </w: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xml:space="preserve"> se obține în conformitate cu paragraful 5, cu excepția faptului că, în sensul prezentului paragraf, </w:t>
      </w: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w:t>
      </w:r>
      <w:r w:rsidRPr="00C26A9B">
        <w:rPr>
          <w:rFonts w:ascii="Times New Roman" w:hAnsi="Times New Roman" w:cs="Times New Roman"/>
          <w:sz w:val="24"/>
          <w:szCs w:val="24"/>
          <w:vertAlign w:val="superscript"/>
          <w:lang w:val="ro-RO"/>
        </w:rPr>
        <w:t>(bază)</w:t>
      </w:r>
      <w:r w:rsidRPr="00C26A9B">
        <w:rPr>
          <w:rFonts w:ascii="Times New Roman" w:hAnsi="Times New Roman" w:cs="Times New Roman"/>
          <w:sz w:val="24"/>
          <w:szCs w:val="24"/>
          <w:lang w:val="ro-RO"/>
        </w:rPr>
        <w:t> este egală cu 1 atunci când cele două sensibilități corespund acelorași curbe, iar în caz contrar cu 99,00 %.</w:t>
      </w:r>
    </w:p>
    <w:p w14:paraId="6809510E" w14:textId="487777FA"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290.   Corelația </w:t>
      </w:r>
      <w:proofErr w:type="spellStart"/>
      <w:r w:rsidRPr="00C26A9B">
        <w:rPr>
          <w:rFonts w:ascii="Times New Roman" w:hAnsi="Times New Roman" w:cs="Times New Roman"/>
          <w:sz w:val="24"/>
          <w:szCs w:val="24"/>
          <w:lang w:val="ro-RO"/>
        </w:rPr>
        <w:t>γ</w:t>
      </w:r>
      <w:r w:rsidRPr="00C26A9B">
        <w:rPr>
          <w:rFonts w:ascii="Times New Roman" w:hAnsi="Times New Roman" w:cs="Times New Roman"/>
          <w:sz w:val="24"/>
          <w:szCs w:val="24"/>
          <w:vertAlign w:val="subscript"/>
          <w:lang w:val="ro-RO"/>
        </w:rPr>
        <w:t>bc</w:t>
      </w:r>
      <w:proofErr w:type="spellEnd"/>
      <w:r w:rsidRPr="00C26A9B">
        <w:rPr>
          <w:rFonts w:ascii="Times New Roman" w:hAnsi="Times New Roman" w:cs="Times New Roman"/>
          <w:sz w:val="24"/>
          <w:szCs w:val="24"/>
          <w:lang w:val="ro-RO"/>
        </w:rPr>
        <w:t> se obține în conformitate cu paragraful 6.</w:t>
      </w:r>
    </w:p>
    <w:p w14:paraId="77DAC83D" w14:textId="4B68D3FF" w:rsidR="00B9278E" w:rsidRPr="00C26A9B" w:rsidRDefault="00B9278E" w:rsidP="00B9278E">
      <w:pPr>
        <w:rPr>
          <w:rFonts w:ascii="Times New Roman" w:hAnsi="Times New Roman" w:cs="Times New Roman"/>
          <w:b/>
          <w:bCs/>
          <w:sz w:val="24"/>
          <w:szCs w:val="24"/>
          <w:lang w:val="ro-RO"/>
        </w:rPr>
      </w:pPr>
      <w:r w:rsidRPr="00C26A9B">
        <w:rPr>
          <w:rFonts w:ascii="Times New Roman" w:hAnsi="Times New Roman" w:cs="Times New Roman"/>
          <w:i/>
          <w:iCs/>
          <w:sz w:val="24"/>
          <w:szCs w:val="24"/>
          <w:lang w:val="ro-RO"/>
        </w:rPr>
        <w:t xml:space="preserve">Paragraful 9. </w:t>
      </w:r>
      <w:r w:rsidRPr="00C26A9B">
        <w:rPr>
          <w:rFonts w:ascii="Times New Roman" w:hAnsi="Times New Roman" w:cs="Times New Roman"/>
          <w:b/>
          <w:bCs/>
          <w:sz w:val="24"/>
          <w:szCs w:val="24"/>
          <w:lang w:val="ro-RO"/>
        </w:rPr>
        <w:t>Ponderile de risc pentru securitizările riscului de marjă de credit neincluse în ACTP</w:t>
      </w:r>
    </w:p>
    <w:p w14:paraId="635961AC" w14:textId="36C53AAD"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291. Ponderile de risc pentru sensibilitățile la factori de risc aferenți securitizărilor riscului de marjă de credit neincluse în ACTP sunt aceleași pentru toate scadențele (0,5 ani, 1 an, 3 ani, 5 ani, 10 ani) din fiecare bandă din tabelul 7 și se specifică pentru fiecare bandă din tabelul 7:</w:t>
      </w:r>
    </w:p>
    <w:p w14:paraId="2C949B80" w14:textId="77777777" w:rsidR="00B9278E" w:rsidRPr="00C26A9B" w:rsidRDefault="00B9278E" w:rsidP="00B9278E">
      <w:pPr>
        <w:rPr>
          <w:rFonts w:ascii="Times New Roman" w:hAnsi="Times New Roman" w:cs="Times New Roman"/>
          <w:b/>
          <w:bCs/>
          <w:sz w:val="24"/>
          <w:szCs w:val="24"/>
          <w:lang w:val="ro-RO"/>
        </w:rPr>
      </w:pPr>
      <w:r w:rsidRPr="00C26A9B">
        <w:rPr>
          <w:rFonts w:ascii="Times New Roman" w:hAnsi="Times New Roman" w:cs="Times New Roman"/>
          <w:b/>
          <w:bCs/>
          <w:i/>
          <w:iCs/>
          <w:sz w:val="24"/>
          <w:szCs w:val="24"/>
          <w:lang w:val="ro-RO"/>
        </w:rPr>
        <w:t>Tabelul 7</w:t>
      </w:r>
    </w:p>
    <w:tbl>
      <w:tblPr>
        <w:tblW w:w="830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85"/>
        <w:gridCol w:w="1692"/>
        <w:gridCol w:w="4403"/>
        <w:gridCol w:w="1226"/>
      </w:tblGrid>
      <w:tr w:rsidR="00B9278E" w:rsidRPr="00C26A9B" w14:paraId="18E55804"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1E49C7" w14:textId="77777777" w:rsidR="00B9278E" w:rsidRPr="00C26A9B" w:rsidRDefault="00B9278E" w:rsidP="00B9278E">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Numărul benzii</w:t>
            </w:r>
          </w:p>
        </w:tc>
        <w:tc>
          <w:tcPr>
            <w:tcW w:w="16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012DB0" w14:textId="77777777" w:rsidR="00B9278E" w:rsidRPr="00C26A9B" w:rsidRDefault="00B9278E" w:rsidP="00B9278E">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Calitatea creditului</w:t>
            </w: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427CF8" w14:textId="77777777" w:rsidR="00B9278E" w:rsidRPr="00C26A9B" w:rsidRDefault="00B9278E" w:rsidP="00B9278E">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Sectorul</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C1339A" w14:textId="77777777" w:rsidR="00B9278E" w:rsidRPr="00C26A9B" w:rsidRDefault="00B9278E" w:rsidP="00B9278E">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Ponderea de risc</w:t>
            </w:r>
          </w:p>
        </w:tc>
      </w:tr>
      <w:tr w:rsidR="00B9278E" w:rsidRPr="00C26A9B" w14:paraId="3BC65304"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6E465B"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w:t>
            </w:r>
          </w:p>
        </w:tc>
        <w:tc>
          <w:tcPr>
            <w:tcW w:w="1692"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8DCDAC" w14:textId="7548A402"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Superioară și nivelul 1-10 de calitate a creditului</w:t>
            </w:r>
            <w:r w:rsidRPr="00C26A9B">
              <w:rPr>
                <w:rFonts w:ascii="Times New Roman" w:hAnsi="Times New Roman" w:cs="Times New Roman"/>
                <w:b/>
                <w:bCs/>
                <w:sz w:val="24"/>
                <w:szCs w:val="24"/>
                <w:lang w:val="ro-RO"/>
              </w:rPr>
              <w:t> </w:t>
            </w: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183DAA"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RMBS – cu profil de risc </w:t>
            </w:r>
            <w:r w:rsidRPr="00C26A9B">
              <w:rPr>
                <w:rFonts w:ascii="Times New Roman" w:hAnsi="Times New Roman" w:cs="Times New Roman"/>
                <w:i/>
                <w:iCs/>
                <w:sz w:val="24"/>
                <w:szCs w:val="24"/>
                <w:lang w:val="ro-RO"/>
              </w:rPr>
              <w:t>prime</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02781A"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0,9 %</w:t>
            </w:r>
          </w:p>
        </w:tc>
      </w:tr>
      <w:tr w:rsidR="00B9278E" w:rsidRPr="00C26A9B" w14:paraId="19ED79EC"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6B8490"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2</w:t>
            </w:r>
          </w:p>
        </w:tc>
        <w:tc>
          <w:tcPr>
            <w:tcW w:w="1692" w:type="dxa"/>
            <w:vMerge/>
            <w:tcBorders>
              <w:top w:val="outset" w:sz="6" w:space="0" w:color="auto"/>
              <w:left w:val="outset" w:sz="6" w:space="0" w:color="auto"/>
              <w:bottom w:val="outset" w:sz="6" w:space="0" w:color="auto"/>
              <w:right w:val="outset" w:sz="6" w:space="0" w:color="auto"/>
            </w:tcBorders>
            <w:vAlign w:val="center"/>
            <w:hideMark/>
          </w:tcPr>
          <w:p w14:paraId="31C9666C" w14:textId="77777777" w:rsidR="00B9278E" w:rsidRPr="00C26A9B" w:rsidRDefault="00B9278E" w:rsidP="00B9278E">
            <w:pPr>
              <w:rPr>
                <w:rFonts w:ascii="Times New Roman" w:hAnsi="Times New Roman" w:cs="Times New Roman"/>
                <w:sz w:val="24"/>
                <w:szCs w:val="24"/>
                <w:lang w:val="ro-RO"/>
              </w:rPr>
            </w:pP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6B1C79"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RMBS – cu profil de risc </w:t>
            </w:r>
            <w:proofErr w:type="spellStart"/>
            <w:r w:rsidRPr="00C26A9B">
              <w:rPr>
                <w:rFonts w:ascii="Times New Roman" w:hAnsi="Times New Roman" w:cs="Times New Roman"/>
                <w:i/>
                <w:iCs/>
                <w:sz w:val="24"/>
                <w:szCs w:val="24"/>
                <w:lang w:val="ro-RO"/>
              </w:rPr>
              <w:t>mid</w:t>
            </w:r>
            <w:proofErr w:type="spellEnd"/>
            <w:r w:rsidRPr="00C26A9B">
              <w:rPr>
                <w:rFonts w:ascii="Times New Roman" w:hAnsi="Times New Roman" w:cs="Times New Roman"/>
                <w:i/>
                <w:iCs/>
                <w:sz w:val="24"/>
                <w:szCs w:val="24"/>
                <w:lang w:val="ro-RO"/>
              </w:rPr>
              <w:t>-prime</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2FFC44"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1,5 %</w:t>
            </w:r>
          </w:p>
        </w:tc>
      </w:tr>
      <w:tr w:rsidR="00B9278E" w:rsidRPr="00C26A9B" w14:paraId="6DC0916D"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6B1592"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3</w:t>
            </w:r>
          </w:p>
        </w:tc>
        <w:tc>
          <w:tcPr>
            <w:tcW w:w="1692" w:type="dxa"/>
            <w:vMerge/>
            <w:tcBorders>
              <w:top w:val="outset" w:sz="6" w:space="0" w:color="auto"/>
              <w:left w:val="outset" w:sz="6" w:space="0" w:color="auto"/>
              <w:bottom w:val="outset" w:sz="6" w:space="0" w:color="auto"/>
              <w:right w:val="outset" w:sz="6" w:space="0" w:color="auto"/>
            </w:tcBorders>
            <w:vAlign w:val="center"/>
            <w:hideMark/>
          </w:tcPr>
          <w:p w14:paraId="15275CC8" w14:textId="77777777" w:rsidR="00B9278E" w:rsidRPr="00C26A9B" w:rsidRDefault="00B9278E" w:rsidP="00B9278E">
            <w:pPr>
              <w:rPr>
                <w:rFonts w:ascii="Times New Roman" w:hAnsi="Times New Roman" w:cs="Times New Roman"/>
                <w:sz w:val="24"/>
                <w:szCs w:val="24"/>
                <w:lang w:val="ro-RO"/>
              </w:rPr>
            </w:pP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1F16DC"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RMBS – cu profil de risc </w:t>
            </w:r>
            <w:r w:rsidRPr="00C26A9B">
              <w:rPr>
                <w:rFonts w:ascii="Times New Roman" w:hAnsi="Times New Roman" w:cs="Times New Roman"/>
                <w:i/>
                <w:iCs/>
                <w:sz w:val="24"/>
                <w:szCs w:val="24"/>
                <w:lang w:val="ro-RO"/>
              </w:rPr>
              <w:t>sub-prime</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BCC439"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2,0 %</w:t>
            </w:r>
          </w:p>
        </w:tc>
      </w:tr>
      <w:tr w:rsidR="00B9278E" w:rsidRPr="00C26A9B" w14:paraId="49317AB4"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97F0D2"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4</w:t>
            </w:r>
          </w:p>
        </w:tc>
        <w:tc>
          <w:tcPr>
            <w:tcW w:w="1692" w:type="dxa"/>
            <w:vMerge/>
            <w:tcBorders>
              <w:top w:val="outset" w:sz="6" w:space="0" w:color="auto"/>
              <w:left w:val="outset" w:sz="6" w:space="0" w:color="auto"/>
              <w:bottom w:val="outset" w:sz="6" w:space="0" w:color="auto"/>
              <w:right w:val="outset" w:sz="6" w:space="0" w:color="auto"/>
            </w:tcBorders>
            <w:vAlign w:val="center"/>
            <w:hideMark/>
          </w:tcPr>
          <w:p w14:paraId="52FE6342" w14:textId="77777777" w:rsidR="00B9278E" w:rsidRPr="00C26A9B" w:rsidRDefault="00B9278E" w:rsidP="00B9278E">
            <w:pPr>
              <w:rPr>
                <w:rFonts w:ascii="Times New Roman" w:hAnsi="Times New Roman" w:cs="Times New Roman"/>
                <w:sz w:val="24"/>
                <w:szCs w:val="24"/>
                <w:lang w:val="ro-RO"/>
              </w:rPr>
            </w:pP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32B2F2"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CMBS</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07AAD5"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2,0 %</w:t>
            </w:r>
          </w:p>
        </w:tc>
      </w:tr>
      <w:tr w:rsidR="00B9278E" w:rsidRPr="00C26A9B" w14:paraId="64DD9E79"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3D369E"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5</w:t>
            </w:r>
          </w:p>
        </w:tc>
        <w:tc>
          <w:tcPr>
            <w:tcW w:w="1692" w:type="dxa"/>
            <w:vMerge/>
            <w:tcBorders>
              <w:top w:val="outset" w:sz="6" w:space="0" w:color="auto"/>
              <w:left w:val="outset" w:sz="6" w:space="0" w:color="auto"/>
              <w:bottom w:val="outset" w:sz="6" w:space="0" w:color="auto"/>
              <w:right w:val="outset" w:sz="6" w:space="0" w:color="auto"/>
            </w:tcBorders>
            <w:vAlign w:val="center"/>
            <w:hideMark/>
          </w:tcPr>
          <w:p w14:paraId="6964FC1A" w14:textId="77777777" w:rsidR="00B9278E" w:rsidRPr="00C26A9B" w:rsidRDefault="00B9278E" w:rsidP="00B9278E">
            <w:pPr>
              <w:rPr>
                <w:rFonts w:ascii="Times New Roman" w:hAnsi="Times New Roman" w:cs="Times New Roman"/>
                <w:sz w:val="24"/>
                <w:szCs w:val="24"/>
                <w:lang w:val="ro-RO"/>
              </w:rPr>
            </w:pP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284DD5"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Titluri de valoare garantate cu active (ABS) – împrumuturi pentru studenți</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3EBCCB"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0,8 %</w:t>
            </w:r>
          </w:p>
        </w:tc>
      </w:tr>
      <w:tr w:rsidR="00B9278E" w:rsidRPr="00C26A9B" w14:paraId="240ED8C8"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1562EC"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6</w:t>
            </w:r>
          </w:p>
        </w:tc>
        <w:tc>
          <w:tcPr>
            <w:tcW w:w="1692" w:type="dxa"/>
            <w:vMerge/>
            <w:tcBorders>
              <w:top w:val="outset" w:sz="6" w:space="0" w:color="auto"/>
              <w:left w:val="outset" w:sz="6" w:space="0" w:color="auto"/>
              <w:bottom w:val="outset" w:sz="6" w:space="0" w:color="auto"/>
              <w:right w:val="outset" w:sz="6" w:space="0" w:color="auto"/>
            </w:tcBorders>
            <w:vAlign w:val="center"/>
            <w:hideMark/>
          </w:tcPr>
          <w:p w14:paraId="4080BED7" w14:textId="77777777" w:rsidR="00B9278E" w:rsidRPr="00C26A9B" w:rsidRDefault="00B9278E" w:rsidP="00B9278E">
            <w:pPr>
              <w:rPr>
                <w:rFonts w:ascii="Times New Roman" w:hAnsi="Times New Roman" w:cs="Times New Roman"/>
                <w:sz w:val="24"/>
                <w:szCs w:val="24"/>
                <w:lang w:val="ro-RO"/>
              </w:rPr>
            </w:pP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262668"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ABS – cărți de credit</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9C37A1"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1,2 %</w:t>
            </w:r>
          </w:p>
        </w:tc>
      </w:tr>
      <w:tr w:rsidR="00B9278E" w:rsidRPr="00C26A9B" w14:paraId="0E453092"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9F3A75"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7</w:t>
            </w:r>
          </w:p>
        </w:tc>
        <w:tc>
          <w:tcPr>
            <w:tcW w:w="1692" w:type="dxa"/>
            <w:vMerge/>
            <w:tcBorders>
              <w:top w:val="outset" w:sz="6" w:space="0" w:color="auto"/>
              <w:left w:val="outset" w:sz="6" w:space="0" w:color="auto"/>
              <w:bottom w:val="outset" w:sz="6" w:space="0" w:color="auto"/>
              <w:right w:val="outset" w:sz="6" w:space="0" w:color="auto"/>
            </w:tcBorders>
            <w:vAlign w:val="center"/>
            <w:hideMark/>
          </w:tcPr>
          <w:p w14:paraId="3F92977C" w14:textId="77777777" w:rsidR="00B9278E" w:rsidRPr="00C26A9B" w:rsidRDefault="00B9278E" w:rsidP="00B9278E">
            <w:pPr>
              <w:rPr>
                <w:rFonts w:ascii="Times New Roman" w:hAnsi="Times New Roman" w:cs="Times New Roman"/>
                <w:sz w:val="24"/>
                <w:szCs w:val="24"/>
                <w:lang w:val="ro-RO"/>
              </w:rPr>
            </w:pP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CA48FC"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ABS – auto</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5EDCB0"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1,2 %</w:t>
            </w:r>
          </w:p>
        </w:tc>
      </w:tr>
      <w:tr w:rsidR="00B9278E" w:rsidRPr="00C26A9B" w14:paraId="4F868C22"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65026C"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8</w:t>
            </w:r>
          </w:p>
        </w:tc>
        <w:tc>
          <w:tcPr>
            <w:tcW w:w="1692" w:type="dxa"/>
            <w:vMerge/>
            <w:tcBorders>
              <w:top w:val="outset" w:sz="6" w:space="0" w:color="auto"/>
              <w:left w:val="outset" w:sz="6" w:space="0" w:color="auto"/>
              <w:bottom w:val="outset" w:sz="6" w:space="0" w:color="auto"/>
              <w:right w:val="outset" w:sz="6" w:space="0" w:color="auto"/>
            </w:tcBorders>
            <w:vAlign w:val="center"/>
            <w:hideMark/>
          </w:tcPr>
          <w:p w14:paraId="311A913F" w14:textId="77777777" w:rsidR="00B9278E" w:rsidRPr="00C26A9B" w:rsidRDefault="00B9278E" w:rsidP="00B9278E">
            <w:pPr>
              <w:rPr>
                <w:rFonts w:ascii="Times New Roman" w:hAnsi="Times New Roman" w:cs="Times New Roman"/>
                <w:sz w:val="24"/>
                <w:szCs w:val="24"/>
                <w:lang w:val="ro-RO"/>
              </w:rPr>
            </w:pP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42F793"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Obligațiuni garantate cu împrumuturi colateralizate (CLO) neincluse în ACTP</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20AC81"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1,4 %</w:t>
            </w:r>
          </w:p>
        </w:tc>
      </w:tr>
      <w:tr w:rsidR="00B9278E" w:rsidRPr="00C26A9B" w14:paraId="2807F5B6"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BAC1D3"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9</w:t>
            </w:r>
          </w:p>
        </w:tc>
        <w:tc>
          <w:tcPr>
            <w:tcW w:w="1692"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AAB4D0" w14:textId="682A430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Inferioară și nivelul 1-10 de calitate a creditului</w:t>
            </w:r>
            <w:r w:rsidRPr="00C26A9B">
              <w:rPr>
                <w:rFonts w:ascii="Times New Roman" w:hAnsi="Times New Roman" w:cs="Times New Roman"/>
                <w:b/>
                <w:bCs/>
                <w:sz w:val="24"/>
                <w:szCs w:val="24"/>
                <w:lang w:val="ro-RO"/>
              </w:rPr>
              <w:t> </w:t>
            </w: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E75E75"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RMBS – cu profil de risc </w:t>
            </w:r>
            <w:r w:rsidRPr="00C26A9B">
              <w:rPr>
                <w:rFonts w:ascii="Times New Roman" w:hAnsi="Times New Roman" w:cs="Times New Roman"/>
                <w:i/>
                <w:iCs/>
                <w:sz w:val="24"/>
                <w:szCs w:val="24"/>
                <w:lang w:val="ro-RO"/>
              </w:rPr>
              <w:t>prime</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1FB8F9"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1,125 %</w:t>
            </w:r>
          </w:p>
        </w:tc>
      </w:tr>
      <w:tr w:rsidR="00B9278E" w:rsidRPr="00C26A9B" w14:paraId="27021416"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6A0502"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10</w:t>
            </w:r>
          </w:p>
        </w:tc>
        <w:tc>
          <w:tcPr>
            <w:tcW w:w="1692" w:type="dxa"/>
            <w:vMerge/>
            <w:tcBorders>
              <w:top w:val="outset" w:sz="6" w:space="0" w:color="auto"/>
              <w:left w:val="outset" w:sz="6" w:space="0" w:color="auto"/>
              <w:bottom w:val="outset" w:sz="6" w:space="0" w:color="auto"/>
              <w:right w:val="outset" w:sz="6" w:space="0" w:color="auto"/>
            </w:tcBorders>
            <w:vAlign w:val="center"/>
            <w:hideMark/>
          </w:tcPr>
          <w:p w14:paraId="024EF8EB" w14:textId="77777777" w:rsidR="00B9278E" w:rsidRPr="00C26A9B" w:rsidRDefault="00B9278E" w:rsidP="00B9278E">
            <w:pPr>
              <w:rPr>
                <w:rFonts w:ascii="Times New Roman" w:hAnsi="Times New Roman" w:cs="Times New Roman"/>
                <w:sz w:val="24"/>
                <w:szCs w:val="24"/>
                <w:lang w:val="ro-RO"/>
              </w:rPr>
            </w:pP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B00505"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RMBS – cu profil de risc </w:t>
            </w:r>
            <w:proofErr w:type="spellStart"/>
            <w:r w:rsidRPr="00C26A9B">
              <w:rPr>
                <w:rFonts w:ascii="Times New Roman" w:hAnsi="Times New Roman" w:cs="Times New Roman"/>
                <w:i/>
                <w:iCs/>
                <w:sz w:val="24"/>
                <w:szCs w:val="24"/>
                <w:lang w:val="ro-RO"/>
              </w:rPr>
              <w:t>mid</w:t>
            </w:r>
            <w:proofErr w:type="spellEnd"/>
            <w:r w:rsidRPr="00C26A9B">
              <w:rPr>
                <w:rFonts w:ascii="Times New Roman" w:hAnsi="Times New Roman" w:cs="Times New Roman"/>
                <w:i/>
                <w:iCs/>
                <w:sz w:val="24"/>
                <w:szCs w:val="24"/>
                <w:lang w:val="ro-RO"/>
              </w:rPr>
              <w:t>-prime</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BD6CC2"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1,875 %</w:t>
            </w:r>
          </w:p>
        </w:tc>
      </w:tr>
      <w:tr w:rsidR="00B9278E" w:rsidRPr="00C26A9B" w14:paraId="2C2A3341"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C96005"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11</w:t>
            </w:r>
          </w:p>
        </w:tc>
        <w:tc>
          <w:tcPr>
            <w:tcW w:w="1692" w:type="dxa"/>
            <w:vMerge/>
            <w:tcBorders>
              <w:top w:val="outset" w:sz="6" w:space="0" w:color="auto"/>
              <w:left w:val="outset" w:sz="6" w:space="0" w:color="auto"/>
              <w:bottom w:val="outset" w:sz="6" w:space="0" w:color="auto"/>
              <w:right w:val="outset" w:sz="6" w:space="0" w:color="auto"/>
            </w:tcBorders>
            <w:vAlign w:val="center"/>
            <w:hideMark/>
          </w:tcPr>
          <w:p w14:paraId="697552FD" w14:textId="77777777" w:rsidR="00B9278E" w:rsidRPr="00C26A9B" w:rsidRDefault="00B9278E" w:rsidP="00B9278E">
            <w:pPr>
              <w:rPr>
                <w:rFonts w:ascii="Times New Roman" w:hAnsi="Times New Roman" w:cs="Times New Roman"/>
                <w:sz w:val="24"/>
                <w:szCs w:val="24"/>
                <w:lang w:val="ro-RO"/>
              </w:rPr>
            </w:pP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FDB66F"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RMBS – cu profil de risc </w:t>
            </w:r>
            <w:r w:rsidRPr="00C26A9B">
              <w:rPr>
                <w:rFonts w:ascii="Times New Roman" w:hAnsi="Times New Roman" w:cs="Times New Roman"/>
                <w:i/>
                <w:iCs/>
                <w:sz w:val="24"/>
                <w:szCs w:val="24"/>
                <w:lang w:val="ro-RO"/>
              </w:rPr>
              <w:t>sub-prime</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4CAA33"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2,5 %</w:t>
            </w:r>
          </w:p>
        </w:tc>
      </w:tr>
      <w:tr w:rsidR="00B9278E" w:rsidRPr="00C26A9B" w14:paraId="67BAD766"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FD1E73"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12</w:t>
            </w:r>
          </w:p>
        </w:tc>
        <w:tc>
          <w:tcPr>
            <w:tcW w:w="1692" w:type="dxa"/>
            <w:vMerge/>
            <w:tcBorders>
              <w:top w:val="outset" w:sz="6" w:space="0" w:color="auto"/>
              <w:left w:val="outset" w:sz="6" w:space="0" w:color="auto"/>
              <w:bottom w:val="outset" w:sz="6" w:space="0" w:color="auto"/>
              <w:right w:val="outset" w:sz="6" w:space="0" w:color="auto"/>
            </w:tcBorders>
            <w:vAlign w:val="center"/>
            <w:hideMark/>
          </w:tcPr>
          <w:p w14:paraId="2E8619D0" w14:textId="77777777" w:rsidR="00B9278E" w:rsidRPr="00C26A9B" w:rsidRDefault="00B9278E" w:rsidP="00B9278E">
            <w:pPr>
              <w:rPr>
                <w:rFonts w:ascii="Times New Roman" w:hAnsi="Times New Roman" w:cs="Times New Roman"/>
                <w:sz w:val="24"/>
                <w:szCs w:val="24"/>
                <w:lang w:val="ro-RO"/>
              </w:rPr>
            </w:pP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9919F3"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CMBS</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8573DE"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2,5 %</w:t>
            </w:r>
          </w:p>
        </w:tc>
      </w:tr>
      <w:tr w:rsidR="00B9278E" w:rsidRPr="00C26A9B" w14:paraId="32C71364"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E65666"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13</w:t>
            </w:r>
          </w:p>
        </w:tc>
        <w:tc>
          <w:tcPr>
            <w:tcW w:w="1692" w:type="dxa"/>
            <w:vMerge/>
            <w:tcBorders>
              <w:top w:val="outset" w:sz="6" w:space="0" w:color="auto"/>
              <w:left w:val="outset" w:sz="6" w:space="0" w:color="auto"/>
              <w:bottom w:val="outset" w:sz="6" w:space="0" w:color="auto"/>
              <w:right w:val="outset" w:sz="6" w:space="0" w:color="auto"/>
            </w:tcBorders>
            <w:vAlign w:val="center"/>
            <w:hideMark/>
          </w:tcPr>
          <w:p w14:paraId="708D4192" w14:textId="77777777" w:rsidR="00B9278E" w:rsidRPr="00C26A9B" w:rsidRDefault="00B9278E" w:rsidP="00B9278E">
            <w:pPr>
              <w:rPr>
                <w:rFonts w:ascii="Times New Roman" w:hAnsi="Times New Roman" w:cs="Times New Roman"/>
                <w:sz w:val="24"/>
                <w:szCs w:val="24"/>
                <w:lang w:val="ro-RO"/>
              </w:rPr>
            </w:pP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1978EB"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ABS – împrumuturi pentru studenți</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40CB61"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1 %</w:t>
            </w:r>
          </w:p>
        </w:tc>
      </w:tr>
      <w:tr w:rsidR="00B9278E" w:rsidRPr="00C26A9B" w14:paraId="6C09F7DB"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3FC44A"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14</w:t>
            </w:r>
          </w:p>
        </w:tc>
        <w:tc>
          <w:tcPr>
            <w:tcW w:w="1692" w:type="dxa"/>
            <w:vMerge/>
            <w:tcBorders>
              <w:top w:val="outset" w:sz="6" w:space="0" w:color="auto"/>
              <w:left w:val="outset" w:sz="6" w:space="0" w:color="auto"/>
              <w:bottom w:val="outset" w:sz="6" w:space="0" w:color="auto"/>
              <w:right w:val="outset" w:sz="6" w:space="0" w:color="auto"/>
            </w:tcBorders>
            <w:vAlign w:val="center"/>
            <w:hideMark/>
          </w:tcPr>
          <w:p w14:paraId="1B5A0002" w14:textId="77777777" w:rsidR="00B9278E" w:rsidRPr="00C26A9B" w:rsidRDefault="00B9278E" w:rsidP="00B9278E">
            <w:pPr>
              <w:rPr>
                <w:rFonts w:ascii="Times New Roman" w:hAnsi="Times New Roman" w:cs="Times New Roman"/>
                <w:sz w:val="24"/>
                <w:szCs w:val="24"/>
                <w:lang w:val="ro-RO"/>
              </w:rPr>
            </w:pP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BF1E3F"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ABS – cărți de credit</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F848B4"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1,5 %</w:t>
            </w:r>
          </w:p>
        </w:tc>
      </w:tr>
      <w:tr w:rsidR="00B9278E" w:rsidRPr="00C26A9B" w14:paraId="3D856C1D"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767DED"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15</w:t>
            </w:r>
          </w:p>
        </w:tc>
        <w:tc>
          <w:tcPr>
            <w:tcW w:w="1692" w:type="dxa"/>
            <w:vMerge/>
            <w:tcBorders>
              <w:top w:val="outset" w:sz="6" w:space="0" w:color="auto"/>
              <w:left w:val="outset" w:sz="6" w:space="0" w:color="auto"/>
              <w:bottom w:val="outset" w:sz="6" w:space="0" w:color="auto"/>
              <w:right w:val="outset" w:sz="6" w:space="0" w:color="auto"/>
            </w:tcBorders>
            <w:vAlign w:val="center"/>
            <w:hideMark/>
          </w:tcPr>
          <w:p w14:paraId="3DC9C032" w14:textId="77777777" w:rsidR="00B9278E" w:rsidRPr="00C26A9B" w:rsidRDefault="00B9278E" w:rsidP="00B9278E">
            <w:pPr>
              <w:rPr>
                <w:rFonts w:ascii="Times New Roman" w:hAnsi="Times New Roman" w:cs="Times New Roman"/>
                <w:sz w:val="24"/>
                <w:szCs w:val="24"/>
                <w:lang w:val="ro-RO"/>
              </w:rPr>
            </w:pP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DF027F"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ABS – auto</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6FB527"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1,5 %</w:t>
            </w:r>
          </w:p>
        </w:tc>
      </w:tr>
      <w:tr w:rsidR="00B9278E" w:rsidRPr="00C26A9B" w14:paraId="7AF8DA89"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91714C"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16</w:t>
            </w:r>
          </w:p>
        </w:tc>
        <w:tc>
          <w:tcPr>
            <w:tcW w:w="1692" w:type="dxa"/>
            <w:vMerge/>
            <w:tcBorders>
              <w:top w:val="outset" w:sz="6" w:space="0" w:color="auto"/>
              <w:left w:val="outset" w:sz="6" w:space="0" w:color="auto"/>
              <w:bottom w:val="outset" w:sz="6" w:space="0" w:color="auto"/>
              <w:right w:val="outset" w:sz="6" w:space="0" w:color="auto"/>
            </w:tcBorders>
            <w:vAlign w:val="center"/>
            <w:hideMark/>
          </w:tcPr>
          <w:p w14:paraId="60B44580" w14:textId="77777777" w:rsidR="00B9278E" w:rsidRPr="00C26A9B" w:rsidRDefault="00B9278E" w:rsidP="00B9278E">
            <w:pPr>
              <w:rPr>
                <w:rFonts w:ascii="Times New Roman" w:hAnsi="Times New Roman" w:cs="Times New Roman"/>
                <w:sz w:val="24"/>
                <w:szCs w:val="24"/>
                <w:lang w:val="ro-RO"/>
              </w:rPr>
            </w:pP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DB37FB"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CLO neincluse în ACTP</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FF9B62"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1,75 %</w:t>
            </w:r>
          </w:p>
        </w:tc>
      </w:tr>
      <w:tr w:rsidR="00B9278E" w:rsidRPr="00C26A9B" w14:paraId="34454368"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E4B51A"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17</w:t>
            </w:r>
          </w:p>
        </w:tc>
        <w:tc>
          <w:tcPr>
            <w:tcW w:w="1692"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047FAF" w14:textId="385A4D7E"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Nivelul 11-17 de calitate a creditului și fără rating</w:t>
            </w:r>
            <w:r w:rsidRPr="00C26A9B">
              <w:rPr>
                <w:rFonts w:ascii="Times New Roman" w:hAnsi="Times New Roman" w:cs="Times New Roman"/>
                <w:b/>
                <w:bCs/>
                <w:sz w:val="24"/>
                <w:szCs w:val="24"/>
                <w:lang w:val="ro-RO"/>
              </w:rPr>
              <w:t> </w:t>
            </w: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A3433A"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RMBS – cu profil de risc </w:t>
            </w:r>
            <w:r w:rsidRPr="00C26A9B">
              <w:rPr>
                <w:rFonts w:ascii="Times New Roman" w:hAnsi="Times New Roman" w:cs="Times New Roman"/>
                <w:i/>
                <w:iCs/>
                <w:sz w:val="24"/>
                <w:szCs w:val="24"/>
                <w:lang w:val="ro-RO"/>
              </w:rPr>
              <w:t>prime</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56DC11"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1,575 %</w:t>
            </w:r>
          </w:p>
        </w:tc>
      </w:tr>
      <w:tr w:rsidR="00B9278E" w:rsidRPr="00C26A9B" w14:paraId="4696DBF4"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37AE58"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18</w:t>
            </w:r>
          </w:p>
        </w:tc>
        <w:tc>
          <w:tcPr>
            <w:tcW w:w="1692" w:type="dxa"/>
            <w:vMerge/>
            <w:tcBorders>
              <w:top w:val="outset" w:sz="6" w:space="0" w:color="auto"/>
              <w:left w:val="outset" w:sz="6" w:space="0" w:color="auto"/>
              <w:bottom w:val="outset" w:sz="6" w:space="0" w:color="auto"/>
              <w:right w:val="outset" w:sz="6" w:space="0" w:color="auto"/>
            </w:tcBorders>
            <w:vAlign w:val="center"/>
            <w:hideMark/>
          </w:tcPr>
          <w:p w14:paraId="53283D56" w14:textId="77777777" w:rsidR="00B9278E" w:rsidRPr="00C26A9B" w:rsidRDefault="00B9278E" w:rsidP="00B9278E">
            <w:pPr>
              <w:rPr>
                <w:rFonts w:ascii="Times New Roman" w:hAnsi="Times New Roman" w:cs="Times New Roman"/>
                <w:sz w:val="24"/>
                <w:szCs w:val="24"/>
                <w:lang w:val="ro-RO"/>
              </w:rPr>
            </w:pP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C5DE23"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RMBS – cu profil de risc </w:t>
            </w:r>
            <w:proofErr w:type="spellStart"/>
            <w:r w:rsidRPr="00C26A9B">
              <w:rPr>
                <w:rFonts w:ascii="Times New Roman" w:hAnsi="Times New Roman" w:cs="Times New Roman"/>
                <w:i/>
                <w:iCs/>
                <w:sz w:val="24"/>
                <w:szCs w:val="24"/>
                <w:lang w:val="ro-RO"/>
              </w:rPr>
              <w:t>mid</w:t>
            </w:r>
            <w:proofErr w:type="spellEnd"/>
            <w:r w:rsidRPr="00C26A9B">
              <w:rPr>
                <w:rFonts w:ascii="Times New Roman" w:hAnsi="Times New Roman" w:cs="Times New Roman"/>
                <w:i/>
                <w:iCs/>
                <w:sz w:val="24"/>
                <w:szCs w:val="24"/>
                <w:lang w:val="ro-RO"/>
              </w:rPr>
              <w:t>-prime</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E7D302"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2,625 %</w:t>
            </w:r>
          </w:p>
        </w:tc>
      </w:tr>
      <w:tr w:rsidR="00B9278E" w:rsidRPr="00C26A9B" w14:paraId="4C2EF9BE"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80EC85"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19</w:t>
            </w:r>
          </w:p>
        </w:tc>
        <w:tc>
          <w:tcPr>
            <w:tcW w:w="1692" w:type="dxa"/>
            <w:vMerge/>
            <w:tcBorders>
              <w:top w:val="outset" w:sz="6" w:space="0" w:color="auto"/>
              <w:left w:val="outset" w:sz="6" w:space="0" w:color="auto"/>
              <w:bottom w:val="outset" w:sz="6" w:space="0" w:color="auto"/>
              <w:right w:val="outset" w:sz="6" w:space="0" w:color="auto"/>
            </w:tcBorders>
            <w:vAlign w:val="center"/>
            <w:hideMark/>
          </w:tcPr>
          <w:p w14:paraId="00FE6BBC" w14:textId="77777777" w:rsidR="00B9278E" w:rsidRPr="00C26A9B" w:rsidRDefault="00B9278E" w:rsidP="00B9278E">
            <w:pPr>
              <w:rPr>
                <w:rFonts w:ascii="Times New Roman" w:hAnsi="Times New Roman" w:cs="Times New Roman"/>
                <w:sz w:val="24"/>
                <w:szCs w:val="24"/>
                <w:lang w:val="ro-RO"/>
              </w:rPr>
            </w:pP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77AE5D"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RMBS – cu profil de risc </w:t>
            </w:r>
            <w:r w:rsidRPr="00C26A9B">
              <w:rPr>
                <w:rFonts w:ascii="Times New Roman" w:hAnsi="Times New Roman" w:cs="Times New Roman"/>
                <w:i/>
                <w:iCs/>
                <w:sz w:val="24"/>
                <w:szCs w:val="24"/>
                <w:lang w:val="ro-RO"/>
              </w:rPr>
              <w:t>sub-prime</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68FFEC"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3,5 %</w:t>
            </w:r>
          </w:p>
        </w:tc>
      </w:tr>
      <w:tr w:rsidR="00B9278E" w:rsidRPr="00C26A9B" w14:paraId="5CF7D38B"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2FD55A"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20</w:t>
            </w:r>
          </w:p>
        </w:tc>
        <w:tc>
          <w:tcPr>
            <w:tcW w:w="1692" w:type="dxa"/>
            <w:vMerge/>
            <w:tcBorders>
              <w:top w:val="outset" w:sz="6" w:space="0" w:color="auto"/>
              <w:left w:val="outset" w:sz="6" w:space="0" w:color="auto"/>
              <w:bottom w:val="outset" w:sz="6" w:space="0" w:color="auto"/>
              <w:right w:val="outset" w:sz="6" w:space="0" w:color="auto"/>
            </w:tcBorders>
            <w:vAlign w:val="center"/>
            <w:hideMark/>
          </w:tcPr>
          <w:p w14:paraId="6318A3AD" w14:textId="77777777" w:rsidR="00B9278E" w:rsidRPr="00C26A9B" w:rsidRDefault="00B9278E" w:rsidP="00B9278E">
            <w:pPr>
              <w:rPr>
                <w:rFonts w:ascii="Times New Roman" w:hAnsi="Times New Roman" w:cs="Times New Roman"/>
                <w:sz w:val="24"/>
                <w:szCs w:val="24"/>
                <w:lang w:val="ro-RO"/>
              </w:rPr>
            </w:pP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4C16B6"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CMBS</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102F6A"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3,5 %</w:t>
            </w:r>
          </w:p>
        </w:tc>
      </w:tr>
      <w:tr w:rsidR="00B9278E" w:rsidRPr="00C26A9B" w14:paraId="48E8E929"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7B53C3"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21</w:t>
            </w:r>
          </w:p>
        </w:tc>
        <w:tc>
          <w:tcPr>
            <w:tcW w:w="1692" w:type="dxa"/>
            <w:vMerge/>
            <w:tcBorders>
              <w:top w:val="outset" w:sz="6" w:space="0" w:color="auto"/>
              <w:left w:val="outset" w:sz="6" w:space="0" w:color="auto"/>
              <w:bottom w:val="outset" w:sz="6" w:space="0" w:color="auto"/>
              <w:right w:val="outset" w:sz="6" w:space="0" w:color="auto"/>
            </w:tcBorders>
            <w:vAlign w:val="center"/>
            <w:hideMark/>
          </w:tcPr>
          <w:p w14:paraId="584938A1" w14:textId="77777777" w:rsidR="00B9278E" w:rsidRPr="00C26A9B" w:rsidRDefault="00B9278E" w:rsidP="00B9278E">
            <w:pPr>
              <w:rPr>
                <w:rFonts w:ascii="Times New Roman" w:hAnsi="Times New Roman" w:cs="Times New Roman"/>
                <w:sz w:val="24"/>
                <w:szCs w:val="24"/>
                <w:lang w:val="ro-RO"/>
              </w:rPr>
            </w:pP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0E5BB2"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ABS – împrumuturi pentru studenți</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E08206"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1,4 %</w:t>
            </w:r>
          </w:p>
        </w:tc>
      </w:tr>
      <w:tr w:rsidR="00B9278E" w:rsidRPr="00C26A9B" w14:paraId="072C49B0"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45A097"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22</w:t>
            </w:r>
          </w:p>
        </w:tc>
        <w:tc>
          <w:tcPr>
            <w:tcW w:w="1692" w:type="dxa"/>
            <w:vMerge/>
            <w:tcBorders>
              <w:top w:val="outset" w:sz="6" w:space="0" w:color="auto"/>
              <w:left w:val="outset" w:sz="6" w:space="0" w:color="auto"/>
              <w:bottom w:val="outset" w:sz="6" w:space="0" w:color="auto"/>
              <w:right w:val="outset" w:sz="6" w:space="0" w:color="auto"/>
            </w:tcBorders>
            <w:vAlign w:val="center"/>
            <w:hideMark/>
          </w:tcPr>
          <w:p w14:paraId="4C2E7A66" w14:textId="77777777" w:rsidR="00B9278E" w:rsidRPr="00C26A9B" w:rsidRDefault="00B9278E" w:rsidP="00B9278E">
            <w:pPr>
              <w:rPr>
                <w:rFonts w:ascii="Times New Roman" w:hAnsi="Times New Roman" w:cs="Times New Roman"/>
                <w:sz w:val="24"/>
                <w:szCs w:val="24"/>
                <w:lang w:val="ro-RO"/>
              </w:rPr>
            </w:pP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1A8814"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ABS – cărți de credit</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E325C1"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2,1 %</w:t>
            </w:r>
          </w:p>
        </w:tc>
      </w:tr>
      <w:tr w:rsidR="00B9278E" w:rsidRPr="00C26A9B" w14:paraId="7B5B5B94"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139FFB"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23</w:t>
            </w:r>
          </w:p>
        </w:tc>
        <w:tc>
          <w:tcPr>
            <w:tcW w:w="1692" w:type="dxa"/>
            <w:vMerge/>
            <w:tcBorders>
              <w:top w:val="outset" w:sz="6" w:space="0" w:color="auto"/>
              <w:left w:val="outset" w:sz="6" w:space="0" w:color="auto"/>
              <w:bottom w:val="outset" w:sz="6" w:space="0" w:color="auto"/>
              <w:right w:val="outset" w:sz="6" w:space="0" w:color="auto"/>
            </w:tcBorders>
            <w:vAlign w:val="center"/>
            <w:hideMark/>
          </w:tcPr>
          <w:p w14:paraId="10ED3F1F" w14:textId="77777777" w:rsidR="00B9278E" w:rsidRPr="00C26A9B" w:rsidRDefault="00B9278E" w:rsidP="00B9278E">
            <w:pPr>
              <w:rPr>
                <w:rFonts w:ascii="Times New Roman" w:hAnsi="Times New Roman" w:cs="Times New Roman"/>
                <w:sz w:val="24"/>
                <w:szCs w:val="24"/>
                <w:lang w:val="ro-RO"/>
              </w:rPr>
            </w:pP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9B410E"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ABS – auto</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1BAA26"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2,1 %</w:t>
            </w:r>
          </w:p>
        </w:tc>
      </w:tr>
      <w:tr w:rsidR="00B9278E" w:rsidRPr="00C26A9B" w14:paraId="5B8E30D1"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D52CA1"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24</w:t>
            </w:r>
          </w:p>
        </w:tc>
        <w:tc>
          <w:tcPr>
            <w:tcW w:w="1692" w:type="dxa"/>
            <w:vMerge/>
            <w:tcBorders>
              <w:top w:val="outset" w:sz="6" w:space="0" w:color="auto"/>
              <w:left w:val="outset" w:sz="6" w:space="0" w:color="auto"/>
              <w:bottom w:val="outset" w:sz="6" w:space="0" w:color="auto"/>
              <w:right w:val="outset" w:sz="6" w:space="0" w:color="auto"/>
            </w:tcBorders>
            <w:vAlign w:val="center"/>
            <w:hideMark/>
          </w:tcPr>
          <w:p w14:paraId="5F1E2408" w14:textId="77777777" w:rsidR="00B9278E" w:rsidRPr="00C26A9B" w:rsidRDefault="00B9278E" w:rsidP="00B9278E">
            <w:pPr>
              <w:rPr>
                <w:rFonts w:ascii="Times New Roman" w:hAnsi="Times New Roman" w:cs="Times New Roman"/>
                <w:sz w:val="24"/>
                <w:szCs w:val="24"/>
                <w:lang w:val="ro-RO"/>
              </w:rPr>
            </w:pPr>
          </w:p>
        </w:tc>
        <w:tc>
          <w:tcPr>
            <w:tcW w:w="440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593760"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CLO neincluse în ACTP</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AE2A00"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2,45 %</w:t>
            </w:r>
          </w:p>
        </w:tc>
      </w:tr>
      <w:tr w:rsidR="00B9278E" w:rsidRPr="00C26A9B" w14:paraId="5ADAF96A" w14:textId="77777777" w:rsidTr="00923AA3">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F3B490"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25</w:t>
            </w:r>
          </w:p>
        </w:tc>
        <w:tc>
          <w:tcPr>
            <w:tcW w:w="609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62F512"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Alt sector</w:t>
            </w:r>
          </w:p>
        </w:tc>
        <w:tc>
          <w:tcPr>
            <w:tcW w:w="12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6077A6" w14:textId="77777777" w:rsidR="00B9278E" w:rsidRPr="00C26A9B" w:rsidRDefault="00B9278E"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3,5 %</w:t>
            </w:r>
          </w:p>
        </w:tc>
      </w:tr>
    </w:tbl>
    <w:p w14:paraId="15D87887" w14:textId="77777777" w:rsidR="00B9278E" w:rsidRPr="00C26A9B" w:rsidRDefault="00B9278E" w:rsidP="00B9278E">
      <w:pPr>
        <w:rPr>
          <w:rFonts w:ascii="Times New Roman" w:hAnsi="Times New Roman" w:cs="Times New Roman"/>
          <w:sz w:val="24"/>
          <w:szCs w:val="24"/>
          <w:lang w:val="ro-RO"/>
        </w:rPr>
      </w:pPr>
    </w:p>
    <w:p w14:paraId="7298B3EE" w14:textId="18E5D909" w:rsidR="00B9278E" w:rsidRPr="00C26A9B" w:rsidRDefault="001B1A48"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292.   Atunci când atribuie o expunere la risc unui sector, băncile se bazează pe o clasificare care este utilizată în mod curent pe piață pentru gruparea emitenților în funcție de sector. Băncile încadrează fiecare tranșă într-una din benzile sectoriale din tabelul 7. Expunerile la risc provenind din orice tranșă, pe care o bancă nu le poate atribui unui anumit sector în acest mod, sunt încadrate în banda 25.</w:t>
      </w:r>
    </w:p>
    <w:p w14:paraId="124097D8" w14:textId="67020BDC" w:rsidR="001B1A48" w:rsidRPr="00C26A9B" w:rsidRDefault="001B1A48"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293.   În sensul prezentului paragraf, unei expuneri i se atribuie categoria de calitate a creditului corespunzătoare categoriei de calitate a creditului pe care ar urma să o primească în conformitate cu abordarea bazată pe modele externe de rating prevăzută în Regulamentul nr.221/2025 privind tratamentul </w:t>
      </w:r>
      <w:proofErr w:type="spellStart"/>
      <w:r w:rsidRPr="00C26A9B">
        <w:rPr>
          <w:rFonts w:ascii="Times New Roman" w:hAnsi="Times New Roman" w:cs="Times New Roman"/>
          <w:sz w:val="24"/>
          <w:szCs w:val="24"/>
          <w:lang w:val="ro-RO"/>
        </w:rPr>
        <w:t>prudenţial</w:t>
      </w:r>
      <w:proofErr w:type="spellEnd"/>
      <w:r w:rsidRPr="00C26A9B">
        <w:rPr>
          <w:rFonts w:ascii="Times New Roman" w:hAnsi="Times New Roman" w:cs="Times New Roman"/>
          <w:sz w:val="24"/>
          <w:szCs w:val="24"/>
          <w:lang w:val="ro-RO"/>
        </w:rPr>
        <w:t xml:space="preserve"> al securitizărilor.</w:t>
      </w:r>
    </w:p>
    <w:p w14:paraId="4A707211" w14:textId="7DC0348A" w:rsidR="001B1A48" w:rsidRPr="00C26A9B" w:rsidRDefault="001B1A48" w:rsidP="001B1A48">
      <w:pPr>
        <w:rPr>
          <w:rFonts w:ascii="Times New Roman" w:hAnsi="Times New Roman" w:cs="Times New Roman"/>
          <w:b/>
          <w:bCs/>
          <w:sz w:val="24"/>
          <w:szCs w:val="24"/>
          <w:lang w:val="ro-RO"/>
        </w:rPr>
      </w:pPr>
      <w:r w:rsidRPr="00C26A9B">
        <w:rPr>
          <w:rFonts w:ascii="Times New Roman" w:hAnsi="Times New Roman" w:cs="Times New Roman"/>
          <w:i/>
          <w:iCs/>
          <w:sz w:val="24"/>
          <w:szCs w:val="24"/>
          <w:lang w:val="ro-RO"/>
        </w:rPr>
        <w:t xml:space="preserve">Paragraful 10. </w:t>
      </w:r>
      <w:r w:rsidRPr="00C26A9B">
        <w:rPr>
          <w:rFonts w:ascii="Times New Roman" w:hAnsi="Times New Roman" w:cs="Times New Roman"/>
          <w:b/>
          <w:bCs/>
          <w:sz w:val="24"/>
          <w:szCs w:val="24"/>
          <w:lang w:val="ro-RO"/>
        </w:rPr>
        <w:t>Corelațiile din cadrul unei benzi pentru securitizările riscului de marjă de credit neincluse în ACTP</w:t>
      </w:r>
    </w:p>
    <w:p w14:paraId="2B0D9692"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294.   Între două sensibilități </w:t>
      </w:r>
      <w:proofErr w:type="spellStart"/>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k</w:t>
      </w:r>
      <w:proofErr w:type="spellEnd"/>
      <w:r w:rsidRPr="00C26A9B">
        <w:rPr>
          <w:rFonts w:ascii="Times New Roman" w:hAnsi="Times New Roman" w:cs="Times New Roman"/>
          <w:sz w:val="24"/>
          <w:szCs w:val="24"/>
          <w:lang w:val="ro-RO"/>
        </w:rPr>
        <w:t xml:space="preserve"> și </w:t>
      </w:r>
      <w:proofErr w:type="spellStart"/>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l</w:t>
      </w:r>
      <w:proofErr w:type="spellEnd"/>
      <w:r w:rsidRPr="00C26A9B">
        <w:rPr>
          <w:rFonts w:ascii="Times New Roman" w:hAnsi="Times New Roman" w:cs="Times New Roman"/>
          <w:sz w:val="24"/>
          <w:szCs w:val="24"/>
          <w:lang w:val="ro-RO"/>
        </w:rPr>
        <w:t xml:space="preserve"> din cadrul aceleiași benzi, parametrul de corelație </w:t>
      </w: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se stabilește după cum urmează:</w:t>
      </w:r>
    </w:p>
    <w:p w14:paraId="4356161D" w14:textId="77777777" w:rsidR="001B1A48" w:rsidRPr="00C26A9B" w:rsidRDefault="001B1A48" w:rsidP="001B1A48">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xml:space="preserve"> = </w:t>
      </w: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w:t>
      </w:r>
      <w:r w:rsidRPr="00C26A9B">
        <w:rPr>
          <w:rFonts w:ascii="Times New Roman" w:hAnsi="Times New Roman" w:cs="Times New Roman"/>
          <w:sz w:val="24"/>
          <w:szCs w:val="24"/>
          <w:vertAlign w:val="superscript"/>
          <w:lang w:val="ro-RO"/>
        </w:rPr>
        <w:t>(tranșă)</w:t>
      </w:r>
      <w:r w:rsidRPr="00C26A9B">
        <w:rPr>
          <w:rFonts w:ascii="Times New Roman" w:hAnsi="Times New Roman" w:cs="Times New Roman"/>
          <w:sz w:val="24"/>
          <w:szCs w:val="24"/>
          <w:lang w:val="ro-RO"/>
        </w:rPr>
        <w:t xml:space="preserve"> · </w:t>
      </w: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w:t>
      </w:r>
      <w:r w:rsidRPr="00C26A9B">
        <w:rPr>
          <w:rFonts w:ascii="Times New Roman" w:hAnsi="Times New Roman" w:cs="Times New Roman"/>
          <w:sz w:val="24"/>
          <w:szCs w:val="24"/>
          <w:vertAlign w:val="superscript"/>
          <w:lang w:val="ro-RO"/>
        </w:rPr>
        <w:t>(scadență)</w:t>
      </w:r>
      <w:r w:rsidRPr="00C26A9B">
        <w:rPr>
          <w:rFonts w:ascii="Times New Roman" w:hAnsi="Times New Roman" w:cs="Times New Roman"/>
          <w:sz w:val="24"/>
          <w:szCs w:val="24"/>
          <w:lang w:val="ro-RO"/>
        </w:rPr>
        <w:t xml:space="preserve"> · </w:t>
      </w: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w:t>
      </w:r>
      <w:r w:rsidRPr="00C26A9B">
        <w:rPr>
          <w:rFonts w:ascii="Times New Roman" w:hAnsi="Times New Roman" w:cs="Times New Roman"/>
          <w:sz w:val="24"/>
          <w:szCs w:val="24"/>
          <w:vertAlign w:val="superscript"/>
          <w:lang w:val="ro-RO"/>
        </w:rPr>
        <w:t>(bază)</w:t>
      </w:r>
    </w:p>
    <w:p w14:paraId="589B1D6B"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unde:</w:t>
      </w:r>
    </w:p>
    <w:p w14:paraId="51C46544" w14:textId="77777777" w:rsidR="001B1A48" w:rsidRPr="00C26A9B" w:rsidRDefault="001B1A48" w:rsidP="001B1A48">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w:t>
      </w:r>
      <w:r w:rsidRPr="00C26A9B">
        <w:rPr>
          <w:rFonts w:ascii="Times New Roman" w:hAnsi="Times New Roman" w:cs="Times New Roman"/>
          <w:sz w:val="24"/>
          <w:szCs w:val="24"/>
          <w:vertAlign w:val="superscript"/>
          <w:lang w:val="ro-RO"/>
        </w:rPr>
        <w:t>(tranșă)</w:t>
      </w:r>
      <w:r w:rsidRPr="00C26A9B">
        <w:rPr>
          <w:rFonts w:ascii="Times New Roman" w:hAnsi="Times New Roman" w:cs="Times New Roman"/>
          <w:sz w:val="24"/>
          <w:szCs w:val="24"/>
          <w:lang w:val="ro-RO"/>
        </w:rPr>
        <w:t> este egal cu 1 atunci când cele două nume ale sensibilităților „k” și „l” sunt incluse în aceeași bandă și corespund aceleiași tranșe din securitizare (o suprapunere de peste 80 % în termeni noționali), iar în caz contrar cu 40 %;</w:t>
      </w:r>
    </w:p>
    <w:p w14:paraId="766DC1E8" w14:textId="77777777" w:rsidR="001B1A48" w:rsidRPr="00C26A9B" w:rsidRDefault="001B1A48" w:rsidP="001B1A48">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w:t>
      </w:r>
      <w:r w:rsidRPr="00C26A9B">
        <w:rPr>
          <w:rFonts w:ascii="Times New Roman" w:hAnsi="Times New Roman" w:cs="Times New Roman"/>
          <w:sz w:val="24"/>
          <w:szCs w:val="24"/>
          <w:vertAlign w:val="superscript"/>
          <w:lang w:val="ro-RO"/>
        </w:rPr>
        <w:t>(scadență)</w:t>
      </w:r>
      <w:r w:rsidRPr="00C26A9B">
        <w:rPr>
          <w:rFonts w:ascii="Times New Roman" w:hAnsi="Times New Roman" w:cs="Times New Roman"/>
          <w:sz w:val="24"/>
          <w:szCs w:val="24"/>
          <w:lang w:val="ro-RO"/>
        </w:rPr>
        <w:t> este egal cu 1 atunci când cele două puncte ale sensibilităților „k” și „l” sunt identice, iar în caz contrar cu 80 %; și</w:t>
      </w:r>
    </w:p>
    <w:p w14:paraId="0EF0B8B7" w14:textId="6BB4EA2C" w:rsidR="001B1A48" w:rsidRPr="00C26A9B" w:rsidRDefault="001B1A48" w:rsidP="001B1A48">
      <w:pPr>
        <w:rPr>
          <w:rFonts w:ascii="Times New Roman" w:hAnsi="Times New Roman" w:cs="Times New Roman"/>
          <w:sz w:val="24"/>
          <w:szCs w:val="24"/>
          <w:lang w:val="ro-RO"/>
        </w:rPr>
      </w:pP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w:t>
      </w:r>
      <w:r w:rsidRPr="00C26A9B">
        <w:rPr>
          <w:rFonts w:ascii="Times New Roman" w:hAnsi="Times New Roman" w:cs="Times New Roman"/>
          <w:sz w:val="24"/>
          <w:szCs w:val="24"/>
          <w:vertAlign w:val="superscript"/>
          <w:lang w:val="ro-RO"/>
        </w:rPr>
        <w:t>(bază)</w:t>
      </w:r>
      <w:r w:rsidRPr="00C26A9B">
        <w:rPr>
          <w:rFonts w:ascii="Times New Roman" w:hAnsi="Times New Roman" w:cs="Times New Roman"/>
          <w:sz w:val="24"/>
          <w:szCs w:val="24"/>
          <w:lang w:val="ro-RO"/>
        </w:rPr>
        <w:t> este egal cu 1 atunci când cele două sensibilități corespund acelorași curbe, iar în caz contrar cu 99,90 %.</w:t>
      </w:r>
    </w:p>
    <w:p w14:paraId="607A5A87"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295.   Parametrii de corelație menționați la pct.294 nu se aplică benzii 25 din tabelul 7 dinpct.291. Cerința de fonduri proprii pentru formula de agregare a riscului delta din cadrul benzii 25 este egală cu suma valorilor absolute ale sensibilităților nete ponderate atribuite benzii respective:</w:t>
      </w:r>
    </w:p>
    <w:p w14:paraId="03A6733C" w14:textId="6E336E7A"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noProof/>
          <w:color w:val="000000" w:themeColor="text1"/>
          <w:lang w:val="ro-RO"/>
        </w:rPr>
        <w:lastRenderedPageBreak/>
        <w:drawing>
          <wp:inline distT="0" distB="0" distL="0" distR="0" wp14:anchorId="462224AC" wp14:editId="26E5B91F">
            <wp:extent cx="2317750" cy="584200"/>
            <wp:effectExtent l="0" t="0" r="6350" b="6350"/>
            <wp:docPr id="162" name="Picture 16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image"/>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17750" cy="584200"/>
                    </a:xfrm>
                    <a:prstGeom prst="rect">
                      <a:avLst/>
                    </a:prstGeom>
                    <a:noFill/>
                    <a:ln>
                      <a:noFill/>
                    </a:ln>
                  </pic:spPr>
                </pic:pic>
              </a:graphicData>
            </a:graphic>
          </wp:inline>
        </w:drawing>
      </w:r>
    </w:p>
    <w:p w14:paraId="29063A5E" w14:textId="269BD8BE"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i/>
          <w:iCs/>
          <w:sz w:val="24"/>
          <w:szCs w:val="24"/>
          <w:lang w:val="ro-RO"/>
        </w:rPr>
        <w:t xml:space="preserve">Paragraful 11. </w:t>
      </w:r>
      <w:r w:rsidRPr="00C26A9B">
        <w:rPr>
          <w:rFonts w:ascii="Times New Roman" w:hAnsi="Times New Roman" w:cs="Times New Roman"/>
          <w:b/>
          <w:bCs/>
          <w:sz w:val="24"/>
          <w:szCs w:val="24"/>
          <w:lang w:val="ro-RO"/>
        </w:rPr>
        <w:t>Corelațiile între benzi pentru securitizările riscului de marjă de credit neincluse în ACTP</w:t>
      </w:r>
    </w:p>
    <w:p w14:paraId="793B0B92" w14:textId="44554DCC" w:rsidR="00B9278E" w:rsidRPr="00C26A9B" w:rsidRDefault="001B1A48"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296.   Parametrul de corelație </w:t>
      </w:r>
      <w:proofErr w:type="spellStart"/>
      <w:r w:rsidRPr="00C26A9B">
        <w:rPr>
          <w:rFonts w:ascii="Times New Roman" w:hAnsi="Times New Roman" w:cs="Times New Roman"/>
          <w:sz w:val="24"/>
          <w:szCs w:val="24"/>
          <w:lang w:val="ro-RO"/>
        </w:rPr>
        <w:t>γ</w:t>
      </w:r>
      <w:r w:rsidRPr="00C26A9B">
        <w:rPr>
          <w:rFonts w:ascii="Times New Roman" w:hAnsi="Times New Roman" w:cs="Times New Roman"/>
          <w:sz w:val="24"/>
          <w:szCs w:val="24"/>
          <w:vertAlign w:val="subscript"/>
          <w:lang w:val="ro-RO"/>
        </w:rPr>
        <w:t>bc</w:t>
      </w:r>
      <w:proofErr w:type="spellEnd"/>
      <w:r w:rsidRPr="00C26A9B">
        <w:rPr>
          <w:rFonts w:ascii="Times New Roman" w:hAnsi="Times New Roman" w:cs="Times New Roman"/>
          <w:sz w:val="24"/>
          <w:szCs w:val="24"/>
          <w:lang w:val="ro-RO"/>
        </w:rPr>
        <w:t> se aplică agregării sensibilităților între diferite benzi și este stabilit la 0 %.</w:t>
      </w:r>
    </w:p>
    <w:p w14:paraId="2CAB7E54" w14:textId="4A1A35E8" w:rsidR="001B1A48" w:rsidRPr="00C26A9B" w:rsidRDefault="001B1A48" w:rsidP="00B9278E">
      <w:pPr>
        <w:rPr>
          <w:rFonts w:ascii="Times New Roman" w:hAnsi="Times New Roman" w:cs="Times New Roman"/>
          <w:sz w:val="24"/>
          <w:szCs w:val="24"/>
          <w:lang w:val="ro-RO"/>
        </w:rPr>
      </w:pPr>
      <w:r w:rsidRPr="00C26A9B">
        <w:rPr>
          <w:rFonts w:ascii="Times New Roman" w:hAnsi="Times New Roman" w:cs="Times New Roman"/>
          <w:sz w:val="24"/>
          <w:szCs w:val="24"/>
          <w:lang w:val="ro-RO"/>
        </w:rPr>
        <w:t>297.   Cerința de fonduri proprii pentru banda 25 se adaugă la capitalul global calculat la nivelul clasei de risc, nefiind recunoscute efectele diversificării sau ale acoperirii cu nicio altă bandă.</w:t>
      </w:r>
    </w:p>
    <w:p w14:paraId="0F73B9DA" w14:textId="11995CB2" w:rsidR="001B1A48" w:rsidRPr="00C26A9B" w:rsidRDefault="001B1A48" w:rsidP="001B1A48">
      <w:pPr>
        <w:rPr>
          <w:rFonts w:ascii="Times New Roman" w:hAnsi="Times New Roman" w:cs="Times New Roman"/>
          <w:b/>
          <w:bCs/>
          <w:sz w:val="24"/>
          <w:szCs w:val="24"/>
          <w:lang w:val="ro-RO"/>
        </w:rPr>
      </w:pPr>
      <w:r w:rsidRPr="00C26A9B">
        <w:rPr>
          <w:rFonts w:ascii="Times New Roman" w:hAnsi="Times New Roman" w:cs="Times New Roman"/>
          <w:i/>
          <w:iCs/>
          <w:sz w:val="24"/>
          <w:szCs w:val="24"/>
          <w:lang w:val="ro-RO"/>
        </w:rPr>
        <w:t xml:space="preserve">Paragraful 12. </w:t>
      </w:r>
      <w:r w:rsidRPr="00C26A9B">
        <w:rPr>
          <w:rFonts w:ascii="Times New Roman" w:hAnsi="Times New Roman" w:cs="Times New Roman"/>
          <w:b/>
          <w:bCs/>
          <w:sz w:val="24"/>
          <w:szCs w:val="24"/>
          <w:lang w:val="ro-RO"/>
        </w:rPr>
        <w:t>Ponderile de risc pentru riscul de devalorizare a titlurilor de capital</w:t>
      </w:r>
    </w:p>
    <w:p w14:paraId="6DABBFB7" w14:textId="6B1F3AC9"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298.   Ponderile de risc pentru sensibilitățile la factori de risc de devalorizare a titlurilor de capital și de risc de rată </w:t>
      </w:r>
      <w:proofErr w:type="spellStart"/>
      <w:r w:rsidRPr="00C26A9B">
        <w:rPr>
          <w:rFonts w:ascii="Times New Roman" w:hAnsi="Times New Roman" w:cs="Times New Roman"/>
          <w:sz w:val="24"/>
          <w:szCs w:val="24"/>
          <w:lang w:val="ro-RO"/>
        </w:rPr>
        <w:t>repo</w:t>
      </w:r>
      <w:proofErr w:type="spellEnd"/>
      <w:r w:rsidRPr="00C26A9B">
        <w:rPr>
          <w:rFonts w:ascii="Times New Roman" w:hAnsi="Times New Roman" w:cs="Times New Roman"/>
          <w:sz w:val="24"/>
          <w:szCs w:val="24"/>
          <w:lang w:val="ro-RO"/>
        </w:rPr>
        <w:t xml:space="preserve"> a titlurilor de capital se specifică pentru fiecare bandă din tabelul 8</w:t>
      </w:r>
      <w:r w:rsidR="00EC4769" w:rsidRPr="00EC4769">
        <w:t xml:space="preserve"> </w:t>
      </w:r>
      <w:r w:rsidR="00EC4769" w:rsidRPr="00EC4769">
        <w:rPr>
          <w:rFonts w:ascii="Times New Roman" w:hAnsi="Times New Roman" w:cs="Times New Roman"/>
          <w:sz w:val="24"/>
          <w:szCs w:val="24"/>
          <w:lang w:val="ro-RO"/>
        </w:rPr>
        <w:t>și în conformitate cu anexa nr.</w:t>
      </w:r>
      <w:r w:rsidR="003050FA">
        <w:rPr>
          <w:rFonts w:ascii="Times New Roman" w:hAnsi="Times New Roman" w:cs="Times New Roman"/>
          <w:sz w:val="24"/>
          <w:szCs w:val="24"/>
          <w:lang w:val="ro-RO"/>
        </w:rPr>
        <w:t>3</w:t>
      </w:r>
      <w:r w:rsidRPr="00C26A9B">
        <w:rPr>
          <w:rFonts w:ascii="Times New Roman" w:hAnsi="Times New Roman" w:cs="Times New Roman"/>
          <w:sz w:val="24"/>
          <w:szCs w:val="24"/>
          <w:lang w:val="ro-RO"/>
        </w:rPr>
        <w:t>:</w:t>
      </w:r>
    </w:p>
    <w:p w14:paraId="70E6D214" w14:textId="77777777" w:rsidR="001B1A48" w:rsidRPr="00C26A9B" w:rsidRDefault="001B1A48" w:rsidP="001B1A48">
      <w:pPr>
        <w:rPr>
          <w:rFonts w:ascii="Times New Roman" w:hAnsi="Times New Roman" w:cs="Times New Roman"/>
          <w:b/>
          <w:bCs/>
          <w:sz w:val="24"/>
          <w:szCs w:val="24"/>
          <w:lang w:val="ro-RO"/>
        </w:rPr>
      </w:pPr>
      <w:r w:rsidRPr="00C26A9B">
        <w:rPr>
          <w:rFonts w:ascii="Times New Roman" w:hAnsi="Times New Roman" w:cs="Times New Roman"/>
          <w:b/>
          <w:bCs/>
          <w:i/>
          <w:iCs/>
          <w:sz w:val="24"/>
          <w:szCs w:val="24"/>
          <w:lang w:val="ro-RO"/>
        </w:rPr>
        <w:t>Tabelul 8</w:t>
      </w:r>
    </w:p>
    <w:tbl>
      <w:tblPr>
        <w:tblW w:w="9064"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85"/>
        <w:gridCol w:w="1418"/>
        <w:gridCol w:w="1842"/>
        <w:gridCol w:w="2835"/>
        <w:gridCol w:w="992"/>
        <w:gridCol w:w="992"/>
      </w:tblGrid>
      <w:tr w:rsidR="001B1A48" w:rsidRPr="00C26A9B" w14:paraId="08FB820F" w14:textId="77777777" w:rsidTr="001B1A48">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1075FB" w14:textId="77777777" w:rsidR="001B1A48" w:rsidRPr="00C26A9B" w:rsidRDefault="001B1A48" w:rsidP="001B1A48">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Numărul benzii</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8B1ADD" w14:textId="77777777" w:rsidR="001B1A48" w:rsidRPr="00C26A9B" w:rsidRDefault="001B1A48" w:rsidP="001B1A48">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Capitalizarea de piață</w:t>
            </w:r>
          </w:p>
        </w:tc>
        <w:tc>
          <w:tcPr>
            <w:tcW w:w="18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9273B8" w14:textId="77777777" w:rsidR="001B1A48" w:rsidRPr="00C26A9B" w:rsidRDefault="001B1A48" w:rsidP="001B1A48">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Economia</w:t>
            </w:r>
          </w:p>
        </w:tc>
        <w:tc>
          <w:tcPr>
            <w:tcW w:w="2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6E0EBF" w14:textId="77777777" w:rsidR="001B1A48" w:rsidRPr="00C26A9B" w:rsidRDefault="001B1A48" w:rsidP="001B1A48">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Sectorul</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387202" w14:textId="77777777" w:rsidR="001B1A48" w:rsidRPr="00C26A9B" w:rsidRDefault="001B1A48" w:rsidP="001B1A48">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Ponderea de risc pentru prețul spot al titlurilor de capital</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7A682F" w14:textId="77777777" w:rsidR="001B1A48" w:rsidRPr="00C26A9B" w:rsidRDefault="001B1A48" w:rsidP="001B1A48">
            <w:pPr>
              <w:rPr>
                <w:rFonts w:ascii="Times New Roman" w:hAnsi="Times New Roman" w:cs="Times New Roman"/>
                <w:b/>
                <w:bCs/>
                <w:sz w:val="24"/>
                <w:szCs w:val="24"/>
                <w:lang w:val="ro-RO"/>
              </w:rPr>
            </w:pPr>
            <w:r w:rsidRPr="00C26A9B">
              <w:rPr>
                <w:rFonts w:ascii="Times New Roman" w:hAnsi="Times New Roman" w:cs="Times New Roman"/>
                <w:b/>
                <w:bCs/>
                <w:sz w:val="24"/>
                <w:szCs w:val="24"/>
                <w:lang w:val="ro-RO"/>
              </w:rPr>
              <w:t xml:space="preserve">Ponderea de risc pentru rata </w:t>
            </w:r>
            <w:proofErr w:type="spellStart"/>
            <w:r w:rsidRPr="00C26A9B">
              <w:rPr>
                <w:rFonts w:ascii="Times New Roman" w:hAnsi="Times New Roman" w:cs="Times New Roman"/>
                <w:b/>
                <w:bCs/>
                <w:sz w:val="24"/>
                <w:szCs w:val="24"/>
                <w:lang w:val="ro-RO"/>
              </w:rPr>
              <w:t>repo</w:t>
            </w:r>
            <w:proofErr w:type="spellEnd"/>
            <w:r w:rsidRPr="00C26A9B">
              <w:rPr>
                <w:rFonts w:ascii="Times New Roman" w:hAnsi="Times New Roman" w:cs="Times New Roman"/>
                <w:b/>
                <w:bCs/>
                <w:sz w:val="24"/>
                <w:szCs w:val="24"/>
                <w:lang w:val="ro-RO"/>
              </w:rPr>
              <w:t xml:space="preserve"> a titlurilor de capital</w:t>
            </w:r>
          </w:p>
        </w:tc>
      </w:tr>
      <w:tr w:rsidR="001B1A48" w:rsidRPr="00C26A9B" w14:paraId="78F0F253" w14:textId="77777777" w:rsidTr="001B1A48">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B928A8"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1</w:t>
            </w:r>
          </w:p>
        </w:tc>
        <w:tc>
          <w:tcPr>
            <w:tcW w:w="1418"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597924"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Ridicată</w:t>
            </w:r>
          </w:p>
        </w:tc>
        <w:tc>
          <w:tcPr>
            <w:tcW w:w="1842"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893830"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Economie de piață emergentă</w:t>
            </w:r>
          </w:p>
        </w:tc>
        <w:tc>
          <w:tcPr>
            <w:tcW w:w="2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3D68AB"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Bunuri și servicii pentru consumatori, transport și depozitare, servicii administrative și activități de sprijin, asistență medicală, utilități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E56328"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55 %</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19B2E6"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0,55 %</w:t>
            </w:r>
          </w:p>
        </w:tc>
      </w:tr>
      <w:tr w:rsidR="001B1A48" w:rsidRPr="00C26A9B" w14:paraId="50C67EE7" w14:textId="77777777" w:rsidTr="001B1A48">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8D5303"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2</w:t>
            </w:r>
          </w:p>
        </w:tc>
        <w:tc>
          <w:tcPr>
            <w:tcW w:w="1418" w:type="dxa"/>
            <w:vMerge/>
            <w:tcBorders>
              <w:top w:val="outset" w:sz="6" w:space="0" w:color="auto"/>
              <w:left w:val="outset" w:sz="6" w:space="0" w:color="auto"/>
              <w:bottom w:val="outset" w:sz="6" w:space="0" w:color="auto"/>
              <w:right w:val="outset" w:sz="6" w:space="0" w:color="auto"/>
            </w:tcBorders>
            <w:vAlign w:val="center"/>
            <w:hideMark/>
          </w:tcPr>
          <w:p w14:paraId="1EB6737B" w14:textId="77777777" w:rsidR="001B1A48" w:rsidRPr="00C26A9B" w:rsidRDefault="001B1A48" w:rsidP="001B1A48">
            <w:pPr>
              <w:rPr>
                <w:rFonts w:ascii="Times New Roman" w:hAnsi="Times New Roman" w:cs="Times New Roman"/>
                <w:sz w:val="24"/>
                <w:szCs w:val="24"/>
                <w:lang w:val="ro-RO"/>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14:paraId="587903E8" w14:textId="77777777" w:rsidR="001B1A48" w:rsidRPr="00C26A9B" w:rsidRDefault="001B1A48" w:rsidP="001B1A48">
            <w:pPr>
              <w:rPr>
                <w:rFonts w:ascii="Times New Roman" w:hAnsi="Times New Roman" w:cs="Times New Roman"/>
                <w:sz w:val="24"/>
                <w:szCs w:val="24"/>
                <w:lang w:val="ro-RO"/>
              </w:rPr>
            </w:pPr>
          </w:p>
        </w:tc>
        <w:tc>
          <w:tcPr>
            <w:tcW w:w="2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97CD66"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Telecomunicații, produse industriale</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AF8E09"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60 %</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E8A9CA"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0,60 %</w:t>
            </w:r>
          </w:p>
        </w:tc>
      </w:tr>
      <w:tr w:rsidR="001B1A48" w:rsidRPr="00C26A9B" w14:paraId="2C79F7BF" w14:textId="77777777" w:rsidTr="001B1A48">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FF398F"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3</w:t>
            </w:r>
          </w:p>
        </w:tc>
        <w:tc>
          <w:tcPr>
            <w:tcW w:w="1418" w:type="dxa"/>
            <w:vMerge/>
            <w:tcBorders>
              <w:top w:val="outset" w:sz="6" w:space="0" w:color="auto"/>
              <w:left w:val="outset" w:sz="6" w:space="0" w:color="auto"/>
              <w:bottom w:val="outset" w:sz="6" w:space="0" w:color="auto"/>
              <w:right w:val="outset" w:sz="6" w:space="0" w:color="auto"/>
            </w:tcBorders>
            <w:vAlign w:val="center"/>
            <w:hideMark/>
          </w:tcPr>
          <w:p w14:paraId="7F501463" w14:textId="77777777" w:rsidR="001B1A48" w:rsidRPr="00C26A9B" w:rsidRDefault="001B1A48" w:rsidP="001B1A48">
            <w:pPr>
              <w:rPr>
                <w:rFonts w:ascii="Times New Roman" w:hAnsi="Times New Roman" w:cs="Times New Roman"/>
                <w:sz w:val="24"/>
                <w:szCs w:val="24"/>
                <w:lang w:val="ro-RO"/>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14:paraId="3E2B1A51" w14:textId="77777777" w:rsidR="001B1A48" w:rsidRPr="00C26A9B" w:rsidRDefault="001B1A48" w:rsidP="001B1A48">
            <w:pPr>
              <w:rPr>
                <w:rFonts w:ascii="Times New Roman" w:hAnsi="Times New Roman" w:cs="Times New Roman"/>
                <w:sz w:val="24"/>
                <w:szCs w:val="24"/>
                <w:lang w:val="ro-RO"/>
              </w:rPr>
            </w:pPr>
          </w:p>
        </w:tc>
        <w:tc>
          <w:tcPr>
            <w:tcW w:w="2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9D751D"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Materiale de bază, energie, agricultură, industria prelucrătoare, industria extractivă</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A28B4A"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45 %</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C660BC"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0,45 %</w:t>
            </w:r>
          </w:p>
        </w:tc>
      </w:tr>
      <w:tr w:rsidR="001B1A48" w:rsidRPr="00C26A9B" w14:paraId="31D89835" w14:textId="77777777" w:rsidTr="001B1A48">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221FFE"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4</w:t>
            </w:r>
          </w:p>
        </w:tc>
        <w:tc>
          <w:tcPr>
            <w:tcW w:w="1418" w:type="dxa"/>
            <w:vMerge/>
            <w:tcBorders>
              <w:top w:val="outset" w:sz="6" w:space="0" w:color="auto"/>
              <w:left w:val="outset" w:sz="6" w:space="0" w:color="auto"/>
              <w:bottom w:val="outset" w:sz="6" w:space="0" w:color="auto"/>
              <w:right w:val="outset" w:sz="6" w:space="0" w:color="auto"/>
            </w:tcBorders>
            <w:vAlign w:val="center"/>
            <w:hideMark/>
          </w:tcPr>
          <w:p w14:paraId="5E3249A9" w14:textId="77777777" w:rsidR="001B1A48" w:rsidRPr="00C26A9B" w:rsidRDefault="001B1A48" w:rsidP="001B1A48">
            <w:pPr>
              <w:rPr>
                <w:rFonts w:ascii="Times New Roman" w:hAnsi="Times New Roman" w:cs="Times New Roman"/>
                <w:sz w:val="24"/>
                <w:szCs w:val="24"/>
                <w:lang w:val="ro-RO"/>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14:paraId="4A40B1EF" w14:textId="77777777" w:rsidR="001B1A48" w:rsidRPr="00C26A9B" w:rsidRDefault="001B1A48" w:rsidP="001B1A48">
            <w:pPr>
              <w:rPr>
                <w:rFonts w:ascii="Times New Roman" w:hAnsi="Times New Roman" w:cs="Times New Roman"/>
                <w:sz w:val="24"/>
                <w:szCs w:val="24"/>
                <w:lang w:val="ro-RO"/>
              </w:rPr>
            </w:pPr>
          </w:p>
        </w:tc>
        <w:tc>
          <w:tcPr>
            <w:tcW w:w="2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F6F9FD"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Societăți financiare, inclusiv societăți financiare susținute de guvern, activități imobiliare, tehnologie</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E1226B"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55 %</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F255F5"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0,55 %</w:t>
            </w:r>
          </w:p>
        </w:tc>
      </w:tr>
      <w:tr w:rsidR="001B1A48" w:rsidRPr="00C26A9B" w14:paraId="5D8E151D" w14:textId="77777777" w:rsidTr="001B1A48">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53FB00"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5</w:t>
            </w:r>
          </w:p>
        </w:tc>
        <w:tc>
          <w:tcPr>
            <w:tcW w:w="1418" w:type="dxa"/>
            <w:vMerge/>
            <w:tcBorders>
              <w:top w:val="outset" w:sz="6" w:space="0" w:color="auto"/>
              <w:left w:val="outset" w:sz="6" w:space="0" w:color="auto"/>
              <w:bottom w:val="outset" w:sz="6" w:space="0" w:color="auto"/>
              <w:right w:val="outset" w:sz="6" w:space="0" w:color="auto"/>
            </w:tcBorders>
            <w:vAlign w:val="center"/>
            <w:hideMark/>
          </w:tcPr>
          <w:p w14:paraId="79D10F5B" w14:textId="77777777" w:rsidR="001B1A48" w:rsidRPr="00C26A9B" w:rsidRDefault="001B1A48" w:rsidP="001B1A48">
            <w:pPr>
              <w:rPr>
                <w:rFonts w:ascii="Times New Roman" w:hAnsi="Times New Roman" w:cs="Times New Roman"/>
                <w:sz w:val="24"/>
                <w:szCs w:val="24"/>
                <w:lang w:val="ro-RO"/>
              </w:rPr>
            </w:pPr>
          </w:p>
        </w:tc>
        <w:tc>
          <w:tcPr>
            <w:tcW w:w="1842"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470686"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Economie avansată</w:t>
            </w:r>
          </w:p>
        </w:tc>
        <w:tc>
          <w:tcPr>
            <w:tcW w:w="2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D23540"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Bunuri și servicii pentru consumatori, transport și depozitare, servicii administrative și activități de </w:t>
            </w:r>
            <w:r w:rsidRPr="00C26A9B">
              <w:rPr>
                <w:rFonts w:ascii="Times New Roman" w:hAnsi="Times New Roman" w:cs="Times New Roman"/>
                <w:sz w:val="24"/>
                <w:szCs w:val="24"/>
                <w:lang w:val="ro-RO"/>
              </w:rPr>
              <w:lastRenderedPageBreak/>
              <w:t>sprijin, asistență medicală, utilități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518151"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lastRenderedPageBreak/>
              <w:t>30 %</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DAA239"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0,30 %</w:t>
            </w:r>
          </w:p>
        </w:tc>
      </w:tr>
      <w:tr w:rsidR="001B1A48" w:rsidRPr="00C26A9B" w14:paraId="06D67329" w14:textId="77777777" w:rsidTr="001B1A48">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CCD10B"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6</w:t>
            </w:r>
          </w:p>
        </w:tc>
        <w:tc>
          <w:tcPr>
            <w:tcW w:w="1418" w:type="dxa"/>
            <w:vMerge/>
            <w:tcBorders>
              <w:top w:val="outset" w:sz="6" w:space="0" w:color="auto"/>
              <w:left w:val="outset" w:sz="6" w:space="0" w:color="auto"/>
              <w:bottom w:val="outset" w:sz="6" w:space="0" w:color="auto"/>
              <w:right w:val="outset" w:sz="6" w:space="0" w:color="auto"/>
            </w:tcBorders>
            <w:vAlign w:val="center"/>
            <w:hideMark/>
          </w:tcPr>
          <w:p w14:paraId="027C638C" w14:textId="77777777" w:rsidR="001B1A48" w:rsidRPr="00C26A9B" w:rsidRDefault="001B1A48" w:rsidP="001B1A48">
            <w:pPr>
              <w:rPr>
                <w:rFonts w:ascii="Times New Roman" w:hAnsi="Times New Roman" w:cs="Times New Roman"/>
                <w:sz w:val="24"/>
                <w:szCs w:val="24"/>
                <w:lang w:val="ro-RO"/>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14:paraId="7903AF73" w14:textId="77777777" w:rsidR="001B1A48" w:rsidRPr="00C26A9B" w:rsidRDefault="001B1A48" w:rsidP="001B1A48">
            <w:pPr>
              <w:rPr>
                <w:rFonts w:ascii="Times New Roman" w:hAnsi="Times New Roman" w:cs="Times New Roman"/>
                <w:sz w:val="24"/>
                <w:szCs w:val="24"/>
                <w:lang w:val="ro-RO"/>
              </w:rPr>
            </w:pPr>
          </w:p>
        </w:tc>
        <w:tc>
          <w:tcPr>
            <w:tcW w:w="2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6EB476"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Telecomunicații, produse industriale</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0DC9A4"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35 %</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FD69F4"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0,35 %</w:t>
            </w:r>
          </w:p>
        </w:tc>
      </w:tr>
      <w:tr w:rsidR="001B1A48" w:rsidRPr="00C26A9B" w14:paraId="41CF49CD" w14:textId="77777777" w:rsidTr="001B1A48">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0CA43D"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7</w:t>
            </w:r>
          </w:p>
        </w:tc>
        <w:tc>
          <w:tcPr>
            <w:tcW w:w="1418" w:type="dxa"/>
            <w:vMerge/>
            <w:tcBorders>
              <w:top w:val="outset" w:sz="6" w:space="0" w:color="auto"/>
              <w:left w:val="outset" w:sz="6" w:space="0" w:color="auto"/>
              <w:bottom w:val="outset" w:sz="6" w:space="0" w:color="auto"/>
              <w:right w:val="outset" w:sz="6" w:space="0" w:color="auto"/>
            </w:tcBorders>
            <w:vAlign w:val="center"/>
            <w:hideMark/>
          </w:tcPr>
          <w:p w14:paraId="3C05A8C7" w14:textId="77777777" w:rsidR="001B1A48" w:rsidRPr="00C26A9B" w:rsidRDefault="001B1A48" w:rsidP="001B1A48">
            <w:pPr>
              <w:rPr>
                <w:rFonts w:ascii="Times New Roman" w:hAnsi="Times New Roman" w:cs="Times New Roman"/>
                <w:sz w:val="24"/>
                <w:szCs w:val="24"/>
                <w:lang w:val="ro-RO"/>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14:paraId="4028B46F" w14:textId="77777777" w:rsidR="001B1A48" w:rsidRPr="00C26A9B" w:rsidRDefault="001B1A48" w:rsidP="001B1A48">
            <w:pPr>
              <w:rPr>
                <w:rFonts w:ascii="Times New Roman" w:hAnsi="Times New Roman" w:cs="Times New Roman"/>
                <w:sz w:val="24"/>
                <w:szCs w:val="24"/>
                <w:lang w:val="ro-RO"/>
              </w:rPr>
            </w:pPr>
          </w:p>
        </w:tc>
        <w:tc>
          <w:tcPr>
            <w:tcW w:w="2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9ECD81"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Materiale de bază, energie, agricultură, industria prelucrătoare, industria extractivă</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3EBD23"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40 %</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EA9128"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0,40 %</w:t>
            </w:r>
          </w:p>
        </w:tc>
      </w:tr>
      <w:tr w:rsidR="001B1A48" w:rsidRPr="00C26A9B" w14:paraId="5C0E6A04" w14:textId="77777777" w:rsidTr="001B1A48">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4F2600"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8</w:t>
            </w:r>
          </w:p>
        </w:tc>
        <w:tc>
          <w:tcPr>
            <w:tcW w:w="1418" w:type="dxa"/>
            <w:vMerge/>
            <w:tcBorders>
              <w:top w:val="outset" w:sz="6" w:space="0" w:color="auto"/>
              <w:left w:val="outset" w:sz="6" w:space="0" w:color="auto"/>
              <w:bottom w:val="outset" w:sz="6" w:space="0" w:color="auto"/>
              <w:right w:val="outset" w:sz="6" w:space="0" w:color="auto"/>
            </w:tcBorders>
            <w:vAlign w:val="center"/>
            <w:hideMark/>
          </w:tcPr>
          <w:p w14:paraId="1F719BDA" w14:textId="77777777" w:rsidR="001B1A48" w:rsidRPr="00C26A9B" w:rsidRDefault="001B1A48" w:rsidP="001B1A48">
            <w:pPr>
              <w:rPr>
                <w:rFonts w:ascii="Times New Roman" w:hAnsi="Times New Roman" w:cs="Times New Roman"/>
                <w:sz w:val="24"/>
                <w:szCs w:val="24"/>
                <w:lang w:val="ro-RO"/>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14:paraId="6474C978" w14:textId="77777777" w:rsidR="001B1A48" w:rsidRPr="00C26A9B" w:rsidRDefault="001B1A48" w:rsidP="001B1A48">
            <w:pPr>
              <w:rPr>
                <w:rFonts w:ascii="Times New Roman" w:hAnsi="Times New Roman" w:cs="Times New Roman"/>
                <w:sz w:val="24"/>
                <w:szCs w:val="24"/>
                <w:lang w:val="ro-RO"/>
              </w:rPr>
            </w:pPr>
          </w:p>
        </w:tc>
        <w:tc>
          <w:tcPr>
            <w:tcW w:w="2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61E12C"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Societăți financiare, inclusiv societăți financiare susținute de guvern, activități imobiliare, tehnologie</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085A5C"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50 %</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7F3B2F"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0,50 %</w:t>
            </w:r>
          </w:p>
        </w:tc>
      </w:tr>
      <w:tr w:rsidR="001B1A48" w:rsidRPr="00C26A9B" w14:paraId="3A885A6E" w14:textId="77777777" w:rsidTr="001B1A48">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0603AE"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9</w:t>
            </w:r>
          </w:p>
        </w:tc>
        <w:tc>
          <w:tcPr>
            <w:tcW w:w="1418"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C7F716"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Scăzută</w:t>
            </w:r>
          </w:p>
        </w:tc>
        <w:tc>
          <w:tcPr>
            <w:tcW w:w="18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5EEEC5"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Economie de piață emergentă</w:t>
            </w:r>
          </w:p>
        </w:tc>
        <w:tc>
          <w:tcPr>
            <w:tcW w:w="2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FAC513"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Toate sectoarele descrise la benzile 1, 2, 3 și 4</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6724A6"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70 %</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F5B75E"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0,70 %</w:t>
            </w:r>
          </w:p>
        </w:tc>
      </w:tr>
      <w:tr w:rsidR="001B1A48" w:rsidRPr="00C26A9B" w14:paraId="771CBF27" w14:textId="77777777" w:rsidTr="001B1A48">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01FA2A"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10</w:t>
            </w:r>
          </w:p>
        </w:tc>
        <w:tc>
          <w:tcPr>
            <w:tcW w:w="1418" w:type="dxa"/>
            <w:vMerge/>
            <w:tcBorders>
              <w:top w:val="outset" w:sz="6" w:space="0" w:color="auto"/>
              <w:left w:val="outset" w:sz="6" w:space="0" w:color="auto"/>
              <w:bottom w:val="outset" w:sz="6" w:space="0" w:color="auto"/>
              <w:right w:val="outset" w:sz="6" w:space="0" w:color="auto"/>
            </w:tcBorders>
            <w:vAlign w:val="center"/>
            <w:hideMark/>
          </w:tcPr>
          <w:p w14:paraId="12E6ECAF" w14:textId="77777777" w:rsidR="001B1A48" w:rsidRPr="00C26A9B" w:rsidRDefault="001B1A48" w:rsidP="001B1A48">
            <w:pPr>
              <w:rPr>
                <w:rFonts w:ascii="Times New Roman" w:hAnsi="Times New Roman" w:cs="Times New Roman"/>
                <w:sz w:val="24"/>
                <w:szCs w:val="24"/>
                <w:lang w:val="ro-RO"/>
              </w:rPr>
            </w:pPr>
          </w:p>
        </w:tc>
        <w:tc>
          <w:tcPr>
            <w:tcW w:w="18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12BDBB"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Economie avansată</w:t>
            </w:r>
          </w:p>
        </w:tc>
        <w:tc>
          <w:tcPr>
            <w:tcW w:w="2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0585B4"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Toate sectoarele descrise la benzile 5, 6, 7 și 8</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E70AE8"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50 %</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9A28D2"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0,50 %</w:t>
            </w:r>
          </w:p>
        </w:tc>
      </w:tr>
      <w:tr w:rsidR="001B1A48" w:rsidRPr="00C26A9B" w14:paraId="2D806B63" w14:textId="77777777" w:rsidTr="001B1A48">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DE2438"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11</w:t>
            </w:r>
          </w:p>
        </w:tc>
        <w:tc>
          <w:tcPr>
            <w:tcW w:w="6095"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20454B"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Alt sector</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0F3CFD"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70 %</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A3A1BB"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0,70 %</w:t>
            </w:r>
          </w:p>
        </w:tc>
      </w:tr>
      <w:tr w:rsidR="001B1A48" w:rsidRPr="00C26A9B" w14:paraId="490DE5CE" w14:textId="77777777" w:rsidTr="001B1A48">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A47089"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12</w:t>
            </w:r>
          </w:p>
        </w:tc>
        <w:tc>
          <w:tcPr>
            <w:tcW w:w="6095"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7DFAC1"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Indici pentru capitalizare de piață ridicată, într-o economie avansată</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09A6CA"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15 %</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5063B6"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0,15 %</w:t>
            </w:r>
          </w:p>
        </w:tc>
      </w:tr>
      <w:tr w:rsidR="001B1A48" w:rsidRPr="00C26A9B" w14:paraId="21BDAF33" w14:textId="77777777" w:rsidTr="001B1A48">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35DB84"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13</w:t>
            </w:r>
          </w:p>
        </w:tc>
        <w:tc>
          <w:tcPr>
            <w:tcW w:w="6095"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331BF6"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Alți indici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C4915F"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25 %</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09BDA8" w14:textId="77777777" w:rsidR="001B1A48" w:rsidRPr="00C26A9B" w:rsidRDefault="001B1A48"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0,25 %</w:t>
            </w:r>
          </w:p>
        </w:tc>
      </w:tr>
    </w:tbl>
    <w:p w14:paraId="6B8E3F3A" w14:textId="77777777" w:rsidR="003309B9" w:rsidRPr="00C26A9B" w:rsidRDefault="003309B9" w:rsidP="001B1A48">
      <w:pPr>
        <w:rPr>
          <w:rFonts w:ascii="Times New Roman" w:hAnsi="Times New Roman" w:cs="Times New Roman"/>
          <w:sz w:val="24"/>
          <w:szCs w:val="24"/>
          <w:lang w:val="ro-RO"/>
        </w:rPr>
      </w:pPr>
    </w:p>
    <w:p w14:paraId="2CF9FE00" w14:textId="75FE8E61" w:rsidR="001B1A48" w:rsidRPr="00C26A9B" w:rsidRDefault="003309B9"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299.   Standardele tehnice de reglementare menționate la </w:t>
      </w:r>
      <w:r w:rsidR="001F12E8">
        <w:rPr>
          <w:rFonts w:ascii="Times New Roman" w:hAnsi="Times New Roman" w:cs="Times New Roman"/>
          <w:sz w:val="24"/>
          <w:szCs w:val="24"/>
          <w:lang w:val="ro-RO"/>
        </w:rPr>
        <w:t>pct.361</w:t>
      </w:r>
      <w:r w:rsidRPr="00C26A9B">
        <w:rPr>
          <w:rFonts w:ascii="Times New Roman" w:hAnsi="Times New Roman" w:cs="Times New Roman"/>
          <w:sz w:val="24"/>
          <w:szCs w:val="24"/>
          <w:lang w:val="ro-RO"/>
        </w:rPr>
        <w:t xml:space="preserve"> precizează ce reprezintă o capitalizare de piață scăzută și ce reprezintă o capitalizare de piață ridicată în sensul prezentului paragraf.</w:t>
      </w:r>
    </w:p>
    <w:p w14:paraId="3EDB1A8F" w14:textId="7D82F1D2" w:rsidR="003309B9" w:rsidRPr="00C26A9B" w:rsidRDefault="003309B9"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300.  Atunci când atribuie o expunere la risc unui sector, băncile se bazează pe o clasificare care este utilizată în mod curent pe piață pentru gruparea emitenților în funcție de sector. Băncile încadrează fiecare emitent într-una din benzile sectoriale din tabelul 8 și încadrează toți emitenții dintr-un anumit </w:t>
      </w:r>
      <w:proofErr w:type="spellStart"/>
      <w:r w:rsidRPr="00C26A9B">
        <w:rPr>
          <w:rFonts w:ascii="Times New Roman" w:hAnsi="Times New Roman" w:cs="Times New Roman"/>
          <w:sz w:val="24"/>
          <w:szCs w:val="24"/>
          <w:lang w:val="ro-RO"/>
        </w:rPr>
        <w:t>subsector</w:t>
      </w:r>
      <w:proofErr w:type="spellEnd"/>
      <w:r w:rsidRPr="00C26A9B">
        <w:rPr>
          <w:rFonts w:ascii="Times New Roman" w:hAnsi="Times New Roman" w:cs="Times New Roman"/>
          <w:sz w:val="24"/>
          <w:szCs w:val="24"/>
          <w:lang w:val="ro-RO"/>
        </w:rPr>
        <w:t xml:space="preserve"> în același sector. Expunerile la risc provenind de la orice emitent pe care o bancă nu le poate atribui unui anumit sector în acest mod sunt încadrate în banda 11 din tabelul 8. Emitenții de titluri de capital multinaționali sau multisectoriali sunt încadrați într-o anumită bandă pe baza celei mai semnificative regiuni sau a celui mai semnificativ sector în care își desfășoară activitatea emitentul de titluri de capital.</w:t>
      </w:r>
    </w:p>
    <w:p w14:paraId="4DB2E52C" w14:textId="71B8E8DC" w:rsidR="001B1A48" w:rsidRPr="00C26A9B" w:rsidRDefault="004F167E" w:rsidP="001B1A48">
      <w:pPr>
        <w:rPr>
          <w:rFonts w:ascii="Times New Roman" w:hAnsi="Times New Roman" w:cs="Times New Roman"/>
          <w:b/>
          <w:bCs/>
          <w:sz w:val="24"/>
          <w:szCs w:val="24"/>
          <w:lang w:val="ro-RO"/>
        </w:rPr>
      </w:pPr>
      <w:bookmarkStart w:id="41" w:name="_Hlk195098101"/>
      <w:r w:rsidRPr="00C26A9B">
        <w:rPr>
          <w:rFonts w:ascii="Times New Roman" w:hAnsi="Times New Roman" w:cs="Times New Roman"/>
          <w:i/>
          <w:iCs/>
          <w:sz w:val="24"/>
          <w:szCs w:val="24"/>
          <w:lang w:val="ro-RO"/>
        </w:rPr>
        <w:t xml:space="preserve">Paragraful 13. </w:t>
      </w:r>
      <w:r w:rsidRPr="00C26A9B">
        <w:rPr>
          <w:rFonts w:ascii="Times New Roman" w:hAnsi="Times New Roman" w:cs="Times New Roman"/>
          <w:b/>
          <w:bCs/>
          <w:sz w:val="24"/>
          <w:szCs w:val="24"/>
          <w:lang w:val="ro-RO"/>
        </w:rPr>
        <w:t>Corelațiile din cadrul unei benzi pentru riscul de devalorizare a titlurilor de capital</w:t>
      </w:r>
      <w:bookmarkEnd w:id="41"/>
    </w:p>
    <w:p w14:paraId="6E704567" w14:textId="7043FE50" w:rsidR="004F167E" w:rsidRPr="00C26A9B" w:rsidRDefault="004F167E" w:rsidP="001B1A48">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301.  Parametrul de corelație a riscului delta </w:t>
      </w: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κl</w:t>
      </w:r>
      <w:proofErr w:type="spellEnd"/>
      <w:r w:rsidRPr="00C26A9B">
        <w:rPr>
          <w:rFonts w:ascii="Times New Roman" w:hAnsi="Times New Roman" w:cs="Times New Roman"/>
          <w:sz w:val="24"/>
          <w:szCs w:val="24"/>
          <w:lang w:val="ro-RO"/>
        </w:rPr>
        <w:t xml:space="preserve"> între două sensibilități </w:t>
      </w:r>
      <w:proofErr w:type="spellStart"/>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k</w:t>
      </w:r>
      <w:proofErr w:type="spellEnd"/>
      <w:r w:rsidRPr="00C26A9B">
        <w:rPr>
          <w:rFonts w:ascii="Times New Roman" w:hAnsi="Times New Roman" w:cs="Times New Roman"/>
          <w:sz w:val="24"/>
          <w:szCs w:val="24"/>
          <w:lang w:val="ro-RO"/>
        </w:rPr>
        <w:t xml:space="preserve"> și </w:t>
      </w:r>
      <w:proofErr w:type="spellStart"/>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l</w:t>
      </w:r>
      <w:proofErr w:type="spellEnd"/>
      <w:r w:rsidRPr="00C26A9B">
        <w:rPr>
          <w:rFonts w:ascii="Times New Roman" w:hAnsi="Times New Roman" w:cs="Times New Roman"/>
          <w:sz w:val="24"/>
          <w:szCs w:val="24"/>
          <w:lang w:val="ro-RO"/>
        </w:rPr>
        <w:t xml:space="preserve"> din aceeași bandă este de 99,90 % atunci când una dintre acestea este o sensibilitate la un preț spot al titlurilor de capital, iar cealaltă este o sensibilitate la o rată </w:t>
      </w:r>
      <w:proofErr w:type="spellStart"/>
      <w:r w:rsidRPr="00C26A9B">
        <w:rPr>
          <w:rFonts w:ascii="Times New Roman" w:hAnsi="Times New Roman" w:cs="Times New Roman"/>
          <w:sz w:val="24"/>
          <w:szCs w:val="24"/>
          <w:lang w:val="ro-RO"/>
        </w:rPr>
        <w:t>repo</w:t>
      </w:r>
      <w:proofErr w:type="spellEnd"/>
      <w:r w:rsidRPr="00C26A9B">
        <w:rPr>
          <w:rFonts w:ascii="Times New Roman" w:hAnsi="Times New Roman" w:cs="Times New Roman"/>
          <w:sz w:val="24"/>
          <w:szCs w:val="24"/>
          <w:lang w:val="ro-RO"/>
        </w:rPr>
        <w:t xml:space="preserve"> a titlurilor de capital, iar ambele sensibilități corespund aceluiași nume de emitent de titluri de capital.</w:t>
      </w:r>
    </w:p>
    <w:p w14:paraId="5298B7B5" w14:textId="45008367" w:rsidR="004F167E" w:rsidRPr="004F167E" w:rsidRDefault="004F167E" w:rsidP="004F167E">
      <w:pPr>
        <w:rPr>
          <w:rFonts w:ascii="Times New Roman" w:hAnsi="Times New Roman" w:cs="Times New Roman"/>
          <w:sz w:val="24"/>
          <w:szCs w:val="24"/>
          <w:lang w:val="ro-RO"/>
        </w:rPr>
      </w:pPr>
      <w:r w:rsidRPr="004F167E">
        <w:rPr>
          <w:rFonts w:ascii="Times New Roman" w:hAnsi="Times New Roman" w:cs="Times New Roman"/>
          <w:sz w:val="24"/>
          <w:szCs w:val="24"/>
          <w:lang w:val="ro-RO"/>
        </w:rPr>
        <w:t>302. În alte cazuri decât cele menționate la</w:t>
      </w:r>
      <w:r w:rsidR="00893F72">
        <w:rPr>
          <w:rFonts w:ascii="Times New Roman" w:hAnsi="Times New Roman" w:cs="Times New Roman"/>
          <w:sz w:val="24"/>
          <w:szCs w:val="24"/>
          <w:lang w:val="ro-RO"/>
        </w:rPr>
        <w:t xml:space="preserve"> </w:t>
      </w:r>
      <w:r w:rsidRPr="004F167E">
        <w:rPr>
          <w:rFonts w:ascii="Times New Roman" w:hAnsi="Times New Roman" w:cs="Times New Roman"/>
          <w:sz w:val="24"/>
          <w:szCs w:val="24"/>
          <w:lang w:val="ro-RO"/>
        </w:rPr>
        <w:t xml:space="preserve">pct.301, parametrul de corelație </w:t>
      </w:r>
      <w:proofErr w:type="spellStart"/>
      <w:r w:rsidRPr="004F167E">
        <w:rPr>
          <w:rFonts w:ascii="Times New Roman" w:hAnsi="Times New Roman" w:cs="Times New Roman"/>
          <w:sz w:val="24"/>
          <w:szCs w:val="24"/>
          <w:lang w:val="ro-RO"/>
        </w:rPr>
        <w:t>ρ</w:t>
      </w:r>
      <w:r w:rsidRPr="004F167E">
        <w:rPr>
          <w:rFonts w:ascii="Times New Roman" w:hAnsi="Times New Roman" w:cs="Times New Roman"/>
          <w:sz w:val="24"/>
          <w:szCs w:val="24"/>
          <w:vertAlign w:val="subscript"/>
          <w:lang w:val="ro-RO"/>
        </w:rPr>
        <w:t>kl</w:t>
      </w:r>
      <w:proofErr w:type="spellEnd"/>
      <w:r w:rsidRPr="004F167E">
        <w:rPr>
          <w:rFonts w:ascii="Times New Roman" w:hAnsi="Times New Roman" w:cs="Times New Roman"/>
          <w:sz w:val="24"/>
          <w:szCs w:val="24"/>
          <w:lang w:val="ro-RO"/>
        </w:rPr>
        <w:t xml:space="preserve"> între două sensibilități </w:t>
      </w:r>
      <w:proofErr w:type="spellStart"/>
      <w:r w:rsidRPr="004F167E">
        <w:rPr>
          <w:rFonts w:ascii="Times New Roman" w:hAnsi="Times New Roman" w:cs="Times New Roman"/>
          <w:sz w:val="24"/>
          <w:szCs w:val="24"/>
          <w:lang w:val="ro-RO"/>
        </w:rPr>
        <w:t>WS</w:t>
      </w:r>
      <w:r w:rsidRPr="004F167E">
        <w:rPr>
          <w:rFonts w:ascii="Times New Roman" w:hAnsi="Times New Roman" w:cs="Times New Roman"/>
          <w:sz w:val="24"/>
          <w:szCs w:val="24"/>
          <w:vertAlign w:val="subscript"/>
          <w:lang w:val="ro-RO"/>
        </w:rPr>
        <w:t>k</w:t>
      </w:r>
      <w:proofErr w:type="spellEnd"/>
      <w:r w:rsidRPr="004F167E">
        <w:rPr>
          <w:rFonts w:ascii="Times New Roman" w:hAnsi="Times New Roman" w:cs="Times New Roman"/>
          <w:sz w:val="24"/>
          <w:szCs w:val="24"/>
          <w:lang w:val="ro-RO"/>
        </w:rPr>
        <w:t xml:space="preserve"> și </w:t>
      </w:r>
      <w:proofErr w:type="spellStart"/>
      <w:r w:rsidRPr="004F167E">
        <w:rPr>
          <w:rFonts w:ascii="Times New Roman" w:hAnsi="Times New Roman" w:cs="Times New Roman"/>
          <w:sz w:val="24"/>
          <w:szCs w:val="24"/>
          <w:lang w:val="ro-RO"/>
        </w:rPr>
        <w:t>WS</w:t>
      </w:r>
      <w:r w:rsidRPr="004F167E">
        <w:rPr>
          <w:rFonts w:ascii="Times New Roman" w:hAnsi="Times New Roman" w:cs="Times New Roman"/>
          <w:sz w:val="24"/>
          <w:szCs w:val="24"/>
          <w:vertAlign w:val="subscript"/>
          <w:lang w:val="ro-RO"/>
        </w:rPr>
        <w:t>l</w:t>
      </w:r>
      <w:proofErr w:type="spellEnd"/>
      <w:r w:rsidRPr="004F167E">
        <w:rPr>
          <w:rFonts w:ascii="Times New Roman" w:hAnsi="Times New Roman" w:cs="Times New Roman"/>
          <w:sz w:val="24"/>
          <w:szCs w:val="24"/>
          <w:lang w:val="ro-RO"/>
        </w:rPr>
        <w:t> la prețul </w:t>
      </w:r>
      <w:r w:rsidRPr="004F167E">
        <w:rPr>
          <w:rFonts w:ascii="Times New Roman" w:hAnsi="Times New Roman" w:cs="Times New Roman"/>
          <w:i/>
          <w:iCs/>
          <w:sz w:val="24"/>
          <w:szCs w:val="24"/>
          <w:lang w:val="ro-RO"/>
        </w:rPr>
        <w:t>spot</w:t>
      </w:r>
      <w:r w:rsidRPr="004F167E">
        <w:rPr>
          <w:rFonts w:ascii="Times New Roman" w:hAnsi="Times New Roman" w:cs="Times New Roman"/>
          <w:sz w:val="24"/>
          <w:szCs w:val="24"/>
          <w:lang w:val="ro-RO"/>
        </w:rPr>
        <w:t> al titlurilor de capital din aceeași bandă se stabilește după cum urmează:</w:t>
      </w:r>
    </w:p>
    <w:p w14:paraId="47CC6D40" w14:textId="77777777" w:rsidR="004F167E" w:rsidRPr="004F167E" w:rsidRDefault="004F167E" w:rsidP="004F167E">
      <w:pPr>
        <w:rPr>
          <w:rFonts w:ascii="Times New Roman" w:hAnsi="Times New Roman" w:cs="Times New Roman"/>
          <w:sz w:val="24"/>
          <w:szCs w:val="24"/>
          <w:lang w:val="ro-RO"/>
        </w:rPr>
      </w:pPr>
      <w:r w:rsidRPr="004F167E">
        <w:rPr>
          <w:rFonts w:ascii="Times New Roman" w:hAnsi="Times New Roman" w:cs="Times New Roman"/>
          <w:sz w:val="24"/>
          <w:szCs w:val="24"/>
          <w:lang w:val="ro-RO"/>
        </w:rPr>
        <w:t>302.1. 15 % între două sensibilități din aceeași bandă care se încadrează în categoria capitalizării de piață ridicate și a economiilor de piață emergente (banda 1, 2, 3 sau 4);</w:t>
      </w:r>
    </w:p>
    <w:p w14:paraId="08880991" w14:textId="77777777" w:rsidR="004F167E" w:rsidRPr="004F167E" w:rsidRDefault="004F167E" w:rsidP="004F167E">
      <w:pPr>
        <w:rPr>
          <w:rFonts w:ascii="Times New Roman" w:hAnsi="Times New Roman" w:cs="Times New Roman"/>
          <w:sz w:val="24"/>
          <w:szCs w:val="24"/>
          <w:lang w:val="ro-RO"/>
        </w:rPr>
      </w:pPr>
      <w:r w:rsidRPr="004F167E">
        <w:rPr>
          <w:rFonts w:ascii="Times New Roman" w:hAnsi="Times New Roman" w:cs="Times New Roman"/>
          <w:sz w:val="24"/>
          <w:szCs w:val="24"/>
          <w:lang w:val="ro-RO"/>
        </w:rPr>
        <w:lastRenderedPageBreak/>
        <w:t>302.2. 25 % între două sensibilități din aceeași bandă care se încadrează în categoria capitalizării de piață ridicate și a economiilor avansate (banda 5, 6, 7 sau 8);</w:t>
      </w:r>
    </w:p>
    <w:p w14:paraId="65E3C6EE" w14:textId="77777777" w:rsidR="004F167E" w:rsidRPr="004F167E" w:rsidRDefault="004F167E" w:rsidP="004F167E">
      <w:pPr>
        <w:rPr>
          <w:rFonts w:ascii="Times New Roman" w:hAnsi="Times New Roman" w:cs="Times New Roman"/>
          <w:sz w:val="24"/>
          <w:szCs w:val="24"/>
          <w:lang w:val="ro-RO"/>
        </w:rPr>
      </w:pPr>
      <w:r w:rsidRPr="004F167E">
        <w:rPr>
          <w:rFonts w:ascii="Times New Roman" w:hAnsi="Times New Roman" w:cs="Times New Roman"/>
          <w:sz w:val="24"/>
          <w:szCs w:val="24"/>
          <w:lang w:val="ro-RO"/>
        </w:rPr>
        <w:t>302.3. 7,5 % între două sensibilități din aceeași bandă care se încadrează în categoria capitalizării de piață scăzute și a economiilor de piață emergente (banda 9);</w:t>
      </w:r>
    </w:p>
    <w:p w14:paraId="6E538EB2" w14:textId="77777777" w:rsidR="004F167E" w:rsidRPr="004F167E" w:rsidRDefault="004F167E" w:rsidP="004F167E">
      <w:pPr>
        <w:rPr>
          <w:rFonts w:ascii="Times New Roman" w:hAnsi="Times New Roman" w:cs="Times New Roman"/>
          <w:sz w:val="24"/>
          <w:szCs w:val="24"/>
          <w:lang w:val="ro-RO"/>
        </w:rPr>
      </w:pPr>
      <w:r w:rsidRPr="004F167E">
        <w:rPr>
          <w:rFonts w:ascii="Times New Roman" w:hAnsi="Times New Roman" w:cs="Times New Roman"/>
          <w:sz w:val="24"/>
          <w:szCs w:val="24"/>
          <w:lang w:val="ro-RO"/>
        </w:rPr>
        <w:t>302.4. 12,5 % între două sensibilități din aceeași bandă care se încadrează în categoria capitalizării de piață scăzute și a economiilor avansate (banda 10);</w:t>
      </w:r>
    </w:p>
    <w:p w14:paraId="755A8FA0" w14:textId="169634A2" w:rsidR="004F167E" w:rsidRPr="00C26A9B" w:rsidRDefault="004F167E" w:rsidP="004F167E">
      <w:pPr>
        <w:rPr>
          <w:rFonts w:ascii="Times New Roman" w:hAnsi="Times New Roman" w:cs="Times New Roman"/>
          <w:sz w:val="24"/>
          <w:szCs w:val="24"/>
          <w:lang w:val="ro-RO"/>
        </w:rPr>
      </w:pPr>
      <w:r w:rsidRPr="00C26A9B">
        <w:rPr>
          <w:rFonts w:ascii="Times New Roman" w:hAnsi="Times New Roman" w:cs="Times New Roman"/>
          <w:sz w:val="24"/>
          <w:szCs w:val="24"/>
          <w:lang w:val="ro-RO"/>
        </w:rPr>
        <w:t>302.5. 80 % între două sensibilități din aceeași bandă care se încadrează în oricare dintre cele două benzi de indici (banda numărul 12 sau 13).</w:t>
      </w:r>
    </w:p>
    <w:p w14:paraId="20BB5746" w14:textId="5223E386" w:rsidR="004F167E" w:rsidRPr="00C26A9B" w:rsidRDefault="004F167E" w:rsidP="004F167E">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303.   Parametrul de corelație </w:t>
      </w: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între două sensibilități </w:t>
      </w:r>
      <w:r w:rsidRPr="00C26A9B">
        <w:rPr>
          <w:rFonts w:ascii="Times New Roman" w:hAnsi="Times New Roman" w:cs="Times New Roman"/>
          <w:i/>
          <w:iCs/>
          <w:sz w:val="24"/>
          <w:szCs w:val="24"/>
          <w:lang w:val="ro-RO"/>
        </w:rPr>
        <w:t>W</w:t>
      </w:r>
      <w:r w:rsidRPr="00C26A9B">
        <w:rPr>
          <w:rFonts w:ascii="Times New Roman" w:hAnsi="Times New Roman" w:cs="Times New Roman"/>
          <w:sz w:val="24"/>
          <w:szCs w:val="24"/>
          <w:lang w:val="ro-RO"/>
        </w:rPr>
        <w:t>S</w:t>
      </w:r>
      <w:r w:rsidRPr="00C26A9B">
        <w:rPr>
          <w:rFonts w:ascii="Times New Roman" w:hAnsi="Times New Roman" w:cs="Times New Roman"/>
          <w:i/>
          <w:iCs/>
          <w:sz w:val="24"/>
          <w:szCs w:val="24"/>
          <w:lang w:val="ro-RO"/>
        </w:rPr>
        <w:t> </w:t>
      </w:r>
      <w:r w:rsidRPr="00C26A9B">
        <w:rPr>
          <w:rFonts w:ascii="Times New Roman" w:hAnsi="Times New Roman" w:cs="Times New Roman"/>
          <w:i/>
          <w:iCs/>
          <w:sz w:val="24"/>
          <w:szCs w:val="24"/>
          <w:vertAlign w:val="subscript"/>
          <w:lang w:val="ro-RO"/>
        </w:rPr>
        <w:t>k</w:t>
      </w:r>
      <w:r w:rsidRPr="00C26A9B">
        <w:rPr>
          <w:rFonts w:ascii="Times New Roman" w:hAnsi="Times New Roman" w:cs="Times New Roman"/>
          <w:i/>
          <w:iCs/>
          <w:sz w:val="24"/>
          <w:szCs w:val="24"/>
          <w:lang w:val="ro-RO"/>
        </w:rPr>
        <w:t> </w:t>
      </w:r>
      <w:r w:rsidRPr="00C26A9B">
        <w:rPr>
          <w:rFonts w:ascii="Times New Roman" w:hAnsi="Times New Roman" w:cs="Times New Roman"/>
          <w:sz w:val="24"/>
          <w:szCs w:val="24"/>
          <w:lang w:val="ro-RO"/>
        </w:rPr>
        <w:t>și </w:t>
      </w:r>
      <w:r w:rsidRPr="00C26A9B">
        <w:rPr>
          <w:rFonts w:ascii="Times New Roman" w:hAnsi="Times New Roman" w:cs="Times New Roman"/>
          <w:i/>
          <w:iCs/>
          <w:sz w:val="24"/>
          <w:szCs w:val="24"/>
          <w:lang w:val="ro-RO"/>
        </w:rPr>
        <w:t>W</w:t>
      </w:r>
      <w:r w:rsidRPr="00C26A9B">
        <w:rPr>
          <w:rFonts w:ascii="Times New Roman" w:hAnsi="Times New Roman" w:cs="Times New Roman"/>
          <w:sz w:val="24"/>
          <w:szCs w:val="24"/>
          <w:lang w:val="ro-RO"/>
        </w:rPr>
        <w:t>S</w:t>
      </w:r>
      <w:r w:rsidRPr="00C26A9B">
        <w:rPr>
          <w:rFonts w:ascii="Times New Roman" w:hAnsi="Times New Roman" w:cs="Times New Roman"/>
          <w:i/>
          <w:iCs/>
          <w:sz w:val="24"/>
          <w:szCs w:val="24"/>
          <w:lang w:val="ro-RO"/>
        </w:rPr>
        <w:t> </w:t>
      </w:r>
      <w:r w:rsidRPr="00C26A9B">
        <w:rPr>
          <w:rFonts w:ascii="Times New Roman" w:hAnsi="Times New Roman" w:cs="Times New Roman"/>
          <w:i/>
          <w:iCs/>
          <w:sz w:val="24"/>
          <w:szCs w:val="24"/>
          <w:vertAlign w:val="subscript"/>
          <w:lang w:val="ro-RO"/>
        </w:rPr>
        <w:t>l</w:t>
      </w:r>
      <w:r w:rsidRPr="00C26A9B">
        <w:rPr>
          <w:rFonts w:ascii="Times New Roman" w:hAnsi="Times New Roman" w:cs="Times New Roman"/>
          <w:i/>
          <w:iCs/>
          <w:sz w:val="24"/>
          <w:szCs w:val="24"/>
          <w:lang w:val="ro-RO"/>
        </w:rPr>
        <w:t> </w:t>
      </w:r>
      <w:r w:rsidRPr="00C26A9B">
        <w:rPr>
          <w:rFonts w:ascii="Times New Roman" w:hAnsi="Times New Roman" w:cs="Times New Roman"/>
          <w:sz w:val="24"/>
          <w:szCs w:val="24"/>
          <w:lang w:val="ro-RO"/>
        </w:rPr>
        <w:t xml:space="preserve">la ratele </w:t>
      </w:r>
      <w:proofErr w:type="spellStart"/>
      <w:r w:rsidRPr="00C26A9B">
        <w:rPr>
          <w:rFonts w:ascii="Times New Roman" w:hAnsi="Times New Roman" w:cs="Times New Roman"/>
          <w:sz w:val="24"/>
          <w:szCs w:val="24"/>
          <w:lang w:val="ro-RO"/>
        </w:rPr>
        <w:t>repo</w:t>
      </w:r>
      <w:proofErr w:type="spellEnd"/>
      <w:r w:rsidRPr="00C26A9B">
        <w:rPr>
          <w:rFonts w:ascii="Times New Roman" w:hAnsi="Times New Roman" w:cs="Times New Roman"/>
          <w:sz w:val="24"/>
          <w:szCs w:val="24"/>
          <w:lang w:val="ro-RO"/>
        </w:rPr>
        <w:t xml:space="preserve"> ale titlurilor de capital din aceeași bandă se stabilește în conformitate cu subpct.302.1-302.4.</w:t>
      </w:r>
    </w:p>
    <w:p w14:paraId="06AF8742" w14:textId="564A94E9" w:rsidR="004F167E" w:rsidRDefault="004F167E" w:rsidP="004F167E">
      <w:pPr>
        <w:rPr>
          <w:rFonts w:ascii="Times New Roman" w:hAnsi="Times New Roman" w:cs="Times New Roman"/>
          <w:sz w:val="24"/>
          <w:szCs w:val="24"/>
          <w:lang w:val="ro-RO"/>
        </w:rPr>
      </w:pPr>
      <w:r w:rsidRPr="00C26A9B">
        <w:rPr>
          <w:rFonts w:ascii="Times New Roman" w:hAnsi="Times New Roman" w:cs="Times New Roman"/>
          <w:sz w:val="24"/>
          <w:szCs w:val="24"/>
          <w:lang w:val="ro-RO"/>
        </w:rPr>
        <w:t xml:space="preserve">304.   Între două sensibilități </w:t>
      </w:r>
      <w:proofErr w:type="spellStart"/>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k</w:t>
      </w:r>
      <w:proofErr w:type="spellEnd"/>
      <w:r w:rsidRPr="00C26A9B">
        <w:rPr>
          <w:rFonts w:ascii="Times New Roman" w:hAnsi="Times New Roman" w:cs="Times New Roman"/>
          <w:sz w:val="24"/>
          <w:szCs w:val="24"/>
          <w:lang w:val="ro-RO"/>
        </w:rPr>
        <w:t xml:space="preserve"> și </w:t>
      </w:r>
      <w:proofErr w:type="spellStart"/>
      <w:r w:rsidRPr="00C26A9B">
        <w:rPr>
          <w:rFonts w:ascii="Times New Roman" w:hAnsi="Times New Roman" w:cs="Times New Roman"/>
          <w:sz w:val="24"/>
          <w:szCs w:val="24"/>
          <w:lang w:val="ro-RO"/>
        </w:rPr>
        <w:t>WS</w:t>
      </w:r>
      <w:r w:rsidRPr="00C26A9B">
        <w:rPr>
          <w:rFonts w:ascii="Times New Roman" w:hAnsi="Times New Roman" w:cs="Times New Roman"/>
          <w:sz w:val="24"/>
          <w:szCs w:val="24"/>
          <w:vertAlign w:val="subscript"/>
          <w:lang w:val="ro-RO"/>
        </w:rPr>
        <w:t>l</w:t>
      </w:r>
      <w:proofErr w:type="spellEnd"/>
      <w:r w:rsidRPr="00C26A9B">
        <w:rPr>
          <w:rFonts w:ascii="Times New Roman" w:hAnsi="Times New Roman" w:cs="Times New Roman"/>
          <w:sz w:val="24"/>
          <w:szCs w:val="24"/>
          <w:lang w:val="ro-RO"/>
        </w:rPr>
        <w:t xml:space="preserve"> din aceeași bandă, atunci când una dintre acestea este o sensibilitate la un preț spot al titlurilor de capital, iar cealaltă este o sensibilitate la o rată </w:t>
      </w:r>
      <w:proofErr w:type="spellStart"/>
      <w:r w:rsidRPr="00C26A9B">
        <w:rPr>
          <w:rFonts w:ascii="Times New Roman" w:hAnsi="Times New Roman" w:cs="Times New Roman"/>
          <w:sz w:val="24"/>
          <w:szCs w:val="24"/>
          <w:lang w:val="ro-RO"/>
        </w:rPr>
        <w:t>repo</w:t>
      </w:r>
      <w:proofErr w:type="spellEnd"/>
      <w:r w:rsidRPr="00C26A9B">
        <w:rPr>
          <w:rFonts w:ascii="Times New Roman" w:hAnsi="Times New Roman" w:cs="Times New Roman"/>
          <w:sz w:val="24"/>
          <w:szCs w:val="24"/>
          <w:lang w:val="ro-RO"/>
        </w:rPr>
        <w:t xml:space="preserve"> a titlurilor de capital, iar fiecare corespunde unui alt nume de emitent de titluri de capital, parametrul de corelație </w:t>
      </w:r>
      <w:proofErr w:type="spellStart"/>
      <w:r w:rsidRPr="00C26A9B">
        <w:rPr>
          <w:rFonts w:ascii="Times New Roman" w:hAnsi="Times New Roman" w:cs="Times New Roman"/>
          <w:sz w:val="24"/>
          <w:szCs w:val="24"/>
          <w:lang w:val="ro-RO"/>
        </w:rPr>
        <w:t>ρ</w:t>
      </w:r>
      <w:r w:rsidRPr="00C26A9B">
        <w:rPr>
          <w:rFonts w:ascii="Times New Roman" w:hAnsi="Times New Roman" w:cs="Times New Roman"/>
          <w:sz w:val="24"/>
          <w:szCs w:val="24"/>
          <w:vertAlign w:val="subscript"/>
          <w:lang w:val="ro-RO"/>
        </w:rPr>
        <w:t>kl</w:t>
      </w:r>
      <w:proofErr w:type="spellEnd"/>
      <w:r w:rsidRPr="00C26A9B">
        <w:rPr>
          <w:rFonts w:ascii="Times New Roman" w:hAnsi="Times New Roman" w:cs="Times New Roman"/>
          <w:sz w:val="24"/>
          <w:szCs w:val="24"/>
          <w:lang w:val="ro-RO"/>
        </w:rPr>
        <w:t> este stabilit la parametrii de corelație specificați la pct.302, înmulțită cu 99,90 %.</w:t>
      </w:r>
    </w:p>
    <w:p w14:paraId="0AFCE4DF"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305.  Parametrii de corelație specificați la pct.301-304 nu se aplică benzii 11. Cerința de capital pentru formula de agregare a riscului delta din cadrul benzii 11 este egală cu suma valorilor absolute ale sensibilităților nete ponderate atribuite benzii respective:</w:t>
      </w:r>
    </w:p>
    <w:p w14:paraId="15481FE9" w14:textId="1477A120" w:rsidR="00C26A9B" w:rsidRPr="00C26A9B" w:rsidRDefault="00C26A9B" w:rsidP="004F167E">
      <w:pPr>
        <w:rPr>
          <w:rFonts w:ascii="Times New Roman" w:hAnsi="Times New Roman" w:cs="Times New Roman"/>
          <w:sz w:val="24"/>
          <w:szCs w:val="24"/>
        </w:rPr>
      </w:pPr>
      <w:r w:rsidRPr="00941C8E">
        <w:rPr>
          <w:rFonts w:ascii="Times New Roman" w:hAnsi="Times New Roman" w:cs="Times New Roman"/>
          <w:noProof/>
          <w:color w:val="000000" w:themeColor="text1"/>
        </w:rPr>
        <w:drawing>
          <wp:inline distT="0" distB="0" distL="0" distR="0" wp14:anchorId="4C6CF4E8" wp14:editId="0AFC4F89">
            <wp:extent cx="2317750" cy="584200"/>
            <wp:effectExtent l="0" t="0" r="6350" b="6350"/>
            <wp:docPr id="163" name="Picture 16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image"/>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17750" cy="584200"/>
                    </a:xfrm>
                    <a:prstGeom prst="rect">
                      <a:avLst/>
                    </a:prstGeom>
                    <a:noFill/>
                    <a:ln>
                      <a:noFill/>
                    </a:ln>
                  </pic:spPr>
                </pic:pic>
              </a:graphicData>
            </a:graphic>
          </wp:inline>
        </w:drawing>
      </w:r>
    </w:p>
    <w:p w14:paraId="44EDBA4A" w14:textId="31AA5B1A" w:rsidR="001B1A48" w:rsidRDefault="00C26A9B" w:rsidP="001B1A48">
      <w:pPr>
        <w:rPr>
          <w:rFonts w:ascii="Times New Roman" w:hAnsi="Times New Roman" w:cs="Times New Roman"/>
          <w:b/>
          <w:bCs/>
          <w:sz w:val="24"/>
          <w:szCs w:val="24"/>
        </w:rPr>
      </w:pPr>
      <w:bookmarkStart w:id="42" w:name="_Hlk199515434"/>
      <w:bookmarkStart w:id="43" w:name="_Hlk195098127"/>
      <w:r w:rsidRPr="00C26A9B">
        <w:rPr>
          <w:rFonts w:ascii="Times New Roman" w:hAnsi="Times New Roman" w:cs="Times New Roman"/>
          <w:i/>
          <w:iCs/>
          <w:sz w:val="24"/>
          <w:szCs w:val="24"/>
        </w:rPr>
        <w:t xml:space="preserve">Paragraful </w:t>
      </w:r>
      <w:bookmarkEnd w:id="42"/>
      <w:r w:rsidRPr="00C26A9B">
        <w:rPr>
          <w:rFonts w:ascii="Times New Roman" w:hAnsi="Times New Roman" w:cs="Times New Roman"/>
          <w:i/>
          <w:iCs/>
          <w:sz w:val="24"/>
          <w:szCs w:val="24"/>
        </w:rPr>
        <w:t xml:space="preserve">14. </w:t>
      </w:r>
      <w:r w:rsidRPr="00C26A9B">
        <w:rPr>
          <w:rFonts w:ascii="Times New Roman" w:hAnsi="Times New Roman" w:cs="Times New Roman"/>
          <w:b/>
          <w:bCs/>
          <w:sz w:val="24"/>
          <w:szCs w:val="24"/>
        </w:rPr>
        <w:t>Corelațiile între benzi pentru riscul de devalorizare a titlurilor de capital</w:t>
      </w:r>
      <w:bookmarkEnd w:id="43"/>
    </w:p>
    <w:p w14:paraId="556BFA74"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 xml:space="preserve">306. Parametrul de corelație </w:t>
      </w:r>
      <w:proofErr w:type="spellStart"/>
      <w:r w:rsidRPr="00C26A9B">
        <w:rPr>
          <w:rFonts w:ascii="Times New Roman" w:hAnsi="Times New Roman" w:cs="Times New Roman"/>
          <w:sz w:val="24"/>
          <w:szCs w:val="24"/>
        </w:rPr>
        <w:t>γ</w:t>
      </w:r>
      <w:r w:rsidRPr="00C26A9B">
        <w:rPr>
          <w:rFonts w:ascii="Times New Roman" w:hAnsi="Times New Roman" w:cs="Times New Roman"/>
          <w:sz w:val="24"/>
          <w:szCs w:val="24"/>
          <w:vertAlign w:val="subscript"/>
        </w:rPr>
        <w:t>bc</w:t>
      </w:r>
      <w:proofErr w:type="spellEnd"/>
      <w:r w:rsidRPr="00C26A9B">
        <w:rPr>
          <w:rFonts w:ascii="Times New Roman" w:hAnsi="Times New Roman" w:cs="Times New Roman"/>
          <w:sz w:val="24"/>
          <w:szCs w:val="24"/>
        </w:rPr>
        <w:t> se aplică agregării sensibilităților între benzi diferite.</w:t>
      </w:r>
    </w:p>
    <w:p w14:paraId="2A7417CC"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307. Acesta se stabilește în raport cu benzile din tabelul 8 de la paragraful 12, după cum urmează:</w:t>
      </w:r>
    </w:p>
    <w:p w14:paraId="42C1B6EA"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307.1. 15 % atunci când cele două benzi au numere de la 1 la 10;</w:t>
      </w:r>
    </w:p>
    <w:p w14:paraId="1C9305A1"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307.2. 0 % atunci când una dintre cele două benzi are numărul 11;</w:t>
      </w:r>
    </w:p>
    <w:p w14:paraId="4F4BA410"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307.3. 75 % atunci când cele două benzi au numerele 12 și 13;</w:t>
      </w:r>
    </w:p>
    <w:p w14:paraId="172F7CEF" w14:textId="23E1EAF5" w:rsid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307.4. 45 % în toate celelalte cazuri.</w:t>
      </w:r>
    </w:p>
    <w:p w14:paraId="2EF88C03" w14:textId="10200A5D" w:rsidR="00C26A9B" w:rsidRDefault="00C26A9B" w:rsidP="00C26A9B">
      <w:pPr>
        <w:rPr>
          <w:rFonts w:ascii="Times New Roman" w:hAnsi="Times New Roman" w:cs="Times New Roman"/>
          <w:b/>
          <w:bCs/>
          <w:sz w:val="24"/>
          <w:szCs w:val="24"/>
        </w:rPr>
      </w:pPr>
      <w:bookmarkStart w:id="44" w:name="_Hlk195098149"/>
      <w:r w:rsidRPr="00C26A9B">
        <w:rPr>
          <w:rFonts w:ascii="Times New Roman" w:hAnsi="Times New Roman" w:cs="Times New Roman"/>
          <w:i/>
          <w:iCs/>
          <w:sz w:val="24"/>
          <w:szCs w:val="24"/>
        </w:rPr>
        <w:t xml:space="preserve">Paragraful 15. </w:t>
      </w:r>
      <w:r w:rsidRPr="00C26A9B">
        <w:rPr>
          <w:rFonts w:ascii="Times New Roman" w:hAnsi="Times New Roman" w:cs="Times New Roman"/>
          <w:b/>
          <w:bCs/>
          <w:sz w:val="24"/>
          <w:szCs w:val="24"/>
        </w:rPr>
        <w:t>Ponderile de risc pentru riscul de marfă</w:t>
      </w:r>
      <w:bookmarkEnd w:id="44"/>
    </w:p>
    <w:p w14:paraId="32617F1F"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308. Ponderile de risc pentru sensibilitățile la factorii de risc de marfă sunt următoarele:</w:t>
      </w:r>
    </w:p>
    <w:p w14:paraId="615698F5" w14:textId="77777777" w:rsidR="00C26A9B" w:rsidRPr="00C26A9B" w:rsidRDefault="00C26A9B" w:rsidP="00C26A9B">
      <w:pPr>
        <w:rPr>
          <w:rFonts w:ascii="Times New Roman" w:hAnsi="Times New Roman" w:cs="Times New Roman"/>
          <w:b/>
          <w:bCs/>
          <w:sz w:val="24"/>
          <w:szCs w:val="24"/>
        </w:rPr>
      </w:pPr>
      <w:r w:rsidRPr="00C26A9B">
        <w:rPr>
          <w:rFonts w:ascii="Times New Roman" w:hAnsi="Times New Roman" w:cs="Times New Roman"/>
          <w:b/>
          <w:bCs/>
          <w:i/>
          <w:iCs/>
          <w:sz w:val="24"/>
          <w:szCs w:val="24"/>
        </w:rPr>
        <w:t>Tabelul 9</w:t>
      </w:r>
    </w:p>
    <w:tbl>
      <w:tblPr>
        <w:tblW w:w="6237" w:type="dxa"/>
        <w:tblInd w:w="-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93"/>
        <w:gridCol w:w="3969"/>
        <w:gridCol w:w="1275"/>
      </w:tblGrid>
      <w:tr w:rsidR="00C26A9B" w:rsidRPr="00C26A9B" w14:paraId="6C514AC0" w14:textId="77777777" w:rsidTr="00C26A9B">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4D373A" w14:textId="77777777" w:rsidR="00C26A9B" w:rsidRPr="00C26A9B" w:rsidRDefault="00C26A9B" w:rsidP="00C26A9B">
            <w:pPr>
              <w:rPr>
                <w:rFonts w:ascii="Times New Roman" w:hAnsi="Times New Roman" w:cs="Times New Roman"/>
                <w:b/>
                <w:bCs/>
                <w:sz w:val="24"/>
                <w:szCs w:val="24"/>
              </w:rPr>
            </w:pPr>
            <w:r w:rsidRPr="00C26A9B">
              <w:rPr>
                <w:rFonts w:ascii="Times New Roman" w:hAnsi="Times New Roman" w:cs="Times New Roman"/>
                <w:b/>
                <w:bCs/>
                <w:sz w:val="24"/>
                <w:szCs w:val="24"/>
              </w:rPr>
              <w:t>Numărul benzii</w:t>
            </w:r>
          </w:p>
        </w:tc>
        <w:tc>
          <w:tcPr>
            <w:tcW w:w="39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4C8802" w14:textId="77777777" w:rsidR="00C26A9B" w:rsidRPr="00C26A9B" w:rsidRDefault="00C26A9B" w:rsidP="00C26A9B">
            <w:pPr>
              <w:rPr>
                <w:rFonts w:ascii="Times New Roman" w:hAnsi="Times New Roman" w:cs="Times New Roman"/>
                <w:b/>
                <w:bCs/>
                <w:sz w:val="24"/>
                <w:szCs w:val="24"/>
              </w:rPr>
            </w:pPr>
            <w:r w:rsidRPr="00C26A9B">
              <w:rPr>
                <w:rFonts w:ascii="Times New Roman" w:hAnsi="Times New Roman" w:cs="Times New Roman"/>
                <w:b/>
                <w:bCs/>
                <w:sz w:val="24"/>
                <w:szCs w:val="24"/>
              </w:rPr>
              <w:t>Denumirea benzii</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0A89B2" w14:textId="77777777" w:rsidR="00C26A9B" w:rsidRPr="00C26A9B" w:rsidRDefault="00C26A9B" w:rsidP="00C26A9B">
            <w:pPr>
              <w:rPr>
                <w:rFonts w:ascii="Times New Roman" w:hAnsi="Times New Roman" w:cs="Times New Roman"/>
                <w:b/>
                <w:bCs/>
                <w:sz w:val="24"/>
                <w:szCs w:val="24"/>
              </w:rPr>
            </w:pPr>
            <w:r w:rsidRPr="00C26A9B">
              <w:rPr>
                <w:rFonts w:ascii="Times New Roman" w:hAnsi="Times New Roman" w:cs="Times New Roman"/>
                <w:b/>
                <w:bCs/>
                <w:sz w:val="24"/>
                <w:szCs w:val="24"/>
              </w:rPr>
              <w:t>Ponderea de risc</w:t>
            </w:r>
          </w:p>
        </w:tc>
      </w:tr>
      <w:tr w:rsidR="00C26A9B" w:rsidRPr="00C26A9B" w14:paraId="4A6B7079" w14:textId="77777777" w:rsidTr="00C26A9B">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ADA6D5"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1</w:t>
            </w:r>
          </w:p>
        </w:tc>
        <w:tc>
          <w:tcPr>
            <w:tcW w:w="39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E5EF40"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Energie – combustibili solizi</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185B18"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30 %</w:t>
            </w:r>
          </w:p>
        </w:tc>
      </w:tr>
      <w:tr w:rsidR="00C26A9B" w:rsidRPr="00C26A9B" w14:paraId="1D59CD51" w14:textId="77777777" w:rsidTr="00C26A9B">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C6BA1C"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2</w:t>
            </w:r>
          </w:p>
        </w:tc>
        <w:tc>
          <w:tcPr>
            <w:tcW w:w="39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DE8A14"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Energie – combustibili lichizi</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640D29"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35 %</w:t>
            </w:r>
          </w:p>
        </w:tc>
      </w:tr>
      <w:tr w:rsidR="00C26A9B" w:rsidRPr="00C26A9B" w14:paraId="19F23D75" w14:textId="77777777" w:rsidTr="00C26A9B">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2653BA"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3</w:t>
            </w:r>
          </w:p>
        </w:tc>
        <w:tc>
          <w:tcPr>
            <w:tcW w:w="39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66BBFE"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  Energie – energie electrică</w:t>
            </w:r>
            <w:r w:rsidRPr="00C26A9B">
              <w:rPr>
                <w:rFonts w:ascii="Times New Roman" w:hAnsi="Times New Roman" w:cs="Times New Roman"/>
                <w:b/>
                <w:bCs/>
                <w:sz w:val="24"/>
                <w:szCs w:val="24"/>
              </w:rPr>
              <w:t> </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46ECAA"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60 %</w:t>
            </w:r>
          </w:p>
        </w:tc>
      </w:tr>
      <w:tr w:rsidR="00C26A9B" w:rsidRPr="00C26A9B" w14:paraId="2AE5C5F6" w14:textId="77777777" w:rsidTr="00C26A9B">
        <w:tc>
          <w:tcPr>
            <w:tcW w:w="623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D2C632E" w14:textId="77777777" w:rsidR="00C26A9B" w:rsidRPr="00C26A9B" w:rsidRDefault="00C26A9B" w:rsidP="00C26A9B">
            <w:pPr>
              <w:rPr>
                <w:rFonts w:ascii="Times New Roman" w:hAnsi="Times New Roman" w:cs="Times New Roman"/>
                <w:b/>
                <w:bCs/>
                <w:sz w:val="24"/>
                <w:szCs w:val="24"/>
              </w:rPr>
            </w:pPr>
          </w:p>
        </w:tc>
      </w:tr>
      <w:tr w:rsidR="00C26A9B" w:rsidRPr="00C26A9B" w14:paraId="743A2006" w14:textId="77777777" w:rsidTr="00C26A9B">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E837B9"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lastRenderedPageBreak/>
              <w:t>3a</w:t>
            </w:r>
          </w:p>
        </w:tc>
        <w:tc>
          <w:tcPr>
            <w:tcW w:w="39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AE8761"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Energie – comercializarea certificatelor de emisii de dioxid de carbon în cadrul EU ETS</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8C5F8B"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40 %</w:t>
            </w:r>
          </w:p>
        </w:tc>
      </w:tr>
      <w:tr w:rsidR="00C26A9B" w:rsidRPr="00C26A9B" w14:paraId="4697236F" w14:textId="77777777" w:rsidTr="00C26A9B">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EB7FC9"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3b</w:t>
            </w:r>
          </w:p>
        </w:tc>
        <w:tc>
          <w:tcPr>
            <w:tcW w:w="39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923ABC"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Energie – comercializarea certificatelor de emisii de dioxid de carbon în afara EU ETS</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E3E363"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60 %</w:t>
            </w:r>
          </w:p>
        </w:tc>
      </w:tr>
      <w:tr w:rsidR="00C26A9B" w:rsidRPr="00C26A9B" w14:paraId="71797D89" w14:textId="77777777" w:rsidTr="00C26A9B">
        <w:tc>
          <w:tcPr>
            <w:tcW w:w="623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372454" w14:textId="77777777" w:rsidR="00C26A9B" w:rsidRPr="00C26A9B" w:rsidRDefault="00C26A9B" w:rsidP="00C26A9B">
            <w:pPr>
              <w:rPr>
                <w:rFonts w:ascii="Times New Roman" w:hAnsi="Times New Roman" w:cs="Times New Roman"/>
                <w:b/>
                <w:bCs/>
                <w:sz w:val="24"/>
                <w:szCs w:val="24"/>
              </w:rPr>
            </w:pPr>
          </w:p>
        </w:tc>
      </w:tr>
      <w:tr w:rsidR="00C26A9B" w:rsidRPr="00C26A9B" w14:paraId="7CC3D573" w14:textId="77777777" w:rsidTr="00C26A9B">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D1D47F"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4</w:t>
            </w:r>
          </w:p>
        </w:tc>
        <w:tc>
          <w:tcPr>
            <w:tcW w:w="39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D20358"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Transport</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D746CC"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80 %</w:t>
            </w:r>
          </w:p>
        </w:tc>
      </w:tr>
      <w:tr w:rsidR="00C26A9B" w:rsidRPr="00C26A9B" w14:paraId="17A73C99" w14:textId="77777777" w:rsidTr="00C26A9B">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E098B5"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5</w:t>
            </w:r>
          </w:p>
        </w:tc>
        <w:tc>
          <w:tcPr>
            <w:tcW w:w="39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4F4260"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Metale – neprețioase</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B24900"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40 %</w:t>
            </w:r>
          </w:p>
        </w:tc>
      </w:tr>
      <w:tr w:rsidR="00C26A9B" w:rsidRPr="00C26A9B" w14:paraId="6060C598" w14:textId="77777777" w:rsidTr="00C26A9B">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CC8AE2"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6</w:t>
            </w:r>
          </w:p>
        </w:tc>
        <w:tc>
          <w:tcPr>
            <w:tcW w:w="39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F8B6A7"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Combustibili gazoși</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83E122"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45 %</w:t>
            </w:r>
          </w:p>
        </w:tc>
      </w:tr>
      <w:tr w:rsidR="00C26A9B" w:rsidRPr="00C26A9B" w14:paraId="0A3B9809" w14:textId="77777777" w:rsidTr="00C26A9B">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8935CD"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7</w:t>
            </w:r>
          </w:p>
        </w:tc>
        <w:tc>
          <w:tcPr>
            <w:tcW w:w="39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E1F4A7"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Metale prețioase (inclusiv aurul)</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739C2F"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20 %</w:t>
            </w:r>
          </w:p>
        </w:tc>
      </w:tr>
      <w:tr w:rsidR="00C26A9B" w:rsidRPr="00C26A9B" w14:paraId="6A33AFDD" w14:textId="77777777" w:rsidTr="00C26A9B">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444665"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8</w:t>
            </w:r>
          </w:p>
        </w:tc>
        <w:tc>
          <w:tcPr>
            <w:tcW w:w="39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4D6236"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Cereale și oleaginoase</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BDA36F"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35 %</w:t>
            </w:r>
          </w:p>
        </w:tc>
      </w:tr>
      <w:tr w:rsidR="00C26A9B" w:rsidRPr="00C26A9B" w14:paraId="683A75C0" w14:textId="77777777" w:rsidTr="00C26A9B">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EEA99E"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9</w:t>
            </w:r>
          </w:p>
        </w:tc>
        <w:tc>
          <w:tcPr>
            <w:tcW w:w="39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EE07A9"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Șeptel și produse lactate</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A8C27F"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25 %</w:t>
            </w:r>
          </w:p>
        </w:tc>
      </w:tr>
      <w:tr w:rsidR="00C26A9B" w:rsidRPr="00C26A9B" w14:paraId="075C62BD" w14:textId="77777777" w:rsidTr="00C26A9B">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C42B02"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10</w:t>
            </w:r>
          </w:p>
        </w:tc>
        <w:tc>
          <w:tcPr>
            <w:tcW w:w="39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B2A08C"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Produse agricole perisabile și alte mărfuri agricole</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C61D3B"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35 %</w:t>
            </w:r>
          </w:p>
        </w:tc>
      </w:tr>
      <w:tr w:rsidR="00C26A9B" w:rsidRPr="00C26A9B" w14:paraId="386A670C" w14:textId="77777777" w:rsidTr="00C26A9B">
        <w:tc>
          <w:tcPr>
            <w:tcW w:w="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449B56"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11</w:t>
            </w:r>
          </w:p>
        </w:tc>
        <w:tc>
          <w:tcPr>
            <w:tcW w:w="39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0838AA"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Alte mărfuri</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72A681"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50 %</w:t>
            </w:r>
          </w:p>
        </w:tc>
      </w:tr>
    </w:tbl>
    <w:p w14:paraId="2FCC4937" w14:textId="77777777" w:rsidR="00C26A9B" w:rsidRDefault="00C26A9B" w:rsidP="00C26A9B">
      <w:pPr>
        <w:rPr>
          <w:rFonts w:ascii="Times New Roman" w:hAnsi="Times New Roman" w:cs="Times New Roman"/>
          <w:sz w:val="24"/>
          <w:szCs w:val="24"/>
          <w:lang w:val="ro-RO"/>
        </w:rPr>
      </w:pPr>
    </w:p>
    <w:p w14:paraId="50F04184" w14:textId="691C697B" w:rsidR="00C26A9B" w:rsidRDefault="00C26A9B" w:rsidP="00C26A9B">
      <w:pPr>
        <w:rPr>
          <w:rFonts w:ascii="Times New Roman" w:hAnsi="Times New Roman" w:cs="Times New Roman"/>
          <w:b/>
          <w:bCs/>
          <w:sz w:val="24"/>
          <w:szCs w:val="24"/>
        </w:rPr>
      </w:pPr>
      <w:bookmarkStart w:id="45" w:name="_Hlk195098176"/>
      <w:r w:rsidRPr="00C26A9B">
        <w:rPr>
          <w:rFonts w:ascii="Times New Roman" w:hAnsi="Times New Roman" w:cs="Times New Roman"/>
          <w:i/>
          <w:iCs/>
          <w:sz w:val="24"/>
          <w:szCs w:val="24"/>
        </w:rPr>
        <w:t>Paragraful 16</w:t>
      </w:r>
      <w:r>
        <w:rPr>
          <w:rFonts w:ascii="Times New Roman" w:hAnsi="Times New Roman" w:cs="Times New Roman"/>
          <w:i/>
          <w:iCs/>
          <w:sz w:val="24"/>
          <w:szCs w:val="24"/>
        </w:rPr>
        <w:t xml:space="preserve">. </w:t>
      </w:r>
      <w:r w:rsidRPr="00C26A9B">
        <w:rPr>
          <w:rFonts w:ascii="Times New Roman" w:hAnsi="Times New Roman" w:cs="Times New Roman"/>
          <w:b/>
          <w:bCs/>
          <w:sz w:val="24"/>
          <w:szCs w:val="24"/>
        </w:rPr>
        <w:t>Corelațiile din cadrul unei benzi pentru riscul de marfă</w:t>
      </w:r>
      <w:bookmarkEnd w:id="45"/>
    </w:p>
    <w:p w14:paraId="02906D27" w14:textId="01FC25B5" w:rsid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309.   În scopul prezentului paragraf, oricare două mărfuri sunt considerate mărfuri distincte dacă pe piață există două contracte care sunt diferențiate numai prin marfa-suport care trebuie livrată conform fiecărui contract.</w:t>
      </w:r>
    </w:p>
    <w:p w14:paraId="1AB762A0"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 xml:space="preserve">310.   Parametrul de corelație </w:t>
      </w:r>
      <w:proofErr w:type="spellStart"/>
      <w:r w:rsidRPr="00C26A9B">
        <w:rPr>
          <w:rFonts w:ascii="Times New Roman" w:hAnsi="Times New Roman" w:cs="Times New Roman"/>
          <w:sz w:val="24"/>
          <w:szCs w:val="24"/>
        </w:rPr>
        <w:t>ρ</w:t>
      </w:r>
      <w:r w:rsidRPr="00C26A9B">
        <w:rPr>
          <w:rFonts w:ascii="Times New Roman" w:hAnsi="Times New Roman" w:cs="Times New Roman"/>
          <w:sz w:val="24"/>
          <w:szCs w:val="24"/>
          <w:vertAlign w:val="subscript"/>
        </w:rPr>
        <w:t>kl</w:t>
      </w:r>
      <w:proofErr w:type="spellEnd"/>
      <w:r w:rsidRPr="00C26A9B">
        <w:rPr>
          <w:rFonts w:ascii="Times New Roman" w:hAnsi="Times New Roman" w:cs="Times New Roman"/>
          <w:sz w:val="24"/>
          <w:szCs w:val="24"/>
        </w:rPr>
        <w:t xml:space="preserve"> între două sensibilități </w:t>
      </w:r>
      <w:proofErr w:type="spellStart"/>
      <w:r w:rsidRPr="00C26A9B">
        <w:rPr>
          <w:rFonts w:ascii="Times New Roman" w:hAnsi="Times New Roman" w:cs="Times New Roman"/>
          <w:sz w:val="24"/>
          <w:szCs w:val="24"/>
        </w:rPr>
        <w:t>WS</w:t>
      </w:r>
      <w:r w:rsidRPr="00C26A9B">
        <w:rPr>
          <w:rFonts w:ascii="Times New Roman" w:hAnsi="Times New Roman" w:cs="Times New Roman"/>
          <w:sz w:val="24"/>
          <w:szCs w:val="24"/>
          <w:vertAlign w:val="subscript"/>
        </w:rPr>
        <w:t>k</w:t>
      </w:r>
      <w:proofErr w:type="spellEnd"/>
      <w:r w:rsidRPr="00C26A9B">
        <w:rPr>
          <w:rFonts w:ascii="Times New Roman" w:hAnsi="Times New Roman" w:cs="Times New Roman"/>
          <w:sz w:val="24"/>
          <w:szCs w:val="24"/>
        </w:rPr>
        <w:t xml:space="preserve"> și </w:t>
      </w:r>
      <w:proofErr w:type="spellStart"/>
      <w:r w:rsidRPr="00C26A9B">
        <w:rPr>
          <w:rFonts w:ascii="Times New Roman" w:hAnsi="Times New Roman" w:cs="Times New Roman"/>
          <w:sz w:val="24"/>
          <w:szCs w:val="24"/>
        </w:rPr>
        <w:t>WS</w:t>
      </w:r>
      <w:r w:rsidRPr="00C26A9B">
        <w:rPr>
          <w:rFonts w:ascii="Times New Roman" w:hAnsi="Times New Roman" w:cs="Times New Roman"/>
          <w:sz w:val="24"/>
          <w:szCs w:val="24"/>
          <w:vertAlign w:val="subscript"/>
        </w:rPr>
        <w:t>l</w:t>
      </w:r>
      <w:proofErr w:type="spellEnd"/>
      <w:r w:rsidRPr="00C26A9B">
        <w:rPr>
          <w:rFonts w:ascii="Times New Roman" w:hAnsi="Times New Roman" w:cs="Times New Roman"/>
          <w:sz w:val="24"/>
          <w:szCs w:val="24"/>
        </w:rPr>
        <w:t> din cadrul aceleiași benzi se stabilește după cum urmează:</w:t>
      </w:r>
    </w:p>
    <w:p w14:paraId="084F4A27" w14:textId="77777777" w:rsidR="00C26A9B" w:rsidRPr="00C26A9B" w:rsidRDefault="00C26A9B" w:rsidP="00C26A9B">
      <w:pPr>
        <w:rPr>
          <w:rFonts w:ascii="Times New Roman" w:hAnsi="Times New Roman" w:cs="Times New Roman"/>
          <w:sz w:val="24"/>
          <w:szCs w:val="24"/>
        </w:rPr>
      </w:pPr>
      <w:proofErr w:type="spellStart"/>
      <w:r w:rsidRPr="00C26A9B">
        <w:rPr>
          <w:rFonts w:ascii="Times New Roman" w:hAnsi="Times New Roman" w:cs="Times New Roman"/>
          <w:sz w:val="24"/>
          <w:szCs w:val="24"/>
        </w:rPr>
        <w:t>ρ</w:t>
      </w:r>
      <w:r w:rsidRPr="00C26A9B">
        <w:rPr>
          <w:rFonts w:ascii="Times New Roman" w:hAnsi="Times New Roman" w:cs="Times New Roman"/>
          <w:sz w:val="24"/>
          <w:szCs w:val="24"/>
          <w:vertAlign w:val="subscript"/>
        </w:rPr>
        <w:t>kl</w:t>
      </w:r>
      <w:proofErr w:type="spellEnd"/>
      <w:r w:rsidRPr="00C26A9B">
        <w:rPr>
          <w:rFonts w:ascii="Times New Roman" w:hAnsi="Times New Roman" w:cs="Times New Roman"/>
          <w:sz w:val="24"/>
          <w:szCs w:val="24"/>
        </w:rPr>
        <w:t xml:space="preserve"> = </w:t>
      </w:r>
      <w:proofErr w:type="spellStart"/>
      <w:r w:rsidRPr="00C26A9B">
        <w:rPr>
          <w:rFonts w:ascii="Times New Roman" w:hAnsi="Times New Roman" w:cs="Times New Roman"/>
          <w:sz w:val="24"/>
          <w:szCs w:val="24"/>
        </w:rPr>
        <w:t>ρ</w:t>
      </w:r>
      <w:r w:rsidRPr="00C26A9B">
        <w:rPr>
          <w:rFonts w:ascii="Times New Roman" w:hAnsi="Times New Roman" w:cs="Times New Roman"/>
          <w:sz w:val="24"/>
          <w:szCs w:val="24"/>
          <w:vertAlign w:val="subscript"/>
        </w:rPr>
        <w:t>kl</w:t>
      </w:r>
      <w:proofErr w:type="spellEnd"/>
      <w:r w:rsidRPr="00C26A9B">
        <w:rPr>
          <w:rFonts w:ascii="Times New Roman" w:hAnsi="Times New Roman" w:cs="Times New Roman"/>
          <w:sz w:val="24"/>
          <w:szCs w:val="24"/>
        </w:rPr>
        <w:t> </w:t>
      </w:r>
      <w:r w:rsidRPr="00C26A9B">
        <w:rPr>
          <w:rFonts w:ascii="Times New Roman" w:hAnsi="Times New Roman" w:cs="Times New Roman"/>
          <w:sz w:val="24"/>
          <w:szCs w:val="24"/>
          <w:vertAlign w:val="superscript"/>
        </w:rPr>
        <w:t>(marfă)</w:t>
      </w:r>
      <w:r w:rsidRPr="00C26A9B">
        <w:rPr>
          <w:rFonts w:ascii="Times New Roman" w:hAnsi="Times New Roman" w:cs="Times New Roman"/>
          <w:sz w:val="24"/>
          <w:szCs w:val="24"/>
        </w:rPr>
        <w:t xml:space="preserve"> · </w:t>
      </w:r>
      <w:proofErr w:type="spellStart"/>
      <w:r w:rsidRPr="00C26A9B">
        <w:rPr>
          <w:rFonts w:ascii="Times New Roman" w:hAnsi="Times New Roman" w:cs="Times New Roman"/>
          <w:sz w:val="24"/>
          <w:szCs w:val="24"/>
        </w:rPr>
        <w:t>ρ</w:t>
      </w:r>
      <w:r w:rsidRPr="00C26A9B">
        <w:rPr>
          <w:rFonts w:ascii="Times New Roman" w:hAnsi="Times New Roman" w:cs="Times New Roman"/>
          <w:sz w:val="24"/>
          <w:szCs w:val="24"/>
          <w:vertAlign w:val="subscript"/>
        </w:rPr>
        <w:t>kl</w:t>
      </w:r>
      <w:proofErr w:type="spellEnd"/>
      <w:r w:rsidRPr="00C26A9B">
        <w:rPr>
          <w:rFonts w:ascii="Times New Roman" w:hAnsi="Times New Roman" w:cs="Times New Roman"/>
          <w:sz w:val="24"/>
          <w:szCs w:val="24"/>
        </w:rPr>
        <w:t> </w:t>
      </w:r>
      <w:r w:rsidRPr="00C26A9B">
        <w:rPr>
          <w:rFonts w:ascii="Times New Roman" w:hAnsi="Times New Roman" w:cs="Times New Roman"/>
          <w:sz w:val="24"/>
          <w:szCs w:val="24"/>
          <w:vertAlign w:val="superscript"/>
        </w:rPr>
        <w:t>(scadență)</w:t>
      </w:r>
      <w:r w:rsidRPr="00C26A9B">
        <w:rPr>
          <w:rFonts w:ascii="Times New Roman" w:hAnsi="Times New Roman" w:cs="Times New Roman"/>
          <w:sz w:val="24"/>
          <w:szCs w:val="24"/>
        </w:rPr>
        <w:t xml:space="preserve"> · </w:t>
      </w:r>
      <w:proofErr w:type="spellStart"/>
      <w:r w:rsidRPr="00C26A9B">
        <w:rPr>
          <w:rFonts w:ascii="Times New Roman" w:hAnsi="Times New Roman" w:cs="Times New Roman"/>
          <w:sz w:val="24"/>
          <w:szCs w:val="24"/>
        </w:rPr>
        <w:t>ρ</w:t>
      </w:r>
      <w:r w:rsidRPr="00C26A9B">
        <w:rPr>
          <w:rFonts w:ascii="Times New Roman" w:hAnsi="Times New Roman" w:cs="Times New Roman"/>
          <w:sz w:val="24"/>
          <w:szCs w:val="24"/>
          <w:vertAlign w:val="subscript"/>
        </w:rPr>
        <w:t>kl</w:t>
      </w:r>
      <w:proofErr w:type="spellEnd"/>
      <w:r w:rsidRPr="00C26A9B">
        <w:rPr>
          <w:rFonts w:ascii="Times New Roman" w:hAnsi="Times New Roman" w:cs="Times New Roman"/>
          <w:sz w:val="24"/>
          <w:szCs w:val="24"/>
        </w:rPr>
        <w:t> </w:t>
      </w:r>
      <w:r w:rsidRPr="00C26A9B">
        <w:rPr>
          <w:rFonts w:ascii="Times New Roman" w:hAnsi="Times New Roman" w:cs="Times New Roman"/>
          <w:sz w:val="24"/>
          <w:szCs w:val="24"/>
          <w:vertAlign w:val="superscript"/>
        </w:rPr>
        <w:t>(bază)</w:t>
      </w:r>
    </w:p>
    <w:p w14:paraId="64DC6C38"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unde:</w:t>
      </w:r>
    </w:p>
    <w:p w14:paraId="77308711" w14:textId="77777777" w:rsidR="00C26A9B" w:rsidRPr="00C26A9B" w:rsidRDefault="00C26A9B" w:rsidP="00C26A9B">
      <w:pPr>
        <w:rPr>
          <w:rFonts w:ascii="Times New Roman" w:hAnsi="Times New Roman" w:cs="Times New Roman"/>
          <w:sz w:val="24"/>
          <w:szCs w:val="24"/>
        </w:rPr>
      </w:pPr>
      <w:proofErr w:type="spellStart"/>
      <w:r w:rsidRPr="00C26A9B">
        <w:rPr>
          <w:rFonts w:ascii="Times New Roman" w:hAnsi="Times New Roman" w:cs="Times New Roman"/>
          <w:sz w:val="24"/>
          <w:szCs w:val="24"/>
        </w:rPr>
        <w:t>ρ</w:t>
      </w:r>
      <w:r w:rsidRPr="00C26A9B">
        <w:rPr>
          <w:rFonts w:ascii="Times New Roman" w:hAnsi="Times New Roman" w:cs="Times New Roman"/>
          <w:sz w:val="24"/>
          <w:szCs w:val="24"/>
          <w:vertAlign w:val="subscript"/>
        </w:rPr>
        <w:t>kl</w:t>
      </w:r>
      <w:proofErr w:type="spellEnd"/>
      <w:r w:rsidRPr="00C26A9B">
        <w:rPr>
          <w:rFonts w:ascii="Times New Roman" w:hAnsi="Times New Roman" w:cs="Times New Roman"/>
          <w:sz w:val="24"/>
          <w:szCs w:val="24"/>
        </w:rPr>
        <w:t> </w:t>
      </w:r>
      <w:r w:rsidRPr="00C26A9B">
        <w:rPr>
          <w:rFonts w:ascii="Times New Roman" w:hAnsi="Times New Roman" w:cs="Times New Roman"/>
          <w:sz w:val="24"/>
          <w:szCs w:val="24"/>
          <w:vertAlign w:val="superscript"/>
        </w:rPr>
        <w:t>(marfă)</w:t>
      </w:r>
      <w:r w:rsidRPr="00C26A9B">
        <w:rPr>
          <w:rFonts w:ascii="Times New Roman" w:hAnsi="Times New Roman" w:cs="Times New Roman"/>
          <w:sz w:val="24"/>
          <w:szCs w:val="24"/>
        </w:rPr>
        <w:t> este egal cu 1 atunci când cele două mărfuri cu sensibilitate „k” și „l” sunt identice, iar în caz contrar cu corelațiile din cadrul benzii care figurează în tabelul 10;</w:t>
      </w:r>
    </w:p>
    <w:p w14:paraId="1BBA9881" w14:textId="77777777" w:rsidR="00C26A9B" w:rsidRPr="00C26A9B" w:rsidRDefault="00C26A9B" w:rsidP="00C26A9B">
      <w:pPr>
        <w:rPr>
          <w:rFonts w:ascii="Times New Roman" w:hAnsi="Times New Roman" w:cs="Times New Roman"/>
          <w:sz w:val="24"/>
          <w:szCs w:val="24"/>
        </w:rPr>
      </w:pPr>
      <w:proofErr w:type="spellStart"/>
      <w:r w:rsidRPr="00C26A9B">
        <w:rPr>
          <w:rFonts w:ascii="Times New Roman" w:hAnsi="Times New Roman" w:cs="Times New Roman"/>
          <w:sz w:val="24"/>
          <w:szCs w:val="24"/>
        </w:rPr>
        <w:t>ρ</w:t>
      </w:r>
      <w:r w:rsidRPr="00C26A9B">
        <w:rPr>
          <w:rFonts w:ascii="Times New Roman" w:hAnsi="Times New Roman" w:cs="Times New Roman"/>
          <w:sz w:val="24"/>
          <w:szCs w:val="24"/>
          <w:vertAlign w:val="subscript"/>
        </w:rPr>
        <w:t>kl</w:t>
      </w:r>
      <w:proofErr w:type="spellEnd"/>
      <w:r w:rsidRPr="00C26A9B">
        <w:rPr>
          <w:rFonts w:ascii="Times New Roman" w:hAnsi="Times New Roman" w:cs="Times New Roman"/>
          <w:sz w:val="24"/>
          <w:szCs w:val="24"/>
        </w:rPr>
        <w:t> </w:t>
      </w:r>
      <w:r w:rsidRPr="00C26A9B">
        <w:rPr>
          <w:rFonts w:ascii="Times New Roman" w:hAnsi="Times New Roman" w:cs="Times New Roman"/>
          <w:sz w:val="24"/>
          <w:szCs w:val="24"/>
          <w:vertAlign w:val="superscript"/>
        </w:rPr>
        <w:t>(scadență)</w:t>
      </w:r>
      <w:r w:rsidRPr="00C26A9B">
        <w:rPr>
          <w:rFonts w:ascii="Times New Roman" w:hAnsi="Times New Roman" w:cs="Times New Roman"/>
          <w:sz w:val="24"/>
          <w:szCs w:val="24"/>
        </w:rPr>
        <w:t> este egal cu 1 atunci când cele două puncte ale sensibilităților „k” și „l” sunt identice, iar în caz contrar cu 99 %; și</w:t>
      </w:r>
    </w:p>
    <w:p w14:paraId="168D6E0F" w14:textId="6079541E" w:rsidR="00C26A9B" w:rsidRDefault="00C26A9B" w:rsidP="00C26A9B">
      <w:pPr>
        <w:rPr>
          <w:rFonts w:ascii="Times New Roman" w:hAnsi="Times New Roman" w:cs="Times New Roman"/>
          <w:sz w:val="24"/>
          <w:szCs w:val="24"/>
        </w:rPr>
      </w:pPr>
      <w:proofErr w:type="spellStart"/>
      <w:r w:rsidRPr="00C26A9B">
        <w:rPr>
          <w:rFonts w:ascii="Times New Roman" w:hAnsi="Times New Roman" w:cs="Times New Roman"/>
          <w:sz w:val="24"/>
          <w:szCs w:val="24"/>
        </w:rPr>
        <w:t>ρ</w:t>
      </w:r>
      <w:r w:rsidRPr="00C26A9B">
        <w:rPr>
          <w:rFonts w:ascii="Times New Roman" w:hAnsi="Times New Roman" w:cs="Times New Roman"/>
          <w:sz w:val="24"/>
          <w:szCs w:val="24"/>
          <w:vertAlign w:val="subscript"/>
        </w:rPr>
        <w:t>kl</w:t>
      </w:r>
      <w:proofErr w:type="spellEnd"/>
      <w:r w:rsidRPr="00C26A9B">
        <w:rPr>
          <w:rFonts w:ascii="Times New Roman" w:hAnsi="Times New Roman" w:cs="Times New Roman"/>
          <w:sz w:val="24"/>
          <w:szCs w:val="24"/>
        </w:rPr>
        <w:t> </w:t>
      </w:r>
      <w:r w:rsidRPr="00C26A9B">
        <w:rPr>
          <w:rFonts w:ascii="Times New Roman" w:hAnsi="Times New Roman" w:cs="Times New Roman"/>
          <w:sz w:val="24"/>
          <w:szCs w:val="24"/>
          <w:vertAlign w:val="superscript"/>
        </w:rPr>
        <w:t>(bază)</w:t>
      </w:r>
      <w:r w:rsidRPr="00C26A9B">
        <w:rPr>
          <w:rFonts w:ascii="Times New Roman" w:hAnsi="Times New Roman" w:cs="Times New Roman"/>
          <w:sz w:val="24"/>
          <w:szCs w:val="24"/>
        </w:rPr>
        <w:t> este egal cu 1 atunci când cele două sensibilități sunt identice în ceea ce privește locul de livrare a mărfii, iar în caz contrar cu 99,90 %.</w:t>
      </w:r>
    </w:p>
    <w:p w14:paraId="12BD5674"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 xml:space="preserve">311.  Corelațiile din cadrul benzii </w:t>
      </w:r>
      <w:proofErr w:type="spellStart"/>
      <w:r w:rsidRPr="00C26A9B">
        <w:rPr>
          <w:rFonts w:ascii="Times New Roman" w:hAnsi="Times New Roman" w:cs="Times New Roman"/>
          <w:sz w:val="24"/>
          <w:szCs w:val="24"/>
        </w:rPr>
        <w:t>ρ</w:t>
      </w:r>
      <w:r w:rsidRPr="00C26A9B">
        <w:rPr>
          <w:rFonts w:ascii="Times New Roman" w:hAnsi="Times New Roman" w:cs="Times New Roman"/>
          <w:sz w:val="24"/>
          <w:szCs w:val="24"/>
          <w:vertAlign w:val="subscript"/>
        </w:rPr>
        <w:t>kl</w:t>
      </w:r>
      <w:proofErr w:type="spellEnd"/>
      <w:r w:rsidRPr="00C26A9B">
        <w:rPr>
          <w:rFonts w:ascii="Times New Roman" w:hAnsi="Times New Roman" w:cs="Times New Roman"/>
          <w:sz w:val="24"/>
          <w:szCs w:val="24"/>
        </w:rPr>
        <w:t> </w:t>
      </w:r>
      <w:r w:rsidRPr="00C26A9B">
        <w:rPr>
          <w:rFonts w:ascii="Times New Roman" w:hAnsi="Times New Roman" w:cs="Times New Roman"/>
          <w:sz w:val="24"/>
          <w:szCs w:val="24"/>
          <w:vertAlign w:val="superscript"/>
        </w:rPr>
        <w:t>(marfă)</w:t>
      </w:r>
      <w:r w:rsidRPr="00C26A9B">
        <w:rPr>
          <w:rFonts w:ascii="Times New Roman" w:hAnsi="Times New Roman" w:cs="Times New Roman"/>
          <w:sz w:val="24"/>
          <w:szCs w:val="24"/>
        </w:rPr>
        <w:t> sunt:</w:t>
      </w:r>
    </w:p>
    <w:p w14:paraId="04AA66CD" w14:textId="77777777" w:rsidR="00C26A9B" w:rsidRPr="00C26A9B" w:rsidRDefault="00C26A9B" w:rsidP="00C26A9B">
      <w:pPr>
        <w:rPr>
          <w:rFonts w:ascii="Times New Roman" w:hAnsi="Times New Roman" w:cs="Times New Roman"/>
          <w:b/>
          <w:bCs/>
          <w:sz w:val="24"/>
          <w:szCs w:val="24"/>
        </w:rPr>
      </w:pPr>
      <w:r w:rsidRPr="00C26A9B">
        <w:rPr>
          <w:rFonts w:ascii="Times New Roman" w:hAnsi="Times New Roman" w:cs="Times New Roman"/>
          <w:b/>
          <w:bCs/>
          <w:i/>
          <w:iCs/>
          <w:sz w:val="24"/>
          <w:szCs w:val="24"/>
        </w:rPr>
        <w:t>Tabelul 10</w:t>
      </w:r>
    </w:p>
    <w:tbl>
      <w:tblPr>
        <w:tblW w:w="6379" w:type="dxa"/>
        <w:tblInd w:w="-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76"/>
        <w:gridCol w:w="4411"/>
        <w:gridCol w:w="992"/>
      </w:tblGrid>
      <w:tr w:rsidR="00C26A9B" w:rsidRPr="00C26A9B" w14:paraId="28E960D5" w14:textId="77777777" w:rsidTr="00C26A9B">
        <w:tc>
          <w:tcPr>
            <w:tcW w:w="9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195CD7" w14:textId="77777777" w:rsidR="00C26A9B" w:rsidRPr="00C26A9B" w:rsidRDefault="00C26A9B" w:rsidP="00C26A9B">
            <w:pPr>
              <w:rPr>
                <w:rFonts w:ascii="Times New Roman" w:hAnsi="Times New Roman" w:cs="Times New Roman"/>
                <w:b/>
                <w:bCs/>
                <w:sz w:val="24"/>
                <w:szCs w:val="24"/>
              </w:rPr>
            </w:pPr>
            <w:r w:rsidRPr="00C26A9B">
              <w:rPr>
                <w:rFonts w:ascii="Times New Roman" w:hAnsi="Times New Roman" w:cs="Times New Roman"/>
                <w:b/>
                <w:bCs/>
                <w:sz w:val="24"/>
                <w:szCs w:val="24"/>
              </w:rPr>
              <w:t>Numărul benzii</w:t>
            </w:r>
          </w:p>
        </w:tc>
        <w:tc>
          <w:tcPr>
            <w:tcW w:w="4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0B6033" w14:textId="77777777" w:rsidR="00C26A9B" w:rsidRPr="00C26A9B" w:rsidRDefault="00C26A9B" w:rsidP="00C26A9B">
            <w:pPr>
              <w:rPr>
                <w:rFonts w:ascii="Times New Roman" w:hAnsi="Times New Roman" w:cs="Times New Roman"/>
                <w:b/>
                <w:bCs/>
                <w:sz w:val="24"/>
                <w:szCs w:val="24"/>
              </w:rPr>
            </w:pPr>
            <w:r w:rsidRPr="00C26A9B">
              <w:rPr>
                <w:rFonts w:ascii="Times New Roman" w:hAnsi="Times New Roman" w:cs="Times New Roman"/>
                <w:b/>
                <w:bCs/>
                <w:sz w:val="24"/>
                <w:szCs w:val="24"/>
              </w:rPr>
              <w:t>Numele benzii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7651EE" w14:textId="77777777" w:rsidR="00C26A9B" w:rsidRPr="00C26A9B" w:rsidRDefault="00C26A9B" w:rsidP="00C26A9B">
            <w:pPr>
              <w:rPr>
                <w:rFonts w:ascii="Times New Roman" w:hAnsi="Times New Roman" w:cs="Times New Roman"/>
                <w:b/>
                <w:bCs/>
                <w:sz w:val="24"/>
                <w:szCs w:val="24"/>
              </w:rPr>
            </w:pPr>
            <w:r w:rsidRPr="00C26A9B">
              <w:rPr>
                <w:rFonts w:ascii="Times New Roman" w:hAnsi="Times New Roman" w:cs="Times New Roman"/>
                <w:b/>
                <w:bCs/>
                <w:sz w:val="24"/>
                <w:szCs w:val="24"/>
              </w:rPr>
              <w:t>Corelație</w:t>
            </w:r>
          </w:p>
          <w:p w14:paraId="2431E34A" w14:textId="77777777" w:rsidR="00C26A9B" w:rsidRPr="00C26A9B" w:rsidRDefault="00C26A9B" w:rsidP="00C26A9B">
            <w:pPr>
              <w:rPr>
                <w:rFonts w:ascii="Times New Roman" w:hAnsi="Times New Roman" w:cs="Times New Roman"/>
                <w:b/>
                <w:bCs/>
                <w:sz w:val="24"/>
                <w:szCs w:val="24"/>
              </w:rPr>
            </w:pPr>
            <w:proofErr w:type="spellStart"/>
            <w:r w:rsidRPr="00C26A9B">
              <w:rPr>
                <w:rFonts w:ascii="Times New Roman" w:hAnsi="Times New Roman" w:cs="Times New Roman"/>
                <w:b/>
                <w:bCs/>
                <w:sz w:val="24"/>
                <w:szCs w:val="24"/>
              </w:rPr>
              <w:t>ρ</w:t>
            </w:r>
            <w:r w:rsidRPr="00C26A9B">
              <w:rPr>
                <w:rFonts w:ascii="Times New Roman" w:hAnsi="Times New Roman" w:cs="Times New Roman"/>
                <w:b/>
                <w:bCs/>
                <w:sz w:val="24"/>
                <w:szCs w:val="24"/>
                <w:vertAlign w:val="subscript"/>
              </w:rPr>
              <w:t>kl</w:t>
            </w:r>
            <w:proofErr w:type="spellEnd"/>
            <w:r w:rsidRPr="00C26A9B">
              <w:rPr>
                <w:rFonts w:ascii="Times New Roman" w:hAnsi="Times New Roman" w:cs="Times New Roman"/>
                <w:b/>
                <w:bCs/>
                <w:sz w:val="24"/>
                <w:szCs w:val="24"/>
              </w:rPr>
              <w:t> </w:t>
            </w:r>
            <w:r w:rsidRPr="00C26A9B">
              <w:rPr>
                <w:rFonts w:ascii="Times New Roman" w:hAnsi="Times New Roman" w:cs="Times New Roman"/>
                <w:b/>
                <w:bCs/>
                <w:sz w:val="24"/>
                <w:szCs w:val="24"/>
                <w:vertAlign w:val="superscript"/>
              </w:rPr>
              <w:t>(marfă)</w:t>
            </w:r>
          </w:p>
        </w:tc>
      </w:tr>
      <w:tr w:rsidR="00C26A9B" w:rsidRPr="00C26A9B" w14:paraId="397005C9" w14:textId="77777777" w:rsidTr="00C26A9B">
        <w:tc>
          <w:tcPr>
            <w:tcW w:w="9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3481C8"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1</w:t>
            </w:r>
          </w:p>
        </w:tc>
        <w:tc>
          <w:tcPr>
            <w:tcW w:w="4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638430"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Energie – combustibili solizi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D2F78E"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55 %</w:t>
            </w:r>
          </w:p>
        </w:tc>
      </w:tr>
      <w:tr w:rsidR="00C26A9B" w:rsidRPr="00C26A9B" w14:paraId="5093D293" w14:textId="77777777" w:rsidTr="00C26A9B">
        <w:tc>
          <w:tcPr>
            <w:tcW w:w="9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9ACBF6"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lastRenderedPageBreak/>
              <w:t>2</w:t>
            </w:r>
          </w:p>
        </w:tc>
        <w:tc>
          <w:tcPr>
            <w:tcW w:w="4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8F4AF9"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Energie – combustibili lichizi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3C0B8C"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95 %</w:t>
            </w:r>
          </w:p>
        </w:tc>
      </w:tr>
      <w:tr w:rsidR="00C26A9B" w:rsidRPr="00C26A9B" w14:paraId="17A48A4D" w14:textId="77777777" w:rsidTr="00C26A9B">
        <w:tc>
          <w:tcPr>
            <w:tcW w:w="9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022DA3"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3</w:t>
            </w:r>
          </w:p>
        </w:tc>
        <w:tc>
          <w:tcPr>
            <w:tcW w:w="4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9DB70F"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Energie – energie electrică și comercializarea certificatelor de emisii de dioxid de carbon</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84830F"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40 %</w:t>
            </w:r>
          </w:p>
        </w:tc>
      </w:tr>
      <w:tr w:rsidR="00C26A9B" w:rsidRPr="00C26A9B" w14:paraId="2E6B7908" w14:textId="77777777" w:rsidTr="00C26A9B">
        <w:tc>
          <w:tcPr>
            <w:tcW w:w="9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5A7A20"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4</w:t>
            </w:r>
          </w:p>
        </w:tc>
        <w:tc>
          <w:tcPr>
            <w:tcW w:w="4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0BE26A"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Transport</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F9A63E"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80 %</w:t>
            </w:r>
          </w:p>
        </w:tc>
      </w:tr>
      <w:tr w:rsidR="00C26A9B" w:rsidRPr="00C26A9B" w14:paraId="4120B735" w14:textId="77777777" w:rsidTr="00C26A9B">
        <w:tc>
          <w:tcPr>
            <w:tcW w:w="9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0EFFF2"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5</w:t>
            </w:r>
          </w:p>
        </w:tc>
        <w:tc>
          <w:tcPr>
            <w:tcW w:w="4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7DD12A"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Metale – neprețioase</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CE019C"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60 %</w:t>
            </w:r>
          </w:p>
        </w:tc>
      </w:tr>
      <w:tr w:rsidR="00C26A9B" w:rsidRPr="00C26A9B" w14:paraId="5D223323" w14:textId="77777777" w:rsidTr="00C26A9B">
        <w:tc>
          <w:tcPr>
            <w:tcW w:w="9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2137B6"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6</w:t>
            </w:r>
          </w:p>
        </w:tc>
        <w:tc>
          <w:tcPr>
            <w:tcW w:w="4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62F138"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Combustibili gazoși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CCE2B5"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65 %</w:t>
            </w:r>
          </w:p>
        </w:tc>
      </w:tr>
      <w:tr w:rsidR="00C26A9B" w:rsidRPr="00C26A9B" w14:paraId="448AA424" w14:textId="77777777" w:rsidTr="00C26A9B">
        <w:tc>
          <w:tcPr>
            <w:tcW w:w="9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10A973"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7</w:t>
            </w:r>
          </w:p>
        </w:tc>
        <w:tc>
          <w:tcPr>
            <w:tcW w:w="4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414B31"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Metale prețioase (inclusiv aurul)</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EE42EE"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55 %</w:t>
            </w:r>
          </w:p>
        </w:tc>
      </w:tr>
      <w:tr w:rsidR="00C26A9B" w:rsidRPr="00C26A9B" w14:paraId="099F3FE8" w14:textId="77777777" w:rsidTr="00C26A9B">
        <w:tc>
          <w:tcPr>
            <w:tcW w:w="9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C7C056"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8</w:t>
            </w:r>
          </w:p>
        </w:tc>
        <w:tc>
          <w:tcPr>
            <w:tcW w:w="4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2A731E"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Cereale și oleaginoase</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8F1181"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45 %</w:t>
            </w:r>
          </w:p>
        </w:tc>
      </w:tr>
      <w:tr w:rsidR="00C26A9B" w:rsidRPr="00C26A9B" w14:paraId="2EBB7AC1" w14:textId="77777777" w:rsidTr="00C26A9B">
        <w:tc>
          <w:tcPr>
            <w:tcW w:w="9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636A0B"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9</w:t>
            </w:r>
          </w:p>
        </w:tc>
        <w:tc>
          <w:tcPr>
            <w:tcW w:w="4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E7FBC5"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Șeptel și produse lactate</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B26AE4"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15 %</w:t>
            </w:r>
          </w:p>
        </w:tc>
      </w:tr>
      <w:tr w:rsidR="00C26A9B" w:rsidRPr="00C26A9B" w14:paraId="4F9649A2" w14:textId="77777777" w:rsidTr="00C26A9B">
        <w:tc>
          <w:tcPr>
            <w:tcW w:w="9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61145B"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10</w:t>
            </w:r>
          </w:p>
        </w:tc>
        <w:tc>
          <w:tcPr>
            <w:tcW w:w="4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56C385"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Produse agricole perisabile și alte produse agricole</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97A4B3"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40 %</w:t>
            </w:r>
          </w:p>
        </w:tc>
      </w:tr>
      <w:tr w:rsidR="00C26A9B" w:rsidRPr="00C26A9B" w14:paraId="705B041C" w14:textId="77777777" w:rsidTr="00C26A9B">
        <w:tc>
          <w:tcPr>
            <w:tcW w:w="9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93A730"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11</w:t>
            </w:r>
          </w:p>
        </w:tc>
        <w:tc>
          <w:tcPr>
            <w:tcW w:w="441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81C662"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Alte mărfuri</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A497A9"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15 %</w:t>
            </w:r>
          </w:p>
        </w:tc>
      </w:tr>
    </w:tbl>
    <w:p w14:paraId="0B71D2B5" w14:textId="77777777" w:rsidR="00C26A9B" w:rsidRDefault="00C26A9B" w:rsidP="00C26A9B">
      <w:pPr>
        <w:rPr>
          <w:rFonts w:ascii="Times New Roman" w:hAnsi="Times New Roman" w:cs="Times New Roman"/>
          <w:sz w:val="24"/>
          <w:szCs w:val="24"/>
        </w:rPr>
      </w:pPr>
    </w:p>
    <w:p w14:paraId="53C3F6C9" w14:textId="28AD0FF8"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312.   În pofida</w:t>
      </w:r>
      <w:r>
        <w:rPr>
          <w:rFonts w:ascii="Times New Roman" w:hAnsi="Times New Roman" w:cs="Times New Roman"/>
          <w:sz w:val="24"/>
          <w:szCs w:val="24"/>
        </w:rPr>
        <w:t xml:space="preserve"> </w:t>
      </w:r>
      <w:r w:rsidRPr="00C26A9B">
        <w:rPr>
          <w:rFonts w:ascii="Times New Roman" w:hAnsi="Times New Roman" w:cs="Times New Roman"/>
          <w:sz w:val="24"/>
          <w:szCs w:val="24"/>
        </w:rPr>
        <w:t>pct.309, se aplică următoarele dispoziții:</w:t>
      </w:r>
    </w:p>
    <w:p w14:paraId="1FDF4D92"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312.1. doi factori de risc care sunt alocați benzii 3 din tabelul 10 și care se referă la electricitatea care este generată în diferite regiuni sau este furnizată în diferite perioade în baza contractului sunt considerați factori de risc de marfă distincți;</w:t>
      </w:r>
    </w:p>
    <w:p w14:paraId="1BE5AE05" w14:textId="54AF97A1" w:rsid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312.2. doi factori de risc care sunt alocați benzii 4 din tabelul 10 și care se referă la transport în cazul cărora rutele de transport sau săptămânile de livrare diferă sunt considerați factori de risc de marfă distincți.</w:t>
      </w:r>
    </w:p>
    <w:p w14:paraId="744271DC" w14:textId="266D3081" w:rsidR="00C26A9B" w:rsidRDefault="00C26A9B" w:rsidP="00C26A9B">
      <w:pPr>
        <w:rPr>
          <w:rFonts w:ascii="Times New Roman" w:hAnsi="Times New Roman" w:cs="Times New Roman"/>
          <w:b/>
          <w:bCs/>
          <w:sz w:val="24"/>
          <w:szCs w:val="24"/>
        </w:rPr>
      </w:pPr>
      <w:bookmarkStart w:id="46" w:name="_Hlk195098209"/>
      <w:r w:rsidRPr="00C26A9B">
        <w:rPr>
          <w:rFonts w:ascii="Times New Roman" w:hAnsi="Times New Roman" w:cs="Times New Roman"/>
          <w:i/>
          <w:iCs/>
          <w:sz w:val="24"/>
          <w:szCs w:val="24"/>
        </w:rPr>
        <w:t xml:space="preserve">Paragraful 17. </w:t>
      </w:r>
      <w:r w:rsidRPr="00C26A9B">
        <w:rPr>
          <w:rFonts w:ascii="Times New Roman" w:hAnsi="Times New Roman" w:cs="Times New Roman"/>
          <w:b/>
          <w:bCs/>
          <w:sz w:val="24"/>
          <w:szCs w:val="24"/>
        </w:rPr>
        <w:t>Corelațiile între benzi pentru riscul de marfă</w:t>
      </w:r>
      <w:bookmarkEnd w:id="46"/>
    </w:p>
    <w:p w14:paraId="032ED427"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313. Parametrul de corelație </w:t>
      </w:r>
      <w:proofErr w:type="spellStart"/>
      <w:r w:rsidRPr="00C26A9B">
        <w:rPr>
          <w:rFonts w:ascii="Times New Roman" w:hAnsi="Times New Roman" w:cs="Times New Roman"/>
          <w:i/>
          <w:iCs/>
          <w:sz w:val="24"/>
          <w:szCs w:val="24"/>
        </w:rPr>
        <w:t>γ</w:t>
      </w:r>
      <w:r w:rsidRPr="00C26A9B">
        <w:rPr>
          <w:rFonts w:ascii="Times New Roman" w:hAnsi="Times New Roman" w:cs="Times New Roman"/>
          <w:i/>
          <w:iCs/>
          <w:sz w:val="24"/>
          <w:szCs w:val="24"/>
          <w:vertAlign w:val="subscript"/>
        </w:rPr>
        <w:t>bc</w:t>
      </w:r>
      <w:proofErr w:type="spellEnd"/>
      <w:r w:rsidRPr="00C26A9B">
        <w:rPr>
          <w:rFonts w:ascii="Times New Roman" w:hAnsi="Times New Roman" w:cs="Times New Roman"/>
          <w:i/>
          <w:iCs/>
          <w:sz w:val="24"/>
          <w:szCs w:val="24"/>
        </w:rPr>
        <w:t> </w:t>
      </w:r>
      <w:r w:rsidRPr="00C26A9B">
        <w:rPr>
          <w:rFonts w:ascii="Times New Roman" w:hAnsi="Times New Roman" w:cs="Times New Roman"/>
          <w:sz w:val="24"/>
          <w:szCs w:val="24"/>
        </w:rPr>
        <w:t>care se aplică agregării sensibilităților între diferite benzi este stabilit la:</w:t>
      </w:r>
    </w:p>
    <w:p w14:paraId="368D88FA" w14:textId="77777777" w:rsidR="00C26A9B" w:rsidRP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313.1. 20 % atunci când cele două benzi au numere de la 1 la 10;</w:t>
      </w:r>
    </w:p>
    <w:p w14:paraId="5455D6E2" w14:textId="6ECCAA20" w:rsidR="00C26A9B" w:rsidRDefault="00C26A9B" w:rsidP="00C26A9B">
      <w:pPr>
        <w:rPr>
          <w:rFonts w:ascii="Times New Roman" w:hAnsi="Times New Roman" w:cs="Times New Roman"/>
          <w:sz w:val="24"/>
          <w:szCs w:val="24"/>
        </w:rPr>
      </w:pPr>
      <w:r w:rsidRPr="00C26A9B">
        <w:rPr>
          <w:rFonts w:ascii="Times New Roman" w:hAnsi="Times New Roman" w:cs="Times New Roman"/>
          <w:sz w:val="24"/>
          <w:szCs w:val="24"/>
        </w:rPr>
        <w:t>313.2. 0 % atunci când oricare dintre cele două benzi are numărul 11.</w:t>
      </w:r>
    </w:p>
    <w:p w14:paraId="6CE10818" w14:textId="10007E3A" w:rsidR="002E0F8F" w:rsidRDefault="002E0F8F" w:rsidP="00C26A9B">
      <w:pPr>
        <w:rPr>
          <w:rFonts w:ascii="Times New Roman" w:hAnsi="Times New Roman" w:cs="Times New Roman"/>
          <w:b/>
          <w:bCs/>
          <w:sz w:val="24"/>
          <w:szCs w:val="24"/>
        </w:rPr>
      </w:pPr>
      <w:bookmarkStart w:id="47" w:name="_Hlk195098293"/>
      <w:r w:rsidRPr="002E0F8F">
        <w:rPr>
          <w:rFonts w:ascii="Times New Roman" w:hAnsi="Times New Roman" w:cs="Times New Roman"/>
          <w:i/>
          <w:iCs/>
          <w:sz w:val="24"/>
          <w:szCs w:val="24"/>
        </w:rPr>
        <w:t xml:space="preserve">Paragraful 18. </w:t>
      </w:r>
      <w:r w:rsidRPr="002E0F8F">
        <w:rPr>
          <w:rFonts w:ascii="Times New Roman" w:hAnsi="Times New Roman" w:cs="Times New Roman"/>
          <w:b/>
          <w:bCs/>
          <w:sz w:val="24"/>
          <w:szCs w:val="24"/>
        </w:rPr>
        <w:t>Ponderile de risc pentru riscul valutar</w:t>
      </w:r>
      <w:bookmarkEnd w:id="47"/>
    </w:p>
    <w:p w14:paraId="79FB4E66" w14:textId="6CDE908A" w:rsidR="00544B50" w:rsidRDefault="00544B50" w:rsidP="00C26A9B">
      <w:pPr>
        <w:rPr>
          <w:rFonts w:ascii="Times New Roman" w:hAnsi="Times New Roman" w:cs="Times New Roman"/>
          <w:sz w:val="24"/>
          <w:szCs w:val="24"/>
        </w:rPr>
      </w:pPr>
      <w:r w:rsidRPr="00544B50">
        <w:rPr>
          <w:rFonts w:ascii="Times New Roman" w:hAnsi="Times New Roman" w:cs="Times New Roman"/>
          <w:sz w:val="24"/>
          <w:szCs w:val="24"/>
        </w:rPr>
        <w:t>314.  Tuturor sensibilităților la factorii de risc valutar li se aplică o pondere de risc de 15 %.</w:t>
      </w:r>
    </w:p>
    <w:p w14:paraId="0E0CA512" w14:textId="77777777" w:rsidR="002B0060" w:rsidRPr="00101345" w:rsidRDefault="002B0060" w:rsidP="002B0060">
      <w:pPr>
        <w:rPr>
          <w:rFonts w:ascii="Times New Roman" w:hAnsi="Times New Roman" w:cs="Times New Roman"/>
          <w:sz w:val="24"/>
          <w:szCs w:val="24"/>
        </w:rPr>
      </w:pPr>
      <w:r w:rsidRPr="00101345">
        <w:rPr>
          <w:rFonts w:ascii="Times New Roman" w:hAnsi="Times New Roman" w:cs="Times New Roman"/>
          <w:sz w:val="24"/>
          <w:szCs w:val="24"/>
        </w:rPr>
        <w:t>315. Ponderea de risc aferentă factorilor de risc valutar în ceea ce privește perechile de monede formate din euro și moneda unui stat membru care participă la cea de a doua etapă a uniunii economice și monetare (MCS II) este una dintre următoarele:</w:t>
      </w:r>
    </w:p>
    <w:p w14:paraId="16256E2C" w14:textId="41A91CF8" w:rsidR="002B0060" w:rsidRPr="00101345" w:rsidRDefault="002B0060" w:rsidP="002B0060">
      <w:pPr>
        <w:rPr>
          <w:rFonts w:ascii="Times New Roman" w:hAnsi="Times New Roman" w:cs="Times New Roman"/>
          <w:sz w:val="24"/>
          <w:szCs w:val="24"/>
        </w:rPr>
      </w:pPr>
      <w:r w:rsidRPr="00101345">
        <w:rPr>
          <w:rFonts w:ascii="Times New Roman" w:hAnsi="Times New Roman" w:cs="Times New Roman"/>
          <w:sz w:val="24"/>
          <w:szCs w:val="24"/>
        </w:rPr>
        <w:t xml:space="preserve">315.1. ponderea de risc menționată la </w:t>
      </w:r>
      <w:r w:rsidR="007C7A1E" w:rsidRPr="00101345">
        <w:rPr>
          <w:rFonts w:ascii="Times New Roman" w:hAnsi="Times New Roman" w:cs="Times New Roman"/>
          <w:sz w:val="24"/>
          <w:szCs w:val="24"/>
        </w:rPr>
        <w:t>pct.314</w:t>
      </w:r>
      <w:r w:rsidRPr="00101345">
        <w:rPr>
          <w:rFonts w:ascii="Times New Roman" w:hAnsi="Times New Roman" w:cs="Times New Roman"/>
          <w:sz w:val="24"/>
          <w:szCs w:val="24"/>
        </w:rPr>
        <w:t xml:space="preserve"> împărțită la 3;</w:t>
      </w:r>
    </w:p>
    <w:p w14:paraId="37B3F6B7" w14:textId="35003E2A" w:rsidR="002B0060" w:rsidRPr="00101345" w:rsidRDefault="002B0060" w:rsidP="002B0060">
      <w:pPr>
        <w:rPr>
          <w:rFonts w:ascii="Times New Roman" w:hAnsi="Times New Roman" w:cs="Times New Roman"/>
          <w:sz w:val="24"/>
          <w:szCs w:val="24"/>
        </w:rPr>
      </w:pPr>
      <w:r w:rsidRPr="00101345">
        <w:rPr>
          <w:rFonts w:ascii="Times New Roman" w:hAnsi="Times New Roman" w:cs="Times New Roman"/>
          <w:sz w:val="24"/>
          <w:szCs w:val="24"/>
        </w:rPr>
        <w:t>315.2. fluctuația maximă în cadrul intervalului de fluctuație convenit oficial de statul membru și de Banca Centrală Europeană, dacă intervalul de fluctuație respectiv este mai îngust decât intervalul de fluctuație definit în cadrul MCS II.</w:t>
      </w:r>
    </w:p>
    <w:p w14:paraId="4DA296BF" w14:textId="0E618283" w:rsidR="002B0060" w:rsidRPr="00101345" w:rsidRDefault="002B0060" w:rsidP="002B0060">
      <w:pPr>
        <w:rPr>
          <w:rFonts w:ascii="Times New Roman" w:hAnsi="Times New Roman" w:cs="Times New Roman"/>
          <w:sz w:val="24"/>
          <w:szCs w:val="24"/>
        </w:rPr>
      </w:pPr>
      <w:r w:rsidRPr="00101345">
        <w:rPr>
          <w:rFonts w:ascii="Times New Roman" w:hAnsi="Times New Roman" w:cs="Times New Roman"/>
          <w:sz w:val="24"/>
          <w:szCs w:val="24"/>
        </w:rPr>
        <w:t>316.   În pofida</w:t>
      </w:r>
      <w:r w:rsidR="002F6432">
        <w:rPr>
          <w:rFonts w:ascii="Times New Roman" w:hAnsi="Times New Roman" w:cs="Times New Roman"/>
          <w:sz w:val="24"/>
          <w:szCs w:val="24"/>
        </w:rPr>
        <w:t xml:space="preserve"> </w:t>
      </w:r>
      <w:r w:rsidRPr="00101345">
        <w:rPr>
          <w:rFonts w:ascii="Times New Roman" w:hAnsi="Times New Roman" w:cs="Times New Roman"/>
          <w:sz w:val="24"/>
          <w:szCs w:val="24"/>
        </w:rPr>
        <w:t>pct.315, ponderea de risc aferentă factorilor de risc valutar în ceea ce privește monedele menționate la pct.315 care participă la MCS II cu un interval de fluctuație convenit în mod oficial mai îngust decât intervalul standard de plus sau minus 15 % este egală cu fluctuația procentuală maximă în acest interval mai îngust.</w:t>
      </w:r>
    </w:p>
    <w:p w14:paraId="56A6D1D3" w14:textId="0FC92825" w:rsidR="002B0060" w:rsidRPr="00101345" w:rsidRDefault="002B0060" w:rsidP="002B0060">
      <w:pPr>
        <w:rPr>
          <w:rFonts w:ascii="Times New Roman" w:hAnsi="Times New Roman" w:cs="Times New Roman"/>
          <w:sz w:val="24"/>
          <w:szCs w:val="24"/>
        </w:rPr>
      </w:pPr>
      <w:r w:rsidRPr="00101345">
        <w:rPr>
          <w:rFonts w:ascii="Times New Roman" w:hAnsi="Times New Roman" w:cs="Times New Roman"/>
          <w:sz w:val="24"/>
          <w:szCs w:val="24"/>
        </w:rPr>
        <w:lastRenderedPageBreak/>
        <w:t xml:space="preserve">317.  Ponderea de risc aferentă factorilor de risc valutar incluși în subcategoria celor mai lichide perechi de monede menționată la </w:t>
      </w:r>
      <w:r w:rsidR="001F12E8" w:rsidRPr="00101345">
        <w:rPr>
          <w:rFonts w:ascii="Times New Roman" w:hAnsi="Times New Roman" w:cs="Times New Roman"/>
          <w:sz w:val="24"/>
          <w:szCs w:val="24"/>
        </w:rPr>
        <w:t>pct.361.3</w:t>
      </w:r>
      <w:r w:rsidRPr="00101345">
        <w:rPr>
          <w:rFonts w:ascii="Times New Roman" w:hAnsi="Times New Roman" w:cs="Times New Roman"/>
          <w:sz w:val="24"/>
          <w:szCs w:val="24"/>
        </w:rPr>
        <w:t xml:space="preserve"> este ponderea de risc menționată la pct.314 împărțită la √2.</w:t>
      </w:r>
    </w:p>
    <w:p w14:paraId="1176C4E6" w14:textId="1BE0B0C9" w:rsidR="002B0060" w:rsidRDefault="002B0060" w:rsidP="002B0060">
      <w:pPr>
        <w:rPr>
          <w:rFonts w:ascii="Times New Roman" w:hAnsi="Times New Roman" w:cs="Times New Roman"/>
          <w:sz w:val="24"/>
          <w:szCs w:val="24"/>
        </w:rPr>
      </w:pPr>
      <w:r w:rsidRPr="00101345">
        <w:rPr>
          <w:rFonts w:ascii="Times New Roman" w:hAnsi="Times New Roman" w:cs="Times New Roman"/>
          <w:sz w:val="24"/>
          <w:szCs w:val="24"/>
        </w:rPr>
        <w:t>318.   În cazul în care datele privind ratele de schimb zilnice pe ultimii trei ani arată că o pereche de monede formată din euro și moneda, alta decât euro, a unui stat membru este constantă și că banca poate face față oricând unui </w:t>
      </w:r>
      <w:proofErr w:type="spellStart"/>
      <w:r w:rsidRPr="00101345">
        <w:rPr>
          <w:rFonts w:ascii="Times New Roman" w:hAnsi="Times New Roman" w:cs="Times New Roman"/>
          <w:i/>
          <w:iCs/>
          <w:sz w:val="24"/>
          <w:szCs w:val="24"/>
        </w:rPr>
        <w:t>spread</w:t>
      </w:r>
      <w:proofErr w:type="spellEnd"/>
      <w:r w:rsidRPr="00101345">
        <w:rPr>
          <w:rFonts w:ascii="Times New Roman" w:hAnsi="Times New Roman" w:cs="Times New Roman"/>
          <w:sz w:val="24"/>
          <w:szCs w:val="24"/>
        </w:rPr>
        <w:t> zero între cotațiile „</w:t>
      </w:r>
      <w:proofErr w:type="spellStart"/>
      <w:r w:rsidRPr="00101345">
        <w:rPr>
          <w:rFonts w:ascii="Times New Roman" w:hAnsi="Times New Roman" w:cs="Times New Roman"/>
          <w:sz w:val="24"/>
          <w:szCs w:val="24"/>
        </w:rPr>
        <w:t>bid</w:t>
      </w:r>
      <w:proofErr w:type="spellEnd"/>
      <w:r w:rsidRPr="00101345">
        <w:rPr>
          <w:rFonts w:ascii="Times New Roman" w:hAnsi="Times New Roman" w:cs="Times New Roman"/>
          <w:sz w:val="24"/>
          <w:szCs w:val="24"/>
        </w:rPr>
        <w:t>” și „</w:t>
      </w:r>
      <w:proofErr w:type="spellStart"/>
      <w:r w:rsidRPr="00101345">
        <w:rPr>
          <w:rFonts w:ascii="Times New Roman" w:hAnsi="Times New Roman" w:cs="Times New Roman"/>
          <w:sz w:val="24"/>
          <w:szCs w:val="24"/>
        </w:rPr>
        <w:t>ask</w:t>
      </w:r>
      <w:proofErr w:type="spellEnd"/>
      <w:r w:rsidRPr="00101345">
        <w:rPr>
          <w:rFonts w:ascii="Times New Roman" w:hAnsi="Times New Roman" w:cs="Times New Roman"/>
          <w:sz w:val="24"/>
          <w:szCs w:val="24"/>
        </w:rPr>
        <w:t>” pe tranzacțiile respective legate de perechea de monede respectivă, banca poate aplica ponderea de risc menționată la pct.314 împărțită la 2, cu condiția deținerii aprobării explicite a BNM de a face acest lucru.</w:t>
      </w:r>
    </w:p>
    <w:p w14:paraId="65325E92" w14:textId="45A7FE83" w:rsidR="00221680" w:rsidRDefault="00221680" w:rsidP="002B0060">
      <w:pPr>
        <w:rPr>
          <w:rFonts w:ascii="Times New Roman" w:hAnsi="Times New Roman" w:cs="Times New Roman"/>
          <w:b/>
          <w:bCs/>
          <w:sz w:val="24"/>
          <w:szCs w:val="24"/>
        </w:rPr>
      </w:pPr>
      <w:bookmarkStart w:id="48" w:name="_Hlk195098317"/>
      <w:r w:rsidRPr="00221680">
        <w:rPr>
          <w:rFonts w:ascii="Times New Roman" w:hAnsi="Times New Roman" w:cs="Times New Roman"/>
          <w:i/>
          <w:iCs/>
          <w:sz w:val="24"/>
          <w:szCs w:val="24"/>
        </w:rPr>
        <w:t xml:space="preserve">Paragraful 19. </w:t>
      </w:r>
      <w:r w:rsidRPr="00221680">
        <w:rPr>
          <w:rFonts w:ascii="Times New Roman" w:hAnsi="Times New Roman" w:cs="Times New Roman"/>
          <w:b/>
          <w:bCs/>
          <w:sz w:val="24"/>
          <w:szCs w:val="24"/>
        </w:rPr>
        <w:t>Corelațiile pentru riscul valutar</w:t>
      </w:r>
      <w:bookmarkEnd w:id="48"/>
    </w:p>
    <w:p w14:paraId="38656A50" w14:textId="511FEDE2" w:rsidR="00221680" w:rsidRPr="00411539" w:rsidRDefault="00221680" w:rsidP="002B0060">
      <w:pPr>
        <w:rPr>
          <w:rFonts w:ascii="Times New Roman" w:hAnsi="Times New Roman" w:cs="Times New Roman"/>
          <w:sz w:val="24"/>
          <w:szCs w:val="24"/>
        </w:rPr>
      </w:pPr>
      <w:r w:rsidRPr="00411539">
        <w:rPr>
          <w:rFonts w:ascii="Times New Roman" w:hAnsi="Times New Roman" w:cs="Times New Roman"/>
          <w:sz w:val="24"/>
          <w:szCs w:val="24"/>
        </w:rPr>
        <w:t>319. La agregarea sensibilităților la factori de risc valutar se aplică un parametru de corelație uniform </w:t>
      </w:r>
      <w:r w:rsidRPr="00221680">
        <w:rPr>
          <w:rFonts w:ascii="Times New Roman" w:hAnsi="Times New Roman" w:cs="Times New Roman"/>
          <w:i/>
          <w:iCs/>
          <w:sz w:val="24"/>
          <w:szCs w:val="24"/>
          <w:lang w:val="en-US"/>
        </w:rPr>
        <w:t>γ</w:t>
      </w:r>
      <w:proofErr w:type="spellStart"/>
      <w:r w:rsidRPr="00411539">
        <w:rPr>
          <w:rFonts w:ascii="Times New Roman" w:hAnsi="Times New Roman" w:cs="Times New Roman"/>
          <w:i/>
          <w:iCs/>
          <w:sz w:val="24"/>
          <w:szCs w:val="24"/>
          <w:vertAlign w:val="subscript"/>
        </w:rPr>
        <w:t>bc</w:t>
      </w:r>
      <w:proofErr w:type="spellEnd"/>
      <w:r w:rsidRPr="00411539">
        <w:rPr>
          <w:rFonts w:ascii="Times New Roman" w:hAnsi="Times New Roman" w:cs="Times New Roman"/>
          <w:i/>
          <w:iCs/>
          <w:sz w:val="24"/>
          <w:szCs w:val="24"/>
        </w:rPr>
        <w:t> </w:t>
      </w:r>
      <w:r w:rsidRPr="00411539">
        <w:rPr>
          <w:rFonts w:ascii="Times New Roman" w:hAnsi="Times New Roman" w:cs="Times New Roman"/>
          <w:sz w:val="24"/>
          <w:szCs w:val="24"/>
        </w:rPr>
        <w:t>egal cu 60 %.</w:t>
      </w:r>
    </w:p>
    <w:p w14:paraId="1533F601" w14:textId="08C8F5C7" w:rsidR="00221680" w:rsidRPr="00CC1E9B" w:rsidRDefault="00221680" w:rsidP="00221680">
      <w:pPr>
        <w:rPr>
          <w:rFonts w:ascii="Times New Roman" w:hAnsi="Times New Roman" w:cs="Times New Roman"/>
          <w:b/>
          <w:bCs/>
          <w:i/>
          <w:iCs/>
          <w:sz w:val="24"/>
          <w:szCs w:val="24"/>
        </w:rPr>
      </w:pPr>
      <w:bookmarkStart w:id="49" w:name="_Hlk195098342"/>
      <w:r w:rsidRPr="00CC1E9B">
        <w:rPr>
          <w:rFonts w:ascii="Times New Roman" w:hAnsi="Times New Roman" w:cs="Times New Roman"/>
          <w:b/>
          <w:bCs/>
          <w:i/>
          <w:iCs/>
          <w:sz w:val="24"/>
          <w:szCs w:val="24"/>
        </w:rPr>
        <w:t xml:space="preserve">Subsecțiunea 2. Ponderile de risc și corelațiile pentru riscul </w:t>
      </w:r>
      <w:proofErr w:type="spellStart"/>
      <w:r w:rsidRPr="00CC1E9B">
        <w:rPr>
          <w:rFonts w:ascii="Times New Roman" w:hAnsi="Times New Roman" w:cs="Times New Roman"/>
          <w:b/>
          <w:bCs/>
          <w:i/>
          <w:iCs/>
          <w:sz w:val="24"/>
          <w:szCs w:val="24"/>
        </w:rPr>
        <w:t>vega</w:t>
      </w:r>
      <w:proofErr w:type="spellEnd"/>
      <w:r w:rsidRPr="00CC1E9B">
        <w:rPr>
          <w:rFonts w:ascii="Times New Roman" w:hAnsi="Times New Roman" w:cs="Times New Roman"/>
          <w:b/>
          <w:bCs/>
          <w:i/>
          <w:iCs/>
          <w:sz w:val="24"/>
          <w:szCs w:val="24"/>
        </w:rPr>
        <w:t xml:space="preserve"> și riscul de curbură</w:t>
      </w:r>
    </w:p>
    <w:p w14:paraId="060BF868" w14:textId="057136A5" w:rsidR="00221680" w:rsidRDefault="00221680" w:rsidP="00221680">
      <w:pPr>
        <w:rPr>
          <w:rFonts w:ascii="Times New Roman" w:hAnsi="Times New Roman" w:cs="Times New Roman"/>
          <w:b/>
          <w:bCs/>
          <w:sz w:val="24"/>
          <w:szCs w:val="24"/>
        </w:rPr>
      </w:pPr>
      <w:r w:rsidRPr="00221680">
        <w:rPr>
          <w:rFonts w:ascii="Times New Roman" w:hAnsi="Times New Roman" w:cs="Times New Roman"/>
          <w:i/>
          <w:iCs/>
          <w:sz w:val="24"/>
          <w:szCs w:val="24"/>
        </w:rPr>
        <w:t xml:space="preserve">Paragraful 1. </w:t>
      </w:r>
      <w:r w:rsidRPr="00221680">
        <w:rPr>
          <w:rFonts w:ascii="Times New Roman" w:hAnsi="Times New Roman" w:cs="Times New Roman"/>
          <w:b/>
          <w:bCs/>
          <w:sz w:val="24"/>
          <w:szCs w:val="24"/>
        </w:rPr>
        <w:t xml:space="preserve">Ponderile de risc pentru riscul </w:t>
      </w:r>
      <w:proofErr w:type="spellStart"/>
      <w:r w:rsidRPr="00221680">
        <w:rPr>
          <w:rFonts w:ascii="Times New Roman" w:hAnsi="Times New Roman" w:cs="Times New Roman"/>
          <w:b/>
          <w:bCs/>
          <w:sz w:val="24"/>
          <w:szCs w:val="24"/>
        </w:rPr>
        <w:t>vega</w:t>
      </w:r>
      <w:proofErr w:type="spellEnd"/>
      <w:r w:rsidRPr="00221680">
        <w:rPr>
          <w:rFonts w:ascii="Times New Roman" w:hAnsi="Times New Roman" w:cs="Times New Roman"/>
          <w:b/>
          <w:bCs/>
          <w:sz w:val="24"/>
          <w:szCs w:val="24"/>
        </w:rPr>
        <w:t xml:space="preserve"> și riscul de curbură</w:t>
      </w:r>
      <w:bookmarkEnd w:id="49"/>
    </w:p>
    <w:p w14:paraId="55E1B24D" w14:textId="5C0B1D96" w:rsidR="00221680" w:rsidRDefault="00221680" w:rsidP="00221680">
      <w:pPr>
        <w:rPr>
          <w:rFonts w:ascii="Times New Roman" w:hAnsi="Times New Roman" w:cs="Times New Roman"/>
          <w:sz w:val="24"/>
          <w:szCs w:val="24"/>
        </w:rPr>
      </w:pPr>
      <w:r w:rsidRPr="00221680">
        <w:rPr>
          <w:rFonts w:ascii="Times New Roman" w:hAnsi="Times New Roman" w:cs="Times New Roman"/>
          <w:sz w:val="24"/>
          <w:szCs w:val="24"/>
        </w:rPr>
        <w:t xml:space="preserve">320.   Benzile pentru factorii de risc </w:t>
      </w:r>
      <w:proofErr w:type="spellStart"/>
      <w:r w:rsidRPr="00221680">
        <w:rPr>
          <w:rFonts w:ascii="Times New Roman" w:hAnsi="Times New Roman" w:cs="Times New Roman"/>
          <w:sz w:val="24"/>
          <w:szCs w:val="24"/>
        </w:rPr>
        <w:t>vega</w:t>
      </w:r>
      <w:proofErr w:type="spellEnd"/>
      <w:r w:rsidRPr="00221680">
        <w:rPr>
          <w:rFonts w:ascii="Times New Roman" w:hAnsi="Times New Roman" w:cs="Times New Roman"/>
          <w:sz w:val="24"/>
          <w:szCs w:val="24"/>
        </w:rPr>
        <w:t xml:space="preserve"> sunt similare cu benzile stabilite pentru factorii de risc delta în conformitate cu secțiunea 3 subsecțiunea 1.</w:t>
      </w:r>
    </w:p>
    <w:p w14:paraId="4892BF50" w14:textId="77777777" w:rsidR="00221680" w:rsidRPr="00221680" w:rsidRDefault="00221680" w:rsidP="00221680">
      <w:pPr>
        <w:rPr>
          <w:rFonts w:ascii="Times New Roman" w:hAnsi="Times New Roman" w:cs="Times New Roman"/>
          <w:sz w:val="24"/>
          <w:szCs w:val="24"/>
        </w:rPr>
      </w:pPr>
      <w:r w:rsidRPr="00221680">
        <w:rPr>
          <w:rFonts w:ascii="Times New Roman" w:hAnsi="Times New Roman" w:cs="Times New Roman"/>
          <w:sz w:val="24"/>
          <w:szCs w:val="24"/>
        </w:rPr>
        <w:t xml:space="preserve">321.   Ponderile de risc pentru sensibilitățile la factorii de risc </w:t>
      </w:r>
      <w:proofErr w:type="spellStart"/>
      <w:r w:rsidRPr="00221680">
        <w:rPr>
          <w:rFonts w:ascii="Times New Roman" w:hAnsi="Times New Roman" w:cs="Times New Roman"/>
          <w:sz w:val="24"/>
          <w:szCs w:val="24"/>
        </w:rPr>
        <w:t>vega</w:t>
      </w:r>
      <w:proofErr w:type="spellEnd"/>
      <w:r w:rsidRPr="00221680">
        <w:rPr>
          <w:rFonts w:ascii="Times New Roman" w:hAnsi="Times New Roman" w:cs="Times New Roman"/>
          <w:sz w:val="24"/>
          <w:szCs w:val="24"/>
        </w:rPr>
        <w:t xml:space="preserve"> se atribuie conform clasei de risc a factorilor de risc, după cum urmează:</w:t>
      </w:r>
    </w:p>
    <w:p w14:paraId="40C22B5E" w14:textId="77777777" w:rsidR="00221680" w:rsidRPr="00CC1E9B" w:rsidRDefault="00221680" w:rsidP="00221680">
      <w:pPr>
        <w:rPr>
          <w:rFonts w:ascii="Times New Roman" w:hAnsi="Times New Roman" w:cs="Times New Roman"/>
          <w:b/>
          <w:bCs/>
          <w:i/>
          <w:iCs/>
          <w:sz w:val="24"/>
          <w:szCs w:val="24"/>
        </w:rPr>
      </w:pPr>
      <w:r w:rsidRPr="00CC1E9B">
        <w:rPr>
          <w:rFonts w:ascii="Times New Roman" w:hAnsi="Times New Roman" w:cs="Times New Roman"/>
          <w:b/>
          <w:bCs/>
          <w:i/>
          <w:iCs/>
          <w:sz w:val="24"/>
          <w:szCs w:val="24"/>
        </w:rPr>
        <w:t>Tabelul 1</w:t>
      </w:r>
    </w:p>
    <w:tbl>
      <w:tblPr>
        <w:tblW w:w="879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797"/>
        <w:gridCol w:w="993"/>
      </w:tblGrid>
      <w:tr w:rsidR="00221680" w:rsidRPr="00221680" w14:paraId="752DBC66" w14:textId="77777777" w:rsidTr="00221680">
        <w:trPr>
          <w:jc w:val="center"/>
        </w:trPr>
        <w:tc>
          <w:tcPr>
            <w:tcW w:w="7797" w:type="dxa"/>
            <w:tcBorders>
              <w:top w:val="outset" w:sz="6" w:space="0" w:color="auto"/>
              <w:left w:val="outset" w:sz="6" w:space="0" w:color="auto"/>
              <w:bottom w:val="outset" w:sz="6" w:space="0" w:color="auto"/>
              <w:right w:val="outset" w:sz="6" w:space="0" w:color="auto"/>
            </w:tcBorders>
            <w:hideMark/>
          </w:tcPr>
          <w:p w14:paraId="78E69923" w14:textId="77777777" w:rsidR="00221680" w:rsidRPr="00221680" w:rsidRDefault="00221680" w:rsidP="00221680">
            <w:pPr>
              <w:rPr>
                <w:rFonts w:ascii="Times New Roman" w:hAnsi="Times New Roman" w:cs="Times New Roman"/>
                <w:b/>
                <w:bCs/>
                <w:sz w:val="24"/>
                <w:szCs w:val="24"/>
              </w:rPr>
            </w:pPr>
            <w:r w:rsidRPr="00221680">
              <w:rPr>
                <w:rFonts w:ascii="Times New Roman" w:hAnsi="Times New Roman" w:cs="Times New Roman"/>
                <w:b/>
                <w:bCs/>
                <w:sz w:val="24"/>
                <w:szCs w:val="24"/>
              </w:rPr>
              <w:t>Clasa de risc</w:t>
            </w:r>
          </w:p>
        </w:tc>
        <w:tc>
          <w:tcPr>
            <w:tcW w:w="993" w:type="dxa"/>
            <w:tcBorders>
              <w:top w:val="outset" w:sz="6" w:space="0" w:color="auto"/>
              <w:left w:val="outset" w:sz="6" w:space="0" w:color="auto"/>
              <w:bottom w:val="outset" w:sz="6" w:space="0" w:color="auto"/>
              <w:right w:val="outset" w:sz="6" w:space="0" w:color="auto"/>
            </w:tcBorders>
            <w:hideMark/>
          </w:tcPr>
          <w:p w14:paraId="418DBA38" w14:textId="77777777" w:rsidR="00221680" w:rsidRPr="00221680" w:rsidRDefault="00221680" w:rsidP="00221680">
            <w:pPr>
              <w:rPr>
                <w:rFonts w:ascii="Times New Roman" w:hAnsi="Times New Roman" w:cs="Times New Roman"/>
                <w:b/>
                <w:bCs/>
                <w:sz w:val="24"/>
                <w:szCs w:val="24"/>
              </w:rPr>
            </w:pPr>
            <w:r w:rsidRPr="00221680">
              <w:rPr>
                <w:rFonts w:ascii="Times New Roman" w:hAnsi="Times New Roman" w:cs="Times New Roman"/>
                <w:b/>
                <w:bCs/>
                <w:sz w:val="24"/>
                <w:szCs w:val="24"/>
              </w:rPr>
              <w:t>Ponderi de risc</w:t>
            </w:r>
          </w:p>
        </w:tc>
      </w:tr>
      <w:tr w:rsidR="00221680" w:rsidRPr="00221680" w14:paraId="4EC70ECE" w14:textId="77777777" w:rsidTr="00221680">
        <w:trPr>
          <w:jc w:val="center"/>
        </w:trPr>
        <w:tc>
          <w:tcPr>
            <w:tcW w:w="7797" w:type="dxa"/>
            <w:tcBorders>
              <w:top w:val="outset" w:sz="6" w:space="0" w:color="auto"/>
              <w:left w:val="outset" w:sz="6" w:space="0" w:color="auto"/>
              <w:bottom w:val="outset" w:sz="6" w:space="0" w:color="auto"/>
              <w:right w:val="outset" w:sz="6" w:space="0" w:color="auto"/>
            </w:tcBorders>
            <w:hideMark/>
          </w:tcPr>
          <w:p w14:paraId="76A18EE3" w14:textId="77777777" w:rsidR="00221680" w:rsidRPr="00221680" w:rsidRDefault="00221680" w:rsidP="00221680">
            <w:pPr>
              <w:rPr>
                <w:rFonts w:ascii="Times New Roman" w:hAnsi="Times New Roman" w:cs="Times New Roman"/>
                <w:sz w:val="24"/>
                <w:szCs w:val="24"/>
              </w:rPr>
            </w:pPr>
            <w:r w:rsidRPr="00221680">
              <w:rPr>
                <w:rFonts w:ascii="Times New Roman" w:hAnsi="Times New Roman" w:cs="Times New Roman"/>
                <w:sz w:val="24"/>
                <w:szCs w:val="24"/>
              </w:rPr>
              <w:t>GIRR</w:t>
            </w:r>
          </w:p>
        </w:tc>
        <w:tc>
          <w:tcPr>
            <w:tcW w:w="993" w:type="dxa"/>
            <w:tcBorders>
              <w:top w:val="outset" w:sz="6" w:space="0" w:color="auto"/>
              <w:left w:val="outset" w:sz="6" w:space="0" w:color="auto"/>
              <w:bottom w:val="outset" w:sz="6" w:space="0" w:color="auto"/>
              <w:right w:val="outset" w:sz="6" w:space="0" w:color="auto"/>
            </w:tcBorders>
            <w:hideMark/>
          </w:tcPr>
          <w:p w14:paraId="2EF381CB" w14:textId="77777777" w:rsidR="00221680" w:rsidRPr="00221680" w:rsidRDefault="00221680" w:rsidP="00221680">
            <w:pPr>
              <w:rPr>
                <w:rFonts w:ascii="Times New Roman" w:hAnsi="Times New Roman" w:cs="Times New Roman"/>
                <w:sz w:val="24"/>
                <w:szCs w:val="24"/>
              </w:rPr>
            </w:pPr>
            <w:r w:rsidRPr="00221680">
              <w:rPr>
                <w:rFonts w:ascii="Times New Roman" w:hAnsi="Times New Roman" w:cs="Times New Roman"/>
                <w:sz w:val="24"/>
                <w:szCs w:val="24"/>
              </w:rPr>
              <w:t>100 %</w:t>
            </w:r>
          </w:p>
        </w:tc>
      </w:tr>
      <w:tr w:rsidR="00221680" w:rsidRPr="00221680" w14:paraId="16056301" w14:textId="77777777" w:rsidTr="00221680">
        <w:trPr>
          <w:jc w:val="center"/>
        </w:trPr>
        <w:tc>
          <w:tcPr>
            <w:tcW w:w="7797" w:type="dxa"/>
            <w:tcBorders>
              <w:top w:val="outset" w:sz="6" w:space="0" w:color="auto"/>
              <w:left w:val="outset" w:sz="6" w:space="0" w:color="auto"/>
              <w:bottom w:val="outset" w:sz="6" w:space="0" w:color="auto"/>
              <w:right w:val="outset" w:sz="6" w:space="0" w:color="auto"/>
            </w:tcBorders>
            <w:hideMark/>
          </w:tcPr>
          <w:p w14:paraId="458FC84E" w14:textId="77777777" w:rsidR="00221680" w:rsidRPr="00221680" w:rsidRDefault="00221680" w:rsidP="00221680">
            <w:pPr>
              <w:rPr>
                <w:rFonts w:ascii="Times New Roman" w:hAnsi="Times New Roman" w:cs="Times New Roman"/>
                <w:sz w:val="24"/>
                <w:szCs w:val="24"/>
              </w:rPr>
            </w:pPr>
            <w:r w:rsidRPr="00221680">
              <w:rPr>
                <w:rFonts w:ascii="Times New Roman" w:hAnsi="Times New Roman" w:cs="Times New Roman"/>
                <w:sz w:val="24"/>
                <w:szCs w:val="24"/>
              </w:rPr>
              <w:t>Riscul de marjă de credit (</w:t>
            </w:r>
            <w:r w:rsidRPr="00221680">
              <w:rPr>
                <w:rFonts w:ascii="Times New Roman" w:hAnsi="Times New Roman" w:cs="Times New Roman"/>
                <w:i/>
                <w:iCs/>
                <w:sz w:val="24"/>
                <w:szCs w:val="24"/>
              </w:rPr>
              <w:t xml:space="preserve">credit </w:t>
            </w:r>
            <w:proofErr w:type="spellStart"/>
            <w:r w:rsidRPr="00221680">
              <w:rPr>
                <w:rFonts w:ascii="Times New Roman" w:hAnsi="Times New Roman" w:cs="Times New Roman"/>
                <w:i/>
                <w:iCs/>
                <w:sz w:val="24"/>
                <w:szCs w:val="24"/>
              </w:rPr>
              <w:t>spread</w:t>
            </w:r>
            <w:proofErr w:type="spellEnd"/>
            <w:r w:rsidRPr="00221680">
              <w:rPr>
                <w:rFonts w:ascii="Times New Roman" w:hAnsi="Times New Roman" w:cs="Times New Roman"/>
                <w:i/>
                <w:iCs/>
                <w:sz w:val="24"/>
                <w:szCs w:val="24"/>
              </w:rPr>
              <w:t xml:space="preserve"> </w:t>
            </w:r>
            <w:proofErr w:type="spellStart"/>
            <w:r w:rsidRPr="00221680">
              <w:rPr>
                <w:rFonts w:ascii="Times New Roman" w:hAnsi="Times New Roman" w:cs="Times New Roman"/>
                <w:i/>
                <w:iCs/>
                <w:sz w:val="24"/>
                <w:szCs w:val="24"/>
              </w:rPr>
              <w:t>risk</w:t>
            </w:r>
            <w:proofErr w:type="spellEnd"/>
            <w:r w:rsidRPr="00221680">
              <w:rPr>
                <w:rFonts w:ascii="Times New Roman" w:hAnsi="Times New Roman" w:cs="Times New Roman"/>
                <w:sz w:val="24"/>
                <w:szCs w:val="24"/>
              </w:rPr>
              <w:t> – CSR) pentru instrumente care nu sunt poziții din securitizare</w:t>
            </w:r>
          </w:p>
        </w:tc>
        <w:tc>
          <w:tcPr>
            <w:tcW w:w="993" w:type="dxa"/>
            <w:tcBorders>
              <w:top w:val="outset" w:sz="6" w:space="0" w:color="auto"/>
              <w:left w:val="outset" w:sz="6" w:space="0" w:color="auto"/>
              <w:bottom w:val="outset" w:sz="6" w:space="0" w:color="auto"/>
              <w:right w:val="outset" w:sz="6" w:space="0" w:color="auto"/>
            </w:tcBorders>
            <w:hideMark/>
          </w:tcPr>
          <w:p w14:paraId="38043F83" w14:textId="77777777" w:rsidR="00221680" w:rsidRPr="00221680" w:rsidRDefault="00221680" w:rsidP="00221680">
            <w:pPr>
              <w:rPr>
                <w:rFonts w:ascii="Times New Roman" w:hAnsi="Times New Roman" w:cs="Times New Roman"/>
                <w:sz w:val="24"/>
                <w:szCs w:val="24"/>
              </w:rPr>
            </w:pPr>
            <w:r w:rsidRPr="00221680">
              <w:rPr>
                <w:rFonts w:ascii="Times New Roman" w:hAnsi="Times New Roman" w:cs="Times New Roman"/>
                <w:sz w:val="24"/>
                <w:szCs w:val="24"/>
              </w:rPr>
              <w:t>100 %</w:t>
            </w:r>
          </w:p>
        </w:tc>
      </w:tr>
      <w:tr w:rsidR="00221680" w:rsidRPr="00221680" w14:paraId="3BE7201E" w14:textId="77777777" w:rsidTr="00221680">
        <w:trPr>
          <w:jc w:val="center"/>
        </w:trPr>
        <w:tc>
          <w:tcPr>
            <w:tcW w:w="7797" w:type="dxa"/>
            <w:tcBorders>
              <w:top w:val="outset" w:sz="6" w:space="0" w:color="auto"/>
              <w:left w:val="outset" w:sz="6" w:space="0" w:color="auto"/>
              <w:bottom w:val="outset" w:sz="6" w:space="0" w:color="auto"/>
              <w:right w:val="outset" w:sz="6" w:space="0" w:color="auto"/>
            </w:tcBorders>
            <w:hideMark/>
          </w:tcPr>
          <w:p w14:paraId="67B3CBBE" w14:textId="77777777" w:rsidR="00221680" w:rsidRPr="00221680" w:rsidRDefault="00221680" w:rsidP="00221680">
            <w:pPr>
              <w:rPr>
                <w:rFonts w:ascii="Times New Roman" w:hAnsi="Times New Roman" w:cs="Times New Roman"/>
                <w:sz w:val="24"/>
                <w:szCs w:val="24"/>
              </w:rPr>
            </w:pPr>
            <w:r w:rsidRPr="00221680">
              <w:rPr>
                <w:rFonts w:ascii="Times New Roman" w:hAnsi="Times New Roman" w:cs="Times New Roman"/>
                <w:sz w:val="24"/>
                <w:szCs w:val="24"/>
              </w:rPr>
              <w:t>CSR pentru securitizări (incluse în ACTP)</w:t>
            </w:r>
          </w:p>
        </w:tc>
        <w:tc>
          <w:tcPr>
            <w:tcW w:w="993" w:type="dxa"/>
            <w:tcBorders>
              <w:top w:val="outset" w:sz="6" w:space="0" w:color="auto"/>
              <w:left w:val="outset" w:sz="6" w:space="0" w:color="auto"/>
              <w:bottom w:val="outset" w:sz="6" w:space="0" w:color="auto"/>
              <w:right w:val="outset" w:sz="6" w:space="0" w:color="auto"/>
            </w:tcBorders>
            <w:hideMark/>
          </w:tcPr>
          <w:p w14:paraId="779C2292" w14:textId="77777777" w:rsidR="00221680" w:rsidRPr="00221680" w:rsidRDefault="00221680" w:rsidP="00221680">
            <w:pPr>
              <w:rPr>
                <w:rFonts w:ascii="Times New Roman" w:hAnsi="Times New Roman" w:cs="Times New Roman"/>
                <w:sz w:val="24"/>
                <w:szCs w:val="24"/>
              </w:rPr>
            </w:pPr>
            <w:r w:rsidRPr="00221680">
              <w:rPr>
                <w:rFonts w:ascii="Times New Roman" w:hAnsi="Times New Roman" w:cs="Times New Roman"/>
                <w:sz w:val="24"/>
                <w:szCs w:val="24"/>
              </w:rPr>
              <w:t>100 %</w:t>
            </w:r>
          </w:p>
        </w:tc>
      </w:tr>
      <w:tr w:rsidR="00221680" w:rsidRPr="00221680" w14:paraId="2870D44D" w14:textId="77777777" w:rsidTr="00221680">
        <w:trPr>
          <w:jc w:val="center"/>
        </w:trPr>
        <w:tc>
          <w:tcPr>
            <w:tcW w:w="7797" w:type="dxa"/>
            <w:tcBorders>
              <w:top w:val="outset" w:sz="6" w:space="0" w:color="auto"/>
              <w:left w:val="outset" w:sz="6" w:space="0" w:color="auto"/>
              <w:bottom w:val="outset" w:sz="6" w:space="0" w:color="auto"/>
              <w:right w:val="outset" w:sz="6" w:space="0" w:color="auto"/>
            </w:tcBorders>
            <w:hideMark/>
          </w:tcPr>
          <w:p w14:paraId="2CC7FA16" w14:textId="77777777" w:rsidR="00221680" w:rsidRPr="00221680" w:rsidRDefault="00221680" w:rsidP="00221680">
            <w:pPr>
              <w:rPr>
                <w:rFonts w:ascii="Times New Roman" w:hAnsi="Times New Roman" w:cs="Times New Roman"/>
                <w:sz w:val="24"/>
                <w:szCs w:val="24"/>
              </w:rPr>
            </w:pPr>
            <w:r w:rsidRPr="00221680">
              <w:rPr>
                <w:rFonts w:ascii="Times New Roman" w:hAnsi="Times New Roman" w:cs="Times New Roman"/>
                <w:sz w:val="24"/>
                <w:szCs w:val="24"/>
              </w:rPr>
              <w:t>CSR pentru securitizări (neincluse în ACTP)</w:t>
            </w:r>
          </w:p>
        </w:tc>
        <w:tc>
          <w:tcPr>
            <w:tcW w:w="993" w:type="dxa"/>
            <w:tcBorders>
              <w:top w:val="outset" w:sz="6" w:space="0" w:color="auto"/>
              <w:left w:val="outset" w:sz="6" w:space="0" w:color="auto"/>
              <w:bottom w:val="outset" w:sz="6" w:space="0" w:color="auto"/>
              <w:right w:val="outset" w:sz="6" w:space="0" w:color="auto"/>
            </w:tcBorders>
            <w:hideMark/>
          </w:tcPr>
          <w:p w14:paraId="0ED1FA02" w14:textId="77777777" w:rsidR="00221680" w:rsidRPr="00221680" w:rsidRDefault="00221680" w:rsidP="00221680">
            <w:pPr>
              <w:rPr>
                <w:rFonts w:ascii="Times New Roman" w:hAnsi="Times New Roman" w:cs="Times New Roman"/>
                <w:sz w:val="24"/>
                <w:szCs w:val="24"/>
              </w:rPr>
            </w:pPr>
            <w:r w:rsidRPr="00221680">
              <w:rPr>
                <w:rFonts w:ascii="Times New Roman" w:hAnsi="Times New Roman" w:cs="Times New Roman"/>
                <w:sz w:val="24"/>
                <w:szCs w:val="24"/>
              </w:rPr>
              <w:t>100 %</w:t>
            </w:r>
          </w:p>
        </w:tc>
      </w:tr>
      <w:tr w:rsidR="00221680" w:rsidRPr="00221680" w14:paraId="51CEBC4B" w14:textId="77777777" w:rsidTr="00221680">
        <w:trPr>
          <w:jc w:val="center"/>
        </w:trPr>
        <w:tc>
          <w:tcPr>
            <w:tcW w:w="7797" w:type="dxa"/>
            <w:tcBorders>
              <w:top w:val="outset" w:sz="6" w:space="0" w:color="auto"/>
              <w:left w:val="outset" w:sz="6" w:space="0" w:color="auto"/>
              <w:bottom w:val="outset" w:sz="6" w:space="0" w:color="auto"/>
              <w:right w:val="outset" w:sz="6" w:space="0" w:color="auto"/>
            </w:tcBorders>
            <w:hideMark/>
          </w:tcPr>
          <w:p w14:paraId="0B8D62F2" w14:textId="77777777" w:rsidR="00221680" w:rsidRPr="00221680" w:rsidRDefault="00221680" w:rsidP="00221680">
            <w:pPr>
              <w:rPr>
                <w:rFonts w:ascii="Times New Roman" w:hAnsi="Times New Roman" w:cs="Times New Roman"/>
                <w:sz w:val="24"/>
                <w:szCs w:val="24"/>
              </w:rPr>
            </w:pPr>
            <w:r w:rsidRPr="00221680">
              <w:rPr>
                <w:rFonts w:ascii="Times New Roman" w:hAnsi="Times New Roman" w:cs="Times New Roman"/>
                <w:sz w:val="24"/>
                <w:szCs w:val="24"/>
              </w:rPr>
              <w:t>Titluri de capital (capitalizare ridicată și indici)</w:t>
            </w:r>
          </w:p>
        </w:tc>
        <w:tc>
          <w:tcPr>
            <w:tcW w:w="993" w:type="dxa"/>
            <w:tcBorders>
              <w:top w:val="outset" w:sz="6" w:space="0" w:color="auto"/>
              <w:left w:val="outset" w:sz="6" w:space="0" w:color="auto"/>
              <w:bottom w:val="outset" w:sz="6" w:space="0" w:color="auto"/>
              <w:right w:val="outset" w:sz="6" w:space="0" w:color="auto"/>
            </w:tcBorders>
            <w:hideMark/>
          </w:tcPr>
          <w:p w14:paraId="4A1990A4" w14:textId="77777777" w:rsidR="00221680" w:rsidRPr="00221680" w:rsidRDefault="00221680" w:rsidP="00221680">
            <w:pPr>
              <w:rPr>
                <w:rFonts w:ascii="Times New Roman" w:hAnsi="Times New Roman" w:cs="Times New Roman"/>
                <w:sz w:val="24"/>
                <w:szCs w:val="24"/>
              </w:rPr>
            </w:pPr>
            <w:r w:rsidRPr="00221680">
              <w:rPr>
                <w:rFonts w:ascii="Times New Roman" w:hAnsi="Times New Roman" w:cs="Times New Roman"/>
                <w:sz w:val="24"/>
                <w:szCs w:val="24"/>
              </w:rPr>
              <w:t>77,78  %</w:t>
            </w:r>
          </w:p>
        </w:tc>
      </w:tr>
      <w:tr w:rsidR="00221680" w:rsidRPr="00221680" w14:paraId="64EAD3A6" w14:textId="77777777" w:rsidTr="00221680">
        <w:trPr>
          <w:jc w:val="center"/>
        </w:trPr>
        <w:tc>
          <w:tcPr>
            <w:tcW w:w="7797" w:type="dxa"/>
            <w:tcBorders>
              <w:top w:val="outset" w:sz="6" w:space="0" w:color="auto"/>
              <w:left w:val="outset" w:sz="6" w:space="0" w:color="auto"/>
              <w:bottom w:val="outset" w:sz="6" w:space="0" w:color="auto"/>
              <w:right w:val="outset" w:sz="6" w:space="0" w:color="auto"/>
            </w:tcBorders>
            <w:hideMark/>
          </w:tcPr>
          <w:p w14:paraId="031A657D" w14:textId="77777777" w:rsidR="00221680" w:rsidRPr="00221680" w:rsidRDefault="00221680" w:rsidP="00221680">
            <w:pPr>
              <w:rPr>
                <w:rFonts w:ascii="Times New Roman" w:hAnsi="Times New Roman" w:cs="Times New Roman"/>
                <w:sz w:val="24"/>
                <w:szCs w:val="24"/>
              </w:rPr>
            </w:pPr>
            <w:r w:rsidRPr="00221680">
              <w:rPr>
                <w:rFonts w:ascii="Times New Roman" w:hAnsi="Times New Roman" w:cs="Times New Roman"/>
                <w:sz w:val="24"/>
                <w:szCs w:val="24"/>
              </w:rPr>
              <w:t>Titluri de capital (capitalizare scăzută și alt sector)</w:t>
            </w:r>
          </w:p>
        </w:tc>
        <w:tc>
          <w:tcPr>
            <w:tcW w:w="993" w:type="dxa"/>
            <w:tcBorders>
              <w:top w:val="outset" w:sz="6" w:space="0" w:color="auto"/>
              <w:left w:val="outset" w:sz="6" w:space="0" w:color="auto"/>
              <w:bottom w:val="outset" w:sz="6" w:space="0" w:color="auto"/>
              <w:right w:val="outset" w:sz="6" w:space="0" w:color="auto"/>
            </w:tcBorders>
            <w:hideMark/>
          </w:tcPr>
          <w:p w14:paraId="26B41087" w14:textId="77777777" w:rsidR="00221680" w:rsidRPr="00221680" w:rsidRDefault="00221680" w:rsidP="00221680">
            <w:pPr>
              <w:rPr>
                <w:rFonts w:ascii="Times New Roman" w:hAnsi="Times New Roman" w:cs="Times New Roman"/>
                <w:sz w:val="24"/>
                <w:szCs w:val="24"/>
              </w:rPr>
            </w:pPr>
            <w:r w:rsidRPr="00221680">
              <w:rPr>
                <w:rFonts w:ascii="Times New Roman" w:hAnsi="Times New Roman" w:cs="Times New Roman"/>
                <w:sz w:val="24"/>
                <w:szCs w:val="24"/>
              </w:rPr>
              <w:t>100 %</w:t>
            </w:r>
          </w:p>
        </w:tc>
      </w:tr>
      <w:tr w:rsidR="00221680" w:rsidRPr="00221680" w14:paraId="57BB31CF" w14:textId="77777777" w:rsidTr="00221680">
        <w:trPr>
          <w:jc w:val="center"/>
        </w:trPr>
        <w:tc>
          <w:tcPr>
            <w:tcW w:w="7797" w:type="dxa"/>
            <w:tcBorders>
              <w:top w:val="outset" w:sz="6" w:space="0" w:color="auto"/>
              <w:left w:val="outset" w:sz="6" w:space="0" w:color="auto"/>
              <w:bottom w:val="outset" w:sz="6" w:space="0" w:color="auto"/>
              <w:right w:val="outset" w:sz="6" w:space="0" w:color="auto"/>
            </w:tcBorders>
            <w:hideMark/>
          </w:tcPr>
          <w:p w14:paraId="1FC67886" w14:textId="77777777" w:rsidR="00221680" w:rsidRPr="00221680" w:rsidRDefault="00221680" w:rsidP="00221680">
            <w:pPr>
              <w:rPr>
                <w:rFonts w:ascii="Times New Roman" w:hAnsi="Times New Roman" w:cs="Times New Roman"/>
                <w:sz w:val="24"/>
                <w:szCs w:val="24"/>
              </w:rPr>
            </w:pPr>
            <w:r w:rsidRPr="00221680">
              <w:rPr>
                <w:rFonts w:ascii="Times New Roman" w:hAnsi="Times New Roman" w:cs="Times New Roman"/>
                <w:sz w:val="24"/>
                <w:szCs w:val="24"/>
              </w:rPr>
              <w:t>Marfă</w:t>
            </w:r>
          </w:p>
        </w:tc>
        <w:tc>
          <w:tcPr>
            <w:tcW w:w="993" w:type="dxa"/>
            <w:tcBorders>
              <w:top w:val="outset" w:sz="6" w:space="0" w:color="auto"/>
              <w:left w:val="outset" w:sz="6" w:space="0" w:color="auto"/>
              <w:bottom w:val="outset" w:sz="6" w:space="0" w:color="auto"/>
              <w:right w:val="outset" w:sz="6" w:space="0" w:color="auto"/>
            </w:tcBorders>
            <w:hideMark/>
          </w:tcPr>
          <w:p w14:paraId="1C0A71C4" w14:textId="77777777" w:rsidR="00221680" w:rsidRPr="00221680" w:rsidRDefault="00221680" w:rsidP="00221680">
            <w:pPr>
              <w:rPr>
                <w:rFonts w:ascii="Times New Roman" w:hAnsi="Times New Roman" w:cs="Times New Roman"/>
                <w:sz w:val="24"/>
                <w:szCs w:val="24"/>
              </w:rPr>
            </w:pPr>
            <w:r w:rsidRPr="00221680">
              <w:rPr>
                <w:rFonts w:ascii="Times New Roman" w:hAnsi="Times New Roman" w:cs="Times New Roman"/>
                <w:sz w:val="24"/>
                <w:szCs w:val="24"/>
              </w:rPr>
              <w:t>100 %</w:t>
            </w:r>
          </w:p>
        </w:tc>
      </w:tr>
      <w:tr w:rsidR="00221680" w:rsidRPr="00221680" w14:paraId="20229B12" w14:textId="77777777" w:rsidTr="00221680">
        <w:trPr>
          <w:jc w:val="center"/>
        </w:trPr>
        <w:tc>
          <w:tcPr>
            <w:tcW w:w="7797" w:type="dxa"/>
            <w:tcBorders>
              <w:top w:val="outset" w:sz="6" w:space="0" w:color="auto"/>
              <w:left w:val="outset" w:sz="6" w:space="0" w:color="auto"/>
              <w:bottom w:val="outset" w:sz="6" w:space="0" w:color="auto"/>
              <w:right w:val="outset" w:sz="6" w:space="0" w:color="auto"/>
            </w:tcBorders>
            <w:hideMark/>
          </w:tcPr>
          <w:p w14:paraId="4372C896" w14:textId="77777777" w:rsidR="00221680" w:rsidRPr="00221680" w:rsidRDefault="00221680" w:rsidP="00221680">
            <w:pPr>
              <w:rPr>
                <w:rFonts w:ascii="Times New Roman" w:hAnsi="Times New Roman" w:cs="Times New Roman"/>
                <w:sz w:val="24"/>
                <w:szCs w:val="24"/>
              </w:rPr>
            </w:pPr>
            <w:r w:rsidRPr="00221680">
              <w:rPr>
                <w:rFonts w:ascii="Times New Roman" w:hAnsi="Times New Roman" w:cs="Times New Roman"/>
                <w:sz w:val="24"/>
                <w:szCs w:val="24"/>
              </w:rPr>
              <w:t>Schimb valutar</w:t>
            </w:r>
          </w:p>
        </w:tc>
        <w:tc>
          <w:tcPr>
            <w:tcW w:w="993" w:type="dxa"/>
            <w:tcBorders>
              <w:top w:val="outset" w:sz="6" w:space="0" w:color="auto"/>
              <w:left w:val="outset" w:sz="6" w:space="0" w:color="auto"/>
              <w:bottom w:val="outset" w:sz="6" w:space="0" w:color="auto"/>
              <w:right w:val="outset" w:sz="6" w:space="0" w:color="auto"/>
            </w:tcBorders>
            <w:hideMark/>
          </w:tcPr>
          <w:p w14:paraId="2585FC09" w14:textId="77777777" w:rsidR="00221680" w:rsidRPr="00221680" w:rsidRDefault="00221680" w:rsidP="00221680">
            <w:pPr>
              <w:rPr>
                <w:rFonts w:ascii="Times New Roman" w:hAnsi="Times New Roman" w:cs="Times New Roman"/>
                <w:sz w:val="24"/>
                <w:szCs w:val="24"/>
              </w:rPr>
            </w:pPr>
            <w:r w:rsidRPr="00221680">
              <w:rPr>
                <w:rFonts w:ascii="Times New Roman" w:hAnsi="Times New Roman" w:cs="Times New Roman"/>
                <w:sz w:val="24"/>
                <w:szCs w:val="24"/>
              </w:rPr>
              <w:t>100 %</w:t>
            </w:r>
          </w:p>
        </w:tc>
      </w:tr>
    </w:tbl>
    <w:p w14:paraId="6CBD5BC2" w14:textId="77777777" w:rsidR="00221680" w:rsidRDefault="00221680" w:rsidP="00221680">
      <w:pPr>
        <w:rPr>
          <w:rFonts w:ascii="Times New Roman" w:hAnsi="Times New Roman" w:cs="Times New Roman"/>
          <w:sz w:val="24"/>
          <w:szCs w:val="24"/>
        </w:rPr>
      </w:pPr>
    </w:p>
    <w:p w14:paraId="37DD06E4" w14:textId="11545E96" w:rsidR="00221680" w:rsidRDefault="00221680" w:rsidP="00221680">
      <w:pPr>
        <w:rPr>
          <w:rFonts w:ascii="Times New Roman" w:hAnsi="Times New Roman" w:cs="Times New Roman"/>
          <w:sz w:val="24"/>
          <w:szCs w:val="24"/>
        </w:rPr>
      </w:pPr>
      <w:r w:rsidRPr="00221680">
        <w:rPr>
          <w:rFonts w:ascii="Times New Roman" w:hAnsi="Times New Roman" w:cs="Times New Roman"/>
          <w:sz w:val="24"/>
          <w:szCs w:val="24"/>
        </w:rPr>
        <w:t>322. Benzile utilizate în contextul riscului delta în subsecțiunea 1 se utilizează și în contextul riscului de curbură, cu excepția cazului în care se prevede altfel în prezentul capitol.</w:t>
      </w:r>
    </w:p>
    <w:p w14:paraId="5C92F652" w14:textId="0D00A047" w:rsidR="00221680" w:rsidRDefault="00221680" w:rsidP="00221680">
      <w:pPr>
        <w:rPr>
          <w:rFonts w:ascii="Times New Roman" w:hAnsi="Times New Roman" w:cs="Times New Roman"/>
          <w:sz w:val="24"/>
          <w:szCs w:val="24"/>
        </w:rPr>
      </w:pPr>
      <w:r w:rsidRPr="00221680">
        <w:rPr>
          <w:rFonts w:ascii="Times New Roman" w:hAnsi="Times New Roman" w:cs="Times New Roman"/>
          <w:sz w:val="24"/>
          <w:szCs w:val="24"/>
        </w:rPr>
        <w:t>323.  Pentru factorii de risc valutar și de risc de curbură aferent titlurilor de capital, ponderile de risc de curbură sunt decalaje relative egale cu ponderile de risc delta menționate în subsecțiunea 1.</w:t>
      </w:r>
    </w:p>
    <w:p w14:paraId="24882584" w14:textId="06FA4A62" w:rsidR="005743D0" w:rsidRDefault="005743D0" w:rsidP="00221680">
      <w:pPr>
        <w:rPr>
          <w:rFonts w:ascii="Times New Roman" w:hAnsi="Times New Roman" w:cs="Times New Roman"/>
          <w:sz w:val="24"/>
          <w:szCs w:val="24"/>
        </w:rPr>
      </w:pPr>
      <w:r w:rsidRPr="005743D0">
        <w:rPr>
          <w:rFonts w:ascii="Times New Roman" w:hAnsi="Times New Roman" w:cs="Times New Roman"/>
          <w:sz w:val="24"/>
          <w:szCs w:val="24"/>
        </w:rPr>
        <w:t>324. Pentru factorii de risc general de rată a dobânzii, risc de marjă de credit și risc de curbură aferent mărfurilor, ponderea de risc de curbură este decalajul paralel al tuturor punctelor pentru fiecare curbă pe baza celei mai mari ponderi de risc delta menționate în subsecțiunea 1 pentru banda de risc relevantă.</w:t>
      </w:r>
    </w:p>
    <w:p w14:paraId="07E29FE9" w14:textId="48D340BD" w:rsidR="005743D0" w:rsidRDefault="005743D0" w:rsidP="005743D0">
      <w:pPr>
        <w:rPr>
          <w:rFonts w:ascii="Times New Roman" w:hAnsi="Times New Roman" w:cs="Times New Roman"/>
          <w:b/>
          <w:bCs/>
          <w:sz w:val="24"/>
          <w:szCs w:val="24"/>
        </w:rPr>
      </w:pPr>
      <w:bookmarkStart w:id="50" w:name="_Hlk195098387"/>
      <w:r w:rsidRPr="005743D0">
        <w:rPr>
          <w:rFonts w:ascii="Times New Roman" w:hAnsi="Times New Roman" w:cs="Times New Roman"/>
          <w:i/>
          <w:iCs/>
          <w:sz w:val="24"/>
          <w:szCs w:val="24"/>
        </w:rPr>
        <w:lastRenderedPageBreak/>
        <w:t xml:space="preserve">Paragraful 2. </w:t>
      </w:r>
      <w:r w:rsidRPr="005743D0">
        <w:rPr>
          <w:rFonts w:ascii="Times New Roman" w:hAnsi="Times New Roman" w:cs="Times New Roman"/>
          <w:b/>
          <w:bCs/>
          <w:sz w:val="24"/>
          <w:szCs w:val="24"/>
        </w:rPr>
        <w:t xml:space="preserve">Corelațiile pentru riscul </w:t>
      </w:r>
      <w:proofErr w:type="spellStart"/>
      <w:r w:rsidRPr="005743D0">
        <w:rPr>
          <w:rFonts w:ascii="Times New Roman" w:hAnsi="Times New Roman" w:cs="Times New Roman"/>
          <w:b/>
          <w:bCs/>
          <w:sz w:val="24"/>
          <w:szCs w:val="24"/>
        </w:rPr>
        <w:t>vega</w:t>
      </w:r>
      <w:proofErr w:type="spellEnd"/>
      <w:r w:rsidRPr="005743D0">
        <w:rPr>
          <w:rFonts w:ascii="Times New Roman" w:hAnsi="Times New Roman" w:cs="Times New Roman"/>
          <w:b/>
          <w:bCs/>
          <w:sz w:val="24"/>
          <w:szCs w:val="24"/>
        </w:rPr>
        <w:t xml:space="preserve"> și riscul de curbură</w:t>
      </w:r>
      <w:bookmarkEnd w:id="50"/>
    </w:p>
    <w:p w14:paraId="7F5A4256" w14:textId="77777777" w:rsidR="005743D0" w:rsidRPr="005743D0" w:rsidRDefault="005743D0" w:rsidP="005743D0">
      <w:pPr>
        <w:rPr>
          <w:rFonts w:ascii="Times New Roman" w:hAnsi="Times New Roman" w:cs="Times New Roman"/>
          <w:sz w:val="24"/>
          <w:szCs w:val="24"/>
        </w:rPr>
      </w:pPr>
      <w:r w:rsidRPr="005743D0">
        <w:rPr>
          <w:rFonts w:ascii="Times New Roman" w:hAnsi="Times New Roman" w:cs="Times New Roman"/>
          <w:sz w:val="24"/>
          <w:szCs w:val="24"/>
        </w:rPr>
        <w:t xml:space="preserve">325.   Între sensibilitățile la riscul </w:t>
      </w:r>
      <w:proofErr w:type="spellStart"/>
      <w:r w:rsidRPr="005743D0">
        <w:rPr>
          <w:rFonts w:ascii="Times New Roman" w:hAnsi="Times New Roman" w:cs="Times New Roman"/>
          <w:sz w:val="24"/>
          <w:szCs w:val="24"/>
        </w:rPr>
        <w:t>vega</w:t>
      </w:r>
      <w:proofErr w:type="spellEnd"/>
      <w:r w:rsidRPr="005743D0">
        <w:rPr>
          <w:rFonts w:ascii="Times New Roman" w:hAnsi="Times New Roman" w:cs="Times New Roman"/>
          <w:sz w:val="24"/>
          <w:szCs w:val="24"/>
        </w:rPr>
        <w:t xml:space="preserve"> din cadrul aceleiași benzi a clasei de risc general de rată a dobânzii (GIRR), parametrul de corelație </w:t>
      </w:r>
      <w:proofErr w:type="spellStart"/>
      <w:r w:rsidRPr="005743D0">
        <w:rPr>
          <w:rFonts w:ascii="Times New Roman" w:hAnsi="Times New Roman" w:cs="Times New Roman"/>
          <w:sz w:val="24"/>
          <w:szCs w:val="24"/>
        </w:rPr>
        <w:t>ρ</w:t>
      </w:r>
      <w:r w:rsidRPr="005743D0">
        <w:rPr>
          <w:rFonts w:ascii="Times New Roman" w:hAnsi="Times New Roman" w:cs="Times New Roman"/>
          <w:sz w:val="24"/>
          <w:szCs w:val="24"/>
          <w:vertAlign w:val="subscript"/>
        </w:rPr>
        <w:t>kl</w:t>
      </w:r>
      <w:proofErr w:type="spellEnd"/>
      <w:r w:rsidRPr="005743D0">
        <w:rPr>
          <w:rFonts w:ascii="Times New Roman" w:hAnsi="Times New Roman" w:cs="Times New Roman"/>
          <w:sz w:val="24"/>
          <w:szCs w:val="24"/>
        </w:rPr>
        <w:t> se stabilește după cum urmează:</w:t>
      </w:r>
    </w:p>
    <w:p w14:paraId="44AFDC52" w14:textId="77777777" w:rsidR="005743D0" w:rsidRPr="005743D0" w:rsidRDefault="005743D0" w:rsidP="005743D0">
      <w:pPr>
        <w:rPr>
          <w:rFonts w:ascii="Times New Roman" w:hAnsi="Times New Roman" w:cs="Times New Roman"/>
          <w:sz w:val="24"/>
          <w:szCs w:val="24"/>
        </w:rPr>
      </w:pPr>
      <w:r w:rsidRPr="005743D0">
        <w:rPr>
          <w:rFonts w:ascii="Times New Roman" w:hAnsi="Times New Roman" w:cs="Times New Roman"/>
          <w:noProof/>
          <w:sz w:val="24"/>
          <w:szCs w:val="24"/>
        </w:rPr>
        <w:drawing>
          <wp:inline distT="0" distB="0" distL="0" distR="0" wp14:anchorId="41D98521" wp14:editId="199F4D27">
            <wp:extent cx="5225763" cy="457200"/>
            <wp:effectExtent l="0" t="0" r="0" b="0"/>
            <wp:docPr id="164" name="Picture 16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68898" cy="460974"/>
                    </a:xfrm>
                    <a:prstGeom prst="rect">
                      <a:avLst/>
                    </a:prstGeom>
                    <a:noFill/>
                    <a:ln>
                      <a:noFill/>
                    </a:ln>
                  </pic:spPr>
                </pic:pic>
              </a:graphicData>
            </a:graphic>
          </wp:inline>
        </w:drawing>
      </w:r>
    </w:p>
    <w:p w14:paraId="29A41207" w14:textId="77777777" w:rsidR="005743D0" w:rsidRPr="005743D0" w:rsidRDefault="005743D0" w:rsidP="005743D0">
      <w:pPr>
        <w:rPr>
          <w:rFonts w:ascii="Times New Roman" w:hAnsi="Times New Roman" w:cs="Times New Roman"/>
          <w:sz w:val="24"/>
          <w:szCs w:val="24"/>
        </w:rPr>
      </w:pPr>
      <w:r w:rsidRPr="005743D0">
        <w:rPr>
          <w:rFonts w:ascii="Times New Roman" w:hAnsi="Times New Roman" w:cs="Times New Roman"/>
          <w:sz w:val="24"/>
          <w:szCs w:val="24"/>
        </w:rPr>
        <w:t>unde:</w:t>
      </w:r>
    </w:p>
    <w:p w14:paraId="5249C3F2" w14:textId="77FBF991" w:rsidR="005743D0" w:rsidRPr="005743D0" w:rsidRDefault="005743D0" w:rsidP="005743D0">
      <w:pPr>
        <w:rPr>
          <w:rFonts w:ascii="Times New Roman" w:hAnsi="Times New Roman" w:cs="Times New Roman"/>
          <w:sz w:val="24"/>
          <w:szCs w:val="24"/>
        </w:rPr>
      </w:pPr>
      <w:r w:rsidRPr="005743D0">
        <w:rPr>
          <w:rFonts w:ascii="Times New Roman" w:hAnsi="Times New Roman" w:cs="Times New Roman"/>
          <w:noProof/>
          <w:sz w:val="24"/>
          <w:szCs w:val="24"/>
        </w:rPr>
        <w:drawing>
          <wp:inline distT="0" distB="0" distL="0" distR="0" wp14:anchorId="178F676B" wp14:editId="737F3A60">
            <wp:extent cx="1504950" cy="412750"/>
            <wp:effectExtent l="0" t="0" r="0" b="6350"/>
            <wp:docPr id="165" name="Picture 16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04950" cy="412750"/>
                    </a:xfrm>
                    <a:prstGeom prst="rect">
                      <a:avLst/>
                    </a:prstGeom>
                    <a:noFill/>
                    <a:ln>
                      <a:noFill/>
                    </a:ln>
                  </pic:spPr>
                </pic:pic>
              </a:graphicData>
            </a:graphic>
          </wp:inline>
        </w:drawing>
      </w:r>
      <w:r w:rsidRPr="005743D0">
        <w:rPr>
          <w:rFonts w:ascii="Times New Roman" w:hAnsi="Times New Roman" w:cs="Times New Roman"/>
          <w:sz w:val="24"/>
          <w:szCs w:val="24"/>
        </w:rPr>
        <w:t>este egal cu</w:t>
      </w:r>
      <w:r w:rsidRPr="005743D0">
        <w:rPr>
          <w:rFonts w:ascii="Times New Roman" w:hAnsi="Times New Roman" w:cs="Times New Roman"/>
          <w:noProof/>
          <w:sz w:val="24"/>
          <w:szCs w:val="24"/>
        </w:rPr>
        <w:drawing>
          <wp:inline distT="0" distB="0" distL="0" distR="0" wp14:anchorId="72EF7227" wp14:editId="66FB36FB">
            <wp:extent cx="1371600" cy="476250"/>
            <wp:effectExtent l="0" t="0" r="0" b="0"/>
            <wp:docPr id="166" name="Picture 16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inline>
        </w:drawing>
      </w:r>
      <w:r w:rsidRPr="005743D0">
        <w:rPr>
          <w:rFonts w:ascii="Times New Roman" w:hAnsi="Times New Roman" w:cs="Times New Roman"/>
          <w:sz w:val="24"/>
          <w:szCs w:val="24"/>
        </w:rPr>
        <w:t xml:space="preserve">, unde α este stabilit la 1 %, </w:t>
      </w:r>
      <w:proofErr w:type="spellStart"/>
      <w:r w:rsidRPr="005743D0">
        <w:rPr>
          <w:rFonts w:ascii="Times New Roman" w:hAnsi="Times New Roman" w:cs="Times New Roman"/>
          <w:sz w:val="24"/>
          <w:szCs w:val="24"/>
        </w:rPr>
        <w:t>T</w:t>
      </w:r>
      <w:r w:rsidRPr="005743D0">
        <w:rPr>
          <w:rFonts w:ascii="Times New Roman" w:hAnsi="Times New Roman" w:cs="Times New Roman"/>
          <w:sz w:val="24"/>
          <w:szCs w:val="24"/>
          <w:vertAlign w:val="subscript"/>
        </w:rPr>
        <w:t>k</w:t>
      </w:r>
      <w:proofErr w:type="spellEnd"/>
      <w:r w:rsidRPr="005743D0">
        <w:rPr>
          <w:rFonts w:ascii="Times New Roman" w:hAnsi="Times New Roman" w:cs="Times New Roman"/>
          <w:sz w:val="24"/>
          <w:szCs w:val="24"/>
        </w:rPr>
        <w:t> și T</w:t>
      </w:r>
      <w:r w:rsidRPr="005743D0">
        <w:rPr>
          <w:rFonts w:ascii="Times New Roman" w:hAnsi="Times New Roman" w:cs="Times New Roman"/>
          <w:sz w:val="24"/>
          <w:szCs w:val="24"/>
          <w:vertAlign w:val="subscript"/>
        </w:rPr>
        <w:t>l</w:t>
      </w:r>
      <w:r w:rsidRPr="005743D0">
        <w:rPr>
          <w:rFonts w:ascii="Times New Roman" w:hAnsi="Times New Roman" w:cs="Times New Roman"/>
          <w:sz w:val="24"/>
          <w:szCs w:val="24"/>
        </w:rPr>
        <w:t xml:space="preserve"> sunt egale cu scadențele opțiunilor pentru care se obțin sensibilitățile </w:t>
      </w:r>
      <w:proofErr w:type="spellStart"/>
      <w:r w:rsidRPr="005743D0">
        <w:rPr>
          <w:rFonts w:ascii="Times New Roman" w:hAnsi="Times New Roman" w:cs="Times New Roman"/>
          <w:sz w:val="24"/>
          <w:szCs w:val="24"/>
        </w:rPr>
        <w:t>vega</w:t>
      </w:r>
      <w:proofErr w:type="spellEnd"/>
      <w:r w:rsidRPr="005743D0">
        <w:rPr>
          <w:rFonts w:ascii="Times New Roman" w:hAnsi="Times New Roman" w:cs="Times New Roman"/>
          <w:sz w:val="24"/>
          <w:szCs w:val="24"/>
        </w:rPr>
        <w:t>, exprimate ca număr de ani; și</w:t>
      </w:r>
    </w:p>
    <w:p w14:paraId="05010A15" w14:textId="421F3A5F" w:rsidR="005743D0" w:rsidRPr="005743D0" w:rsidRDefault="005743D0" w:rsidP="005743D0">
      <w:pPr>
        <w:rPr>
          <w:rFonts w:ascii="Times New Roman" w:hAnsi="Times New Roman" w:cs="Times New Roman"/>
          <w:sz w:val="24"/>
          <w:szCs w:val="24"/>
        </w:rPr>
      </w:pPr>
      <w:r w:rsidRPr="005743D0">
        <w:rPr>
          <w:rFonts w:ascii="Times New Roman" w:hAnsi="Times New Roman" w:cs="Times New Roman"/>
          <w:noProof/>
          <w:sz w:val="24"/>
          <w:szCs w:val="24"/>
        </w:rPr>
        <w:drawing>
          <wp:inline distT="0" distB="0" distL="0" distR="0" wp14:anchorId="4E791BEA" wp14:editId="1730CCF5">
            <wp:extent cx="2679700" cy="412750"/>
            <wp:effectExtent l="0" t="0" r="6350" b="6350"/>
            <wp:docPr id="167" name="Picture 16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679700" cy="412750"/>
                    </a:xfrm>
                    <a:prstGeom prst="rect">
                      <a:avLst/>
                    </a:prstGeom>
                    <a:noFill/>
                    <a:ln>
                      <a:noFill/>
                    </a:ln>
                  </pic:spPr>
                </pic:pic>
              </a:graphicData>
            </a:graphic>
          </wp:inline>
        </w:drawing>
      </w:r>
      <w:r w:rsidRPr="005743D0">
        <w:rPr>
          <w:rFonts w:ascii="Times New Roman" w:hAnsi="Times New Roman" w:cs="Times New Roman"/>
          <w:sz w:val="24"/>
          <w:szCs w:val="24"/>
        </w:rPr>
        <w:t>este egal cu</w:t>
      </w:r>
      <w:r w:rsidRPr="005743D0">
        <w:rPr>
          <w:rFonts w:ascii="Times New Roman" w:hAnsi="Times New Roman" w:cs="Times New Roman"/>
          <w:noProof/>
          <w:sz w:val="24"/>
          <w:szCs w:val="24"/>
        </w:rPr>
        <w:drawing>
          <wp:inline distT="0" distB="0" distL="0" distR="0" wp14:anchorId="46338A87" wp14:editId="4256275F">
            <wp:extent cx="1517650" cy="609600"/>
            <wp:effectExtent l="0" t="0" r="6350" b="0"/>
            <wp:docPr id="168" name="Picture 16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17650" cy="609600"/>
                    </a:xfrm>
                    <a:prstGeom prst="rect">
                      <a:avLst/>
                    </a:prstGeom>
                    <a:noFill/>
                    <a:ln>
                      <a:noFill/>
                    </a:ln>
                  </pic:spPr>
                </pic:pic>
              </a:graphicData>
            </a:graphic>
          </wp:inline>
        </w:drawing>
      </w:r>
      <w:r w:rsidRPr="005743D0">
        <w:rPr>
          <w:rFonts w:ascii="Times New Roman" w:hAnsi="Times New Roman" w:cs="Times New Roman"/>
          <w:sz w:val="24"/>
          <w:szCs w:val="24"/>
        </w:rPr>
        <w:t>, unde α este stabilit la 1 %,</w:t>
      </w:r>
    </w:p>
    <w:p w14:paraId="0A45BE8C" w14:textId="37A14E14" w:rsidR="005743D0" w:rsidRDefault="005743D0" w:rsidP="005743D0">
      <w:pPr>
        <w:rPr>
          <w:rFonts w:ascii="Times New Roman" w:hAnsi="Times New Roman" w:cs="Times New Roman"/>
          <w:sz w:val="24"/>
          <w:szCs w:val="24"/>
        </w:rPr>
      </w:pPr>
      <w:r w:rsidRPr="005743D0">
        <w:rPr>
          <w:rFonts w:ascii="Times New Roman" w:hAnsi="Times New Roman" w:cs="Times New Roman"/>
          <w:noProof/>
          <w:sz w:val="24"/>
          <w:szCs w:val="24"/>
        </w:rPr>
        <w:drawing>
          <wp:inline distT="0" distB="0" distL="0" distR="0" wp14:anchorId="7E31488A" wp14:editId="43B8DEF4">
            <wp:extent cx="393700" cy="374650"/>
            <wp:effectExtent l="0" t="0" r="6350" b="6350"/>
            <wp:docPr id="169" name="Picture 16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93700" cy="374650"/>
                    </a:xfrm>
                    <a:prstGeom prst="rect">
                      <a:avLst/>
                    </a:prstGeom>
                    <a:noFill/>
                    <a:ln>
                      <a:noFill/>
                    </a:ln>
                  </pic:spPr>
                </pic:pic>
              </a:graphicData>
            </a:graphic>
          </wp:inline>
        </w:drawing>
      </w:r>
      <w:r w:rsidRPr="005743D0">
        <w:rPr>
          <w:rFonts w:ascii="Times New Roman" w:hAnsi="Times New Roman" w:cs="Times New Roman"/>
          <w:sz w:val="24"/>
          <w:szCs w:val="24"/>
        </w:rPr>
        <w:t>și</w:t>
      </w:r>
      <w:r w:rsidRPr="005743D0">
        <w:rPr>
          <w:rFonts w:ascii="Times New Roman" w:hAnsi="Times New Roman" w:cs="Times New Roman"/>
          <w:noProof/>
          <w:sz w:val="24"/>
          <w:szCs w:val="24"/>
        </w:rPr>
        <w:drawing>
          <wp:inline distT="0" distB="0" distL="0" distR="0" wp14:anchorId="264E0431" wp14:editId="1A03A591">
            <wp:extent cx="393700" cy="374650"/>
            <wp:effectExtent l="0" t="0" r="6350" b="6350"/>
            <wp:docPr id="170" name="Picture 17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93700" cy="374650"/>
                    </a:xfrm>
                    <a:prstGeom prst="rect">
                      <a:avLst/>
                    </a:prstGeom>
                    <a:noFill/>
                    <a:ln>
                      <a:noFill/>
                    </a:ln>
                  </pic:spPr>
                </pic:pic>
              </a:graphicData>
            </a:graphic>
          </wp:inline>
        </w:drawing>
      </w:r>
      <w:r w:rsidRPr="005743D0">
        <w:rPr>
          <w:rFonts w:ascii="Times New Roman" w:hAnsi="Times New Roman" w:cs="Times New Roman"/>
          <w:sz w:val="24"/>
          <w:szCs w:val="24"/>
        </w:rPr>
        <w:t xml:space="preserve">sunt egale cu scadențele instrumentelor-suport ale opțiunilor pentru care se obțin sensibilitățile </w:t>
      </w:r>
      <w:proofErr w:type="spellStart"/>
      <w:r w:rsidRPr="005743D0">
        <w:rPr>
          <w:rFonts w:ascii="Times New Roman" w:hAnsi="Times New Roman" w:cs="Times New Roman"/>
          <w:sz w:val="24"/>
          <w:szCs w:val="24"/>
        </w:rPr>
        <w:t>vega</w:t>
      </w:r>
      <w:proofErr w:type="spellEnd"/>
      <w:r w:rsidRPr="005743D0">
        <w:rPr>
          <w:rFonts w:ascii="Times New Roman" w:hAnsi="Times New Roman" w:cs="Times New Roman"/>
          <w:sz w:val="24"/>
          <w:szCs w:val="24"/>
        </w:rPr>
        <w:t>, minus scadențele opțiunilor corespunzătoare, exprimate în ambele cazuri ca număr de ani.</w:t>
      </w:r>
    </w:p>
    <w:p w14:paraId="5DB97D77" w14:textId="77777777" w:rsidR="008F0A0A" w:rsidRPr="008F0A0A" w:rsidRDefault="008F0A0A" w:rsidP="008F0A0A">
      <w:pPr>
        <w:rPr>
          <w:rFonts w:ascii="Times New Roman" w:hAnsi="Times New Roman" w:cs="Times New Roman"/>
          <w:sz w:val="24"/>
          <w:szCs w:val="24"/>
        </w:rPr>
      </w:pPr>
      <w:r w:rsidRPr="008F0A0A">
        <w:rPr>
          <w:rFonts w:ascii="Times New Roman" w:hAnsi="Times New Roman" w:cs="Times New Roman"/>
          <w:sz w:val="24"/>
          <w:szCs w:val="24"/>
        </w:rPr>
        <w:t xml:space="preserve">326.   Între sensibilitățile la riscul </w:t>
      </w:r>
      <w:proofErr w:type="spellStart"/>
      <w:r w:rsidRPr="008F0A0A">
        <w:rPr>
          <w:rFonts w:ascii="Times New Roman" w:hAnsi="Times New Roman" w:cs="Times New Roman"/>
          <w:sz w:val="24"/>
          <w:szCs w:val="24"/>
        </w:rPr>
        <w:t>vega</w:t>
      </w:r>
      <w:proofErr w:type="spellEnd"/>
      <w:r w:rsidRPr="008F0A0A">
        <w:rPr>
          <w:rFonts w:ascii="Times New Roman" w:hAnsi="Times New Roman" w:cs="Times New Roman"/>
          <w:sz w:val="24"/>
          <w:szCs w:val="24"/>
        </w:rPr>
        <w:t xml:space="preserve"> din cadrul unei benzi aparținând celorlalte clase de risc, parametrul de corelație </w:t>
      </w:r>
      <w:proofErr w:type="spellStart"/>
      <w:r w:rsidRPr="008F0A0A">
        <w:rPr>
          <w:rFonts w:ascii="Times New Roman" w:hAnsi="Times New Roman" w:cs="Times New Roman"/>
          <w:sz w:val="24"/>
          <w:szCs w:val="24"/>
        </w:rPr>
        <w:t>ρ</w:t>
      </w:r>
      <w:r w:rsidRPr="008F0A0A">
        <w:rPr>
          <w:rFonts w:ascii="Times New Roman" w:hAnsi="Times New Roman" w:cs="Times New Roman"/>
          <w:sz w:val="24"/>
          <w:szCs w:val="24"/>
          <w:vertAlign w:val="subscript"/>
        </w:rPr>
        <w:t>kl</w:t>
      </w:r>
      <w:proofErr w:type="spellEnd"/>
      <w:r w:rsidRPr="008F0A0A">
        <w:rPr>
          <w:rFonts w:ascii="Times New Roman" w:hAnsi="Times New Roman" w:cs="Times New Roman"/>
          <w:sz w:val="24"/>
          <w:szCs w:val="24"/>
        </w:rPr>
        <w:t> se stabilește după cum urmează:</w:t>
      </w:r>
    </w:p>
    <w:p w14:paraId="300F1752" w14:textId="77777777" w:rsidR="008F0A0A" w:rsidRPr="008F0A0A" w:rsidRDefault="008F0A0A" w:rsidP="008F0A0A">
      <w:pPr>
        <w:rPr>
          <w:rFonts w:ascii="Times New Roman" w:hAnsi="Times New Roman" w:cs="Times New Roman"/>
          <w:sz w:val="24"/>
          <w:szCs w:val="24"/>
        </w:rPr>
      </w:pPr>
      <w:r w:rsidRPr="008F0A0A">
        <w:rPr>
          <w:rFonts w:ascii="Times New Roman" w:hAnsi="Times New Roman" w:cs="Times New Roman"/>
          <w:noProof/>
          <w:sz w:val="24"/>
          <w:szCs w:val="24"/>
        </w:rPr>
        <w:drawing>
          <wp:inline distT="0" distB="0" distL="0" distR="0" wp14:anchorId="2B658076" wp14:editId="6FFDF3A6">
            <wp:extent cx="3055620" cy="386080"/>
            <wp:effectExtent l="0" t="0" r="0" b="0"/>
            <wp:docPr id="171" name="Picture 17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055620" cy="386080"/>
                    </a:xfrm>
                    <a:prstGeom prst="rect">
                      <a:avLst/>
                    </a:prstGeom>
                    <a:noFill/>
                    <a:ln>
                      <a:noFill/>
                    </a:ln>
                  </pic:spPr>
                </pic:pic>
              </a:graphicData>
            </a:graphic>
          </wp:inline>
        </w:drawing>
      </w:r>
    </w:p>
    <w:p w14:paraId="4DFE7D81" w14:textId="77777777" w:rsidR="008F0A0A" w:rsidRPr="008F0A0A" w:rsidRDefault="008F0A0A" w:rsidP="008F0A0A">
      <w:pPr>
        <w:rPr>
          <w:rFonts w:ascii="Times New Roman" w:hAnsi="Times New Roman" w:cs="Times New Roman"/>
          <w:sz w:val="24"/>
          <w:szCs w:val="24"/>
        </w:rPr>
      </w:pPr>
      <w:r w:rsidRPr="008F0A0A">
        <w:rPr>
          <w:rFonts w:ascii="Times New Roman" w:hAnsi="Times New Roman" w:cs="Times New Roman"/>
          <w:sz w:val="24"/>
          <w:szCs w:val="24"/>
        </w:rPr>
        <w:t>unde:</w:t>
      </w:r>
    </w:p>
    <w:p w14:paraId="1F21A1ED" w14:textId="60E6F556" w:rsidR="008F0A0A" w:rsidRPr="008F0A0A" w:rsidRDefault="008F0A0A" w:rsidP="008F0A0A">
      <w:pPr>
        <w:rPr>
          <w:rFonts w:ascii="Times New Roman" w:hAnsi="Times New Roman" w:cs="Times New Roman"/>
          <w:sz w:val="24"/>
          <w:szCs w:val="24"/>
        </w:rPr>
      </w:pPr>
      <w:r w:rsidRPr="008F0A0A">
        <w:rPr>
          <w:rFonts w:ascii="Times New Roman" w:hAnsi="Times New Roman" w:cs="Times New Roman"/>
          <w:noProof/>
          <w:sz w:val="24"/>
          <w:szCs w:val="24"/>
        </w:rPr>
        <w:drawing>
          <wp:inline distT="0" distB="0" distL="0" distR="0" wp14:anchorId="7C791DC3" wp14:editId="4D77C8C9">
            <wp:extent cx="952500" cy="412750"/>
            <wp:effectExtent l="0" t="0" r="0" b="6350"/>
            <wp:docPr id="172" name="Picture 17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412750"/>
                    </a:xfrm>
                    <a:prstGeom prst="rect">
                      <a:avLst/>
                    </a:prstGeom>
                    <a:noFill/>
                    <a:ln>
                      <a:noFill/>
                    </a:ln>
                  </pic:spPr>
                </pic:pic>
              </a:graphicData>
            </a:graphic>
          </wp:inline>
        </w:drawing>
      </w:r>
      <w:r w:rsidRPr="008F0A0A">
        <w:rPr>
          <w:rFonts w:ascii="Times New Roman" w:hAnsi="Times New Roman" w:cs="Times New Roman"/>
          <w:sz w:val="24"/>
          <w:szCs w:val="24"/>
        </w:rPr>
        <w:t xml:space="preserve">este egal cu corelația delta din cadrul unei benzi corespunzătoare benzii în care s-ar încadra factorii de risc </w:t>
      </w:r>
      <w:proofErr w:type="spellStart"/>
      <w:r w:rsidRPr="008F0A0A">
        <w:rPr>
          <w:rFonts w:ascii="Times New Roman" w:hAnsi="Times New Roman" w:cs="Times New Roman"/>
          <w:sz w:val="24"/>
          <w:szCs w:val="24"/>
        </w:rPr>
        <w:t>vega</w:t>
      </w:r>
      <w:proofErr w:type="spellEnd"/>
      <w:r w:rsidRPr="008F0A0A">
        <w:rPr>
          <w:rFonts w:ascii="Times New Roman" w:hAnsi="Times New Roman" w:cs="Times New Roman"/>
          <w:sz w:val="24"/>
          <w:szCs w:val="24"/>
        </w:rPr>
        <w:t xml:space="preserve"> „k” și „l”; și</w:t>
      </w:r>
    </w:p>
    <w:p w14:paraId="7E27F39B" w14:textId="175ECE0B" w:rsidR="008F0A0A" w:rsidRDefault="008F0A0A" w:rsidP="008F0A0A">
      <w:pPr>
        <w:rPr>
          <w:rFonts w:ascii="Times New Roman" w:hAnsi="Times New Roman" w:cs="Times New Roman"/>
          <w:sz w:val="24"/>
          <w:szCs w:val="24"/>
        </w:rPr>
      </w:pPr>
      <w:r w:rsidRPr="008F0A0A">
        <w:rPr>
          <w:rFonts w:ascii="Times New Roman" w:hAnsi="Times New Roman" w:cs="Times New Roman"/>
          <w:noProof/>
          <w:sz w:val="24"/>
          <w:szCs w:val="24"/>
        </w:rPr>
        <w:drawing>
          <wp:inline distT="0" distB="0" distL="0" distR="0" wp14:anchorId="075EA61B" wp14:editId="1BB2F7E1">
            <wp:extent cx="1504950" cy="412750"/>
            <wp:effectExtent l="0" t="0" r="0" b="6350"/>
            <wp:docPr id="173" name="Picture 17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04950" cy="412750"/>
                    </a:xfrm>
                    <a:prstGeom prst="rect">
                      <a:avLst/>
                    </a:prstGeom>
                    <a:noFill/>
                    <a:ln>
                      <a:noFill/>
                    </a:ln>
                  </pic:spPr>
                </pic:pic>
              </a:graphicData>
            </a:graphic>
          </wp:inline>
        </w:drawing>
      </w:r>
      <w:r w:rsidRPr="008F0A0A">
        <w:rPr>
          <w:rFonts w:ascii="Times New Roman" w:hAnsi="Times New Roman" w:cs="Times New Roman"/>
          <w:sz w:val="24"/>
          <w:szCs w:val="24"/>
        </w:rPr>
        <w:t>este stabilit în conformitate cu pct.325.</w:t>
      </w:r>
    </w:p>
    <w:p w14:paraId="075CA189" w14:textId="7828AF44" w:rsidR="00EC35D8" w:rsidRDefault="00EC35D8" w:rsidP="008F0A0A">
      <w:pPr>
        <w:rPr>
          <w:rFonts w:ascii="Times New Roman" w:hAnsi="Times New Roman" w:cs="Times New Roman"/>
          <w:sz w:val="24"/>
          <w:szCs w:val="24"/>
        </w:rPr>
      </w:pPr>
      <w:r w:rsidRPr="00EC35D8">
        <w:rPr>
          <w:rFonts w:ascii="Times New Roman" w:hAnsi="Times New Roman" w:cs="Times New Roman"/>
          <w:sz w:val="24"/>
          <w:szCs w:val="24"/>
        </w:rPr>
        <w:t xml:space="preserve">327.   În ceea ce privește sensibilitățile la riscul </w:t>
      </w:r>
      <w:proofErr w:type="spellStart"/>
      <w:r w:rsidRPr="00EC35D8">
        <w:rPr>
          <w:rFonts w:ascii="Times New Roman" w:hAnsi="Times New Roman" w:cs="Times New Roman"/>
          <w:sz w:val="24"/>
          <w:szCs w:val="24"/>
        </w:rPr>
        <w:t>vega</w:t>
      </w:r>
      <w:proofErr w:type="spellEnd"/>
      <w:r w:rsidRPr="00EC35D8">
        <w:rPr>
          <w:rFonts w:ascii="Times New Roman" w:hAnsi="Times New Roman" w:cs="Times New Roman"/>
          <w:sz w:val="24"/>
          <w:szCs w:val="24"/>
        </w:rPr>
        <w:t xml:space="preserve"> între benzile dintr-o clasă de risc (GIRR și non-GIRR), în contextul riscului </w:t>
      </w:r>
      <w:proofErr w:type="spellStart"/>
      <w:r w:rsidRPr="00EC35D8">
        <w:rPr>
          <w:rFonts w:ascii="Times New Roman" w:hAnsi="Times New Roman" w:cs="Times New Roman"/>
          <w:sz w:val="24"/>
          <w:szCs w:val="24"/>
        </w:rPr>
        <w:t>vega</w:t>
      </w:r>
      <w:proofErr w:type="spellEnd"/>
      <w:r w:rsidRPr="00EC35D8">
        <w:rPr>
          <w:rFonts w:ascii="Times New Roman" w:hAnsi="Times New Roman" w:cs="Times New Roman"/>
          <w:sz w:val="24"/>
          <w:szCs w:val="24"/>
        </w:rPr>
        <w:t xml:space="preserve"> se utilizează parametrii de corelație pentru </w:t>
      </w:r>
      <w:proofErr w:type="spellStart"/>
      <w:r w:rsidRPr="00EC35D8">
        <w:rPr>
          <w:rFonts w:ascii="Times New Roman" w:hAnsi="Times New Roman" w:cs="Times New Roman"/>
          <w:sz w:val="24"/>
          <w:szCs w:val="24"/>
        </w:rPr>
        <w:t>γ</w:t>
      </w:r>
      <w:r w:rsidRPr="00EC35D8">
        <w:rPr>
          <w:rFonts w:ascii="Times New Roman" w:hAnsi="Times New Roman" w:cs="Times New Roman"/>
          <w:sz w:val="24"/>
          <w:szCs w:val="24"/>
          <w:vertAlign w:val="subscript"/>
        </w:rPr>
        <w:t>bc</w:t>
      </w:r>
      <w:proofErr w:type="spellEnd"/>
      <w:r w:rsidRPr="00EC35D8">
        <w:rPr>
          <w:rFonts w:ascii="Times New Roman" w:hAnsi="Times New Roman" w:cs="Times New Roman"/>
          <w:sz w:val="24"/>
          <w:szCs w:val="24"/>
        </w:rPr>
        <w:t>, specificați în cazul corelațiilor delta pentru fiecare clasă de risc în secțiunea 4.</w:t>
      </w:r>
    </w:p>
    <w:p w14:paraId="1CC02C08" w14:textId="5024D90B" w:rsidR="00EC35D8" w:rsidRDefault="00EC35D8" w:rsidP="008F0A0A">
      <w:pPr>
        <w:rPr>
          <w:rFonts w:ascii="Times New Roman" w:hAnsi="Times New Roman" w:cs="Times New Roman"/>
          <w:sz w:val="24"/>
          <w:szCs w:val="24"/>
        </w:rPr>
      </w:pPr>
      <w:r w:rsidRPr="00EC35D8">
        <w:rPr>
          <w:rFonts w:ascii="Times New Roman" w:hAnsi="Times New Roman" w:cs="Times New Roman"/>
          <w:sz w:val="24"/>
          <w:szCs w:val="24"/>
        </w:rPr>
        <w:t xml:space="preserve">328.   În conformitate cu abordarea standardizată, nu este recunoscut niciun beneficiu al diversificării sau al acoperirii între factorii de risc </w:t>
      </w:r>
      <w:proofErr w:type="spellStart"/>
      <w:r w:rsidRPr="00EC35D8">
        <w:rPr>
          <w:rFonts w:ascii="Times New Roman" w:hAnsi="Times New Roman" w:cs="Times New Roman"/>
          <w:sz w:val="24"/>
          <w:szCs w:val="24"/>
        </w:rPr>
        <w:t>vega</w:t>
      </w:r>
      <w:proofErr w:type="spellEnd"/>
      <w:r w:rsidRPr="00EC35D8">
        <w:rPr>
          <w:rFonts w:ascii="Times New Roman" w:hAnsi="Times New Roman" w:cs="Times New Roman"/>
          <w:sz w:val="24"/>
          <w:szCs w:val="24"/>
        </w:rPr>
        <w:t xml:space="preserve"> și factorii de risc delta. Cerințele pentru riscul </w:t>
      </w:r>
      <w:proofErr w:type="spellStart"/>
      <w:r w:rsidRPr="00EC35D8">
        <w:rPr>
          <w:rFonts w:ascii="Times New Roman" w:hAnsi="Times New Roman" w:cs="Times New Roman"/>
          <w:sz w:val="24"/>
          <w:szCs w:val="24"/>
        </w:rPr>
        <w:t>vega</w:t>
      </w:r>
      <w:proofErr w:type="spellEnd"/>
      <w:r w:rsidRPr="00EC35D8">
        <w:rPr>
          <w:rFonts w:ascii="Times New Roman" w:hAnsi="Times New Roman" w:cs="Times New Roman"/>
          <w:sz w:val="24"/>
          <w:szCs w:val="24"/>
        </w:rPr>
        <w:t xml:space="preserve"> și cerințele pentru riscul delta sunt agregate prin simplă însumare.</w:t>
      </w:r>
    </w:p>
    <w:p w14:paraId="014EDDFE" w14:textId="49A71CA2" w:rsidR="00EC35D8" w:rsidRDefault="00EC35D8" w:rsidP="008F0A0A">
      <w:pPr>
        <w:rPr>
          <w:rFonts w:ascii="Times New Roman" w:hAnsi="Times New Roman" w:cs="Times New Roman"/>
          <w:sz w:val="24"/>
          <w:szCs w:val="24"/>
        </w:rPr>
      </w:pPr>
      <w:r w:rsidRPr="00EC35D8">
        <w:rPr>
          <w:rFonts w:ascii="Times New Roman" w:hAnsi="Times New Roman" w:cs="Times New Roman"/>
          <w:sz w:val="24"/>
          <w:szCs w:val="24"/>
        </w:rPr>
        <w:t xml:space="preserve">329.   Corelațiile pentru riscul de curbură sunt pătratul corelațiilor </w:t>
      </w:r>
      <w:proofErr w:type="spellStart"/>
      <w:r w:rsidRPr="00EC35D8">
        <w:rPr>
          <w:rFonts w:ascii="Times New Roman" w:hAnsi="Times New Roman" w:cs="Times New Roman"/>
          <w:sz w:val="24"/>
          <w:szCs w:val="24"/>
        </w:rPr>
        <w:t>ρ</w:t>
      </w:r>
      <w:r w:rsidRPr="00EC35D8">
        <w:rPr>
          <w:rFonts w:ascii="Times New Roman" w:hAnsi="Times New Roman" w:cs="Times New Roman"/>
          <w:sz w:val="24"/>
          <w:szCs w:val="24"/>
          <w:vertAlign w:val="subscript"/>
        </w:rPr>
        <w:t>kl</w:t>
      </w:r>
      <w:proofErr w:type="spellEnd"/>
      <w:r w:rsidRPr="00EC35D8">
        <w:rPr>
          <w:rFonts w:ascii="Times New Roman" w:hAnsi="Times New Roman" w:cs="Times New Roman"/>
          <w:sz w:val="24"/>
          <w:szCs w:val="24"/>
        </w:rPr>
        <w:t xml:space="preserve"> și </w:t>
      </w:r>
      <w:proofErr w:type="spellStart"/>
      <w:r w:rsidRPr="00EC35D8">
        <w:rPr>
          <w:rFonts w:ascii="Times New Roman" w:hAnsi="Times New Roman" w:cs="Times New Roman"/>
          <w:sz w:val="24"/>
          <w:szCs w:val="24"/>
        </w:rPr>
        <w:t>γ</w:t>
      </w:r>
      <w:r w:rsidRPr="00EC35D8">
        <w:rPr>
          <w:rFonts w:ascii="Times New Roman" w:hAnsi="Times New Roman" w:cs="Times New Roman"/>
          <w:sz w:val="24"/>
          <w:szCs w:val="24"/>
          <w:vertAlign w:val="subscript"/>
        </w:rPr>
        <w:t>bc</w:t>
      </w:r>
      <w:proofErr w:type="spellEnd"/>
      <w:r w:rsidRPr="00EC35D8">
        <w:rPr>
          <w:rFonts w:ascii="Times New Roman" w:hAnsi="Times New Roman" w:cs="Times New Roman"/>
          <w:sz w:val="24"/>
          <w:szCs w:val="24"/>
        </w:rPr>
        <w:t> pentru riscul delta corespunzătoare menționate în subsecțiunea 1.</w:t>
      </w:r>
    </w:p>
    <w:p w14:paraId="690E5A0A" w14:textId="417E300F" w:rsidR="00D264B4" w:rsidRPr="009A1F02" w:rsidRDefault="009A1F02" w:rsidP="00D264B4">
      <w:pPr>
        <w:rPr>
          <w:rFonts w:ascii="Times New Roman" w:hAnsi="Times New Roman" w:cs="Times New Roman"/>
          <w:b/>
          <w:bCs/>
          <w:sz w:val="24"/>
          <w:szCs w:val="24"/>
        </w:rPr>
      </w:pPr>
      <w:bookmarkStart w:id="51" w:name="_Hlk195098512"/>
      <w:r w:rsidRPr="00CC1E9B">
        <w:rPr>
          <w:rFonts w:ascii="Times New Roman" w:hAnsi="Times New Roman" w:cs="Times New Roman"/>
          <w:b/>
          <w:bCs/>
          <w:i/>
          <w:iCs/>
          <w:sz w:val="24"/>
          <w:szCs w:val="24"/>
        </w:rPr>
        <w:t xml:space="preserve">CAPITOLUL III. </w:t>
      </w:r>
      <w:r w:rsidRPr="009A1F02">
        <w:rPr>
          <w:rFonts w:ascii="Times New Roman" w:hAnsi="Times New Roman" w:cs="Times New Roman"/>
          <w:b/>
          <w:bCs/>
          <w:i/>
          <w:iCs/>
          <w:sz w:val="24"/>
          <w:szCs w:val="24"/>
        </w:rPr>
        <w:t>ABORDAREA BAZATĂ PE MODELE INTERNE ALTERNATIVĂ</w:t>
      </w:r>
    </w:p>
    <w:p w14:paraId="4F750243" w14:textId="550BA371" w:rsidR="00D264B4" w:rsidRPr="00D264B4" w:rsidRDefault="00D264B4" w:rsidP="00D264B4">
      <w:pPr>
        <w:rPr>
          <w:rFonts w:ascii="Times New Roman" w:hAnsi="Times New Roman" w:cs="Times New Roman"/>
          <w:b/>
          <w:bCs/>
          <w:sz w:val="24"/>
          <w:szCs w:val="24"/>
        </w:rPr>
      </w:pPr>
      <w:r w:rsidRPr="00D264B4">
        <w:rPr>
          <w:rFonts w:ascii="Times New Roman" w:hAnsi="Times New Roman" w:cs="Times New Roman"/>
          <w:b/>
          <w:bCs/>
          <w:sz w:val="24"/>
          <w:szCs w:val="24"/>
        </w:rPr>
        <w:t>Secțiunea 1</w:t>
      </w:r>
      <w:r>
        <w:rPr>
          <w:rFonts w:ascii="Times New Roman" w:hAnsi="Times New Roman" w:cs="Times New Roman"/>
          <w:b/>
          <w:bCs/>
          <w:sz w:val="24"/>
          <w:szCs w:val="24"/>
        </w:rPr>
        <w:t xml:space="preserve">. </w:t>
      </w:r>
      <w:r w:rsidRPr="00D264B4">
        <w:rPr>
          <w:rFonts w:ascii="Times New Roman" w:hAnsi="Times New Roman" w:cs="Times New Roman"/>
          <w:b/>
          <w:bCs/>
          <w:sz w:val="24"/>
          <w:szCs w:val="24"/>
        </w:rPr>
        <w:t xml:space="preserve">Aprobare </w:t>
      </w:r>
      <w:r w:rsidR="00353368">
        <w:rPr>
          <w:rFonts w:ascii="Times New Roman" w:hAnsi="Times New Roman" w:cs="Times New Roman"/>
          <w:b/>
          <w:bCs/>
          <w:sz w:val="24"/>
          <w:szCs w:val="24"/>
        </w:rPr>
        <w:t xml:space="preserve">prealabilă </w:t>
      </w:r>
      <w:r w:rsidRPr="00D264B4">
        <w:rPr>
          <w:rFonts w:ascii="Times New Roman" w:hAnsi="Times New Roman" w:cs="Times New Roman"/>
          <w:b/>
          <w:bCs/>
          <w:sz w:val="24"/>
          <w:szCs w:val="24"/>
        </w:rPr>
        <w:t>și cerințe de fonduri proprii</w:t>
      </w:r>
    </w:p>
    <w:p w14:paraId="78B09399" w14:textId="2EA3D17E" w:rsidR="00D264B4" w:rsidRPr="00CC1E9B" w:rsidRDefault="00D264B4" w:rsidP="00D264B4">
      <w:pPr>
        <w:rPr>
          <w:rFonts w:ascii="Times New Roman" w:hAnsi="Times New Roman" w:cs="Times New Roman"/>
          <w:b/>
          <w:bCs/>
          <w:i/>
          <w:iCs/>
          <w:sz w:val="24"/>
          <w:szCs w:val="24"/>
        </w:rPr>
      </w:pPr>
      <w:bookmarkStart w:id="52" w:name="_Hlk199514861"/>
      <w:r w:rsidRPr="00CC1E9B">
        <w:rPr>
          <w:rFonts w:ascii="Times New Roman" w:hAnsi="Times New Roman" w:cs="Times New Roman"/>
          <w:b/>
          <w:bCs/>
          <w:i/>
          <w:iCs/>
          <w:sz w:val="24"/>
          <w:szCs w:val="24"/>
        </w:rPr>
        <w:lastRenderedPageBreak/>
        <w:t xml:space="preserve">Subsecțiunea </w:t>
      </w:r>
      <w:bookmarkEnd w:id="52"/>
      <w:r w:rsidRPr="00CC1E9B">
        <w:rPr>
          <w:rFonts w:ascii="Times New Roman" w:hAnsi="Times New Roman" w:cs="Times New Roman"/>
          <w:b/>
          <w:bCs/>
          <w:i/>
          <w:iCs/>
          <w:sz w:val="24"/>
          <w:szCs w:val="24"/>
        </w:rPr>
        <w:t>1.</w:t>
      </w:r>
      <w:r w:rsidR="009323B5">
        <w:rPr>
          <w:rFonts w:ascii="Times New Roman" w:hAnsi="Times New Roman" w:cs="Times New Roman"/>
          <w:b/>
          <w:bCs/>
          <w:i/>
          <w:iCs/>
          <w:sz w:val="24"/>
          <w:szCs w:val="24"/>
        </w:rPr>
        <w:t xml:space="preserve"> </w:t>
      </w:r>
      <w:r w:rsidRPr="00CC1E9B">
        <w:rPr>
          <w:rFonts w:ascii="Times New Roman" w:hAnsi="Times New Roman" w:cs="Times New Roman"/>
          <w:b/>
          <w:bCs/>
          <w:i/>
          <w:iCs/>
          <w:sz w:val="24"/>
          <w:szCs w:val="24"/>
        </w:rPr>
        <w:t xml:space="preserve">Abordarea bazată pe modele interne alternativă și aprobarea </w:t>
      </w:r>
      <w:r w:rsidR="00353368">
        <w:rPr>
          <w:rFonts w:ascii="Times New Roman" w:hAnsi="Times New Roman" w:cs="Times New Roman"/>
          <w:b/>
          <w:bCs/>
          <w:i/>
          <w:iCs/>
          <w:sz w:val="24"/>
          <w:szCs w:val="24"/>
        </w:rPr>
        <w:t xml:space="preserve">prealabilă </w:t>
      </w:r>
      <w:r w:rsidRPr="00CC1E9B">
        <w:rPr>
          <w:rFonts w:ascii="Times New Roman" w:hAnsi="Times New Roman" w:cs="Times New Roman"/>
          <w:b/>
          <w:bCs/>
          <w:i/>
          <w:iCs/>
          <w:sz w:val="24"/>
          <w:szCs w:val="24"/>
        </w:rPr>
        <w:t>de a utiliza modele interne alternative</w:t>
      </w:r>
      <w:bookmarkEnd w:id="51"/>
    </w:p>
    <w:p w14:paraId="258E8F94" w14:textId="6D4420E2" w:rsidR="00D264B4" w:rsidRDefault="00D264B4" w:rsidP="00D264B4">
      <w:pPr>
        <w:rPr>
          <w:rFonts w:ascii="Times New Roman" w:hAnsi="Times New Roman" w:cs="Times New Roman"/>
          <w:sz w:val="24"/>
          <w:szCs w:val="24"/>
        </w:rPr>
      </w:pPr>
      <w:r w:rsidRPr="00D264B4">
        <w:rPr>
          <w:rFonts w:ascii="Times New Roman" w:hAnsi="Times New Roman" w:cs="Times New Roman"/>
          <w:sz w:val="24"/>
          <w:szCs w:val="24"/>
        </w:rPr>
        <w:t>330.   Abordarea bazată pe modele interne alternativă poate fi utilizată de o bancă pentru a-și calcula cerințele de fonduri proprii pentru riscul de piață, cu condiția ca banca să îndeplinească toate cerințele prevăzute în prezentul capitol.</w:t>
      </w:r>
    </w:p>
    <w:p w14:paraId="3AC38731" w14:textId="709B72FF" w:rsidR="00D264B4" w:rsidRPr="00D264B4" w:rsidRDefault="00D264B4" w:rsidP="00D264B4">
      <w:pPr>
        <w:rPr>
          <w:rFonts w:ascii="Times New Roman" w:hAnsi="Times New Roman" w:cs="Times New Roman"/>
          <w:sz w:val="24"/>
          <w:szCs w:val="24"/>
        </w:rPr>
      </w:pPr>
      <w:r w:rsidRPr="00D264B4">
        <w:rPr>
          <w:rFonts w:ascii="Times New Roman" w:hAnsi="Times New Roman" w:cs="Times New Roman"/>
          <w:sz w:val="24"/>
          <w:szCs w:val="24"/>
        </w:rPr>
        <w:t xml:space="preserve">331.   După ce verifică dacă băncile respectă cerințele prevăzute la secțiunea 2, subsecțiunile 7, 8 și 9, BNM acordă băncilor respective aprobarea </w:t>
      </w:r>
      <w:r w:rsidR="00353368">
        <w:rPr>
          <w:rFonts w:ascii="Times New Roman" w:hAnsi="Times New Roman" w:cs="Times New Roman"/>
          <w:sz w:val="24"/>
          <w:szCs w:val="24"/>
        </w:rPr>
        <w:t xml:space="preserve">prealabilă </w:t>
      </w:r>
      <w:r w:rsidRPr="00D264B4">
        <w:rPr>
          <w:rFonts w:ascii="Times New Roman" w:hAnsi="Times New Roman" w:cs="Times New Roman"/>
          <w:sz w:val="24"/>
          <w:szCs w:val="24"/>
        </w:rPr>
        <w:t>de a-și calcula cerințele de fonduri proprii pentru portofoliul cuprinzând toate pozițiile atribuite birourilor de tranzacționare utilizând modelele lor interne alternative în conformitate cu subsecțiunea 2, dacă sunt îndeplinite cumulativ următoarele cerințele:</w:t>
      </w:r>
    </w:p>
    <w:p w14:paraId="7A262C9A" w14:textId="77777777" w:rsidR="00D264B4" w:rsidRPr="00D264B4" w:rsidRDefault="00D264B4" w:rsidP="00D264B4">
      <w:pPr>
        <w:rPr>
          <w:rFonts w:ascii="Times New Roman" w:hAnsi="Times New Roman" w:cs="Times New Roman"/>
          <w:sz w:val="24"/>
          <w:szCs w:val="24"/>
        </w:rPr>
      </w:pPr>
      <w:r w:rsidRPr="00D264B4">
        <w:rPr>
          <w:rFonts w:ascii="Times New Roman" w:hAnsi="Times New Roman" w:cs="Times New Roman"/>
          <w:sz w:val="24"/>
          <w:szCs w:val="24"/>
        </w:rPr>
        <w:t>331.1. birourile de tranzacționare au fost înființate în conformitate cu titlul I, capitolul III, secțiunea 5;</w:t>
      </w:r>
    </w:p>
    <w:p w14:paraId="258A0CED" w14:textId="77777777" w:rsidR="00D264B4" w:rsidRPr="00D264B4" w:rsidRDefault="00D264B4" w:rsidP="00D264B4">
      <w:pPr>
        <w:rPr>
          <w:rFonts w:ascii="Times New Roman" w:hAnsi="Times New Roman" w:cs="Times New Roman"/>
          <w:sz w:val="24"/>
          <w:szCs w:val="24"/>
        </w:rPr>
      </w:pPr>
      <w:r w:rsidRPr="00D264B4">
        <w:rPr>
          <w:rFonts w:ascii="Times New Roman" w:hAnsi="Times New Roman" w:cs="Times New Roman"/>
          <w:sz w:val="24"/>
          <w:szCs w:val="24"/>
        </w:rPr>
        <w:t>331.2. banca a furnizat BNM o justificare pentru includerea birourilor de tranzacționare în domeniul de aplicare al abordării bazate pe modele interne alternative;</w:t>
      </w:r>
    </w:p>
    <w:p w14:paraId="2FBDA367" w14:textId="7B5D9D01" w:rsidR="00D264B4" w:rsidRPr="00D264B4" w:rsidRDefault="00D264B4" w:rsidP="00D264B4">
      <w:pPr>
        <w:rPr>
          <w:rFonts w:ascii="Times New Roman" w:hAnsi="Times New Roman" w:cs="Times New Roman"/>
          <w:sz w:val="24"/>
          <w:szCs w:val="24"/>
        </w:rPr>
      </w:pPr>
      <w:r w:rsidRPr="00D264B4">
        <w:rPr>
          <w:rFonts w:ascii="Times New Roman" w:hAnsi="Times New Roman" w:cs="Times New Roman"/>
          <w:sz w:val="24"/>
          <w:szCs w:val="24"/>
        </w:rPr>
        <w:t xml:space="preserve">331.3. birourile de tranzacționare au îndeplinit cerințele privind testarea ex post menționate la </w:t>
      </w:r>
      <w:r w:rsidR="001F12E8">
        <w:rPr>
          <w:rFonts w:ascii="Times New Roman" w:hAnsi="Times New Roman" w:cs="Times New Roman"/>
          <w:sz w:val="24"/>
          <w:szCs w:val="24"/>
        </w:rPr>
        <w:t>pct.369</w:t>
      </w:r>
      <w:r w:rsidRPr="00D264B4">
        <w:rPr>
          <w:rFonts w:ascii="Times New Roman" w:hAnsi="Times New Roman" w:cs="Times New Roman"/>
          <w:sz w:val="24"/>
          <w:szCs w:val="24"/>
        </w:rPr>
        <w:t>;</w:t>
      </w:r>
    </w:p>
    <w:p w14:paraId="193267E8" w14:textId="77777777" w:rsidR="00D264B4" w:rsidRPr="00D264B4" w:rsidRDefault="00D264B4" w:rsidP="00D264B4">
      <w:pPr>
        <w:rPr>
          <w:rFonts w:ascii="Times New Roman" w:hAnsi="Times New Roman" w:cs="Times New Roman"/>
          <w:sz w:val="24"/>
          <w:szCs w:val="24"/>
        </w:rPr>
      </w:pPr>
      <w:r w:rsidRPr="00D264B4">
        <w:rPr>
          <w:rFonts w:ascii="Times New Roman" w:hAnsi="Times New Roman" w:cs="Times New Roman"/>
          <w:sz w:val="24"/>
          <w:szCs w:val="24"/>
        </w:rPr>
        <w:t>331.4. birourile de tranzacționare au îndeplinit cerințele privind atribuirea profitului și a pierderii menționate la secțiunea 2, subsecțiunea 6;</w:t>
      </w:r>
    </w:p>
    <w:p w14:paraId="3DC8FFAE" w14:textId="77777777" w:rsidR="00D264B4" w:rsidRPr="00D264B4" w:rsidRDefault="00D264B4" w:rsidP="00D264B4">
      <w:pPr>
        <w:rPr>
          <w:rFonts w:ascii="Times New Roman" w:hAnsi="Times New Roman" w:cs="Times New Roman"/>
          <w:sz w:val="24"/>
          <w:szCs w:val="24"/>
        </w:rPr>
      </w:pPr>
      <w:r w:rsidRPr="00D264B4">
        <w:rPr>
          <w:rFonts w:ascii="Times New Roman" w:hAnsi="Times New Roman" w:cs="Times New Roman"/>
          <w:sz w:val="24"/>
          <w:szCs w:val="24"/>
        </w:rPr>
        <w:t>331.5. în cazul birourilor de tranzacționare cărora li s-a atribuit cel puțin una dintre pozițiile din portofoliul de tranzacționare menționate la secțiunea 3, subsecțiunea 1, birourile de tranzacționare îndeplinesc cerințele stabilite la secțiunea 3, subsecțiunea 2 pentru modelul intern pentru riscul de nerambursare;</w:t>
      </w:r>
    </w:p>
    <w:p w14:paraId="63058C3A" w14:textId="77777777" w:rsidR="00D264B4" w:rsidRPr="00D264B4" w:rsidRDefault="00D264B4" w:rsidP="00D264B4">
      <w:pPr>
        <w:rPr>
          <w:rFonts w:ascii="Times New Roman" w:hAnsi="Times New Roman" w:cs="Times New Roman"/>
          <w:sz w:val="24"/>
          <w:szCs w:val="24"/>
        </w:rPr>
      </w:pPr>
      <w:r w:rsidRPr="00D264B4">
        <w:rPr>
          <w:rFonts w:ascii="Times New Roman" w:hAnsi="Times New Roman" w:cs="Times New Roman"/>
          <w:sz w:val="24"/>
          <w:szCs w:val="24"/>
        </w:rPr>
        <w:t xml:space="preserve">331.6. nu au fost atribuite poziții provenite din securitizare sau din </w:t>
      </w:r>
      <w:proofErr w:type="spellStart"/>
      <w:r w:rsidRPr="00D264B4">
        <w:rPr>
          <w:rFonts w:ascii="Times New Roman" w:hAnsi="Times New Roman" w:cs="Times New Roman"/>
          <w:sz w:val="24"/>
          <w:szCs w:val="24"/>
        </w:rPr>
        <w:t>resecuritizare</w:t>
      </w:r>
      <w:proofErr w:type="spellEnd"/>
      <w:r w:rsidRPr="00D264B4">
        <w:rPr>
          <w:rFonts w:ascii="Times New Roman" w:hAnsi="Times New Roman" w:cs="Times New Roman"/>
          <w:sz w:val="24"/>
          <w:szCs w:val="24"/>
        </w:rPr>
        <w:t xml:space="preserve"> birourilor de tranzacționare;</w:t>
      </w:r>
    </w:p>
    <w:p w14:paraId="66E17AFD" w14:textId="515D36C2" w:rsidR="00D264B4" w:rsidRPr="00D264B4" w:rsidRDefault="00D264B4" w:rsidP="00D264B4">
      <w:pPr>
        <w:rPr>
          <w:rFonts w:ascii="Times New Roman" w:hAnsi="Times New Roman" w:cs="Times New Roman"/>
          <w:sz w:val="24"/>
          <w:szCs w:val="24"/>
        </w:rPr>
      </w:pPr>
      <w:r w:rsidRPr="00D264B4">
        <w:rPr>
          <w:rFonts w:ascii="Times New Roman" w:hAnsi="Times New Roman" w:cs="Times New Roman"/>
          <w:sz w:val="24"/>
          <w:szCs w:val="24"/>
        </w:rPr>
        <w:t xml:space="preserve">331.7. nu au fost atribuite birourilor de tranzacționare poziții pe OPC-uri care îndeplinesc condiția prevăzută la </w:t>
      </w:r>
      <w:r w:rsidR="006D07BF" w:rsidRPr="006D07BF">
        <w:rPr>
          <w:rFonts w:ascii="Times New Roman" w:hAnsi="Times New Roman" w:cs="Times New Roman"/>
          <w:sz w:val="24"/>
          <w:szCs w:val="24"/>
        </w:rPr>
        <w:t>subpct</w:t>
      </w:r>
      <w:r w:rsidR="006D07BF">
        <w:rPr>
          <w:rFonts w:ascii="Times New Roman" w:hAnsi="Times New Roman" w:cs="Times New Roman"/>
          <w:sz w:val="24"/>
          <w:szCs w:val="24"/>
        </w:rPr>
        <w:t>.24.2</w:t>
      </w:r>
      <w:r w:rsidRPr="00D264B4">
        <w:rPr>
          <w:rFonts w:ascii="Times New Roman" w:hAnsi="Times New Roman" w:cs="Times New Roman"/>
          <w:sz w:val="24"/>
          <w:szCs w:val="24"/>
        </w:rPr>
        <w:t>.</w:t>
      </w:r>
    </w:p>
    <w:p w14:paraId="3F8AD8D8" w14:textId="000A9303" w:rsidR="00D264B4" w:rsidRDefault="00D264B4" w:rsidP="00D264B4">
      <w:pPr>
        <w:rPr>
          <w:rFonts w:ascii="Times New Roman" w:hAnsi="Times New Roman" w:cs="Times New Roman"/>
          <w:sz w:val="24"/>
          <w:szCs w:val="24"/>
        </w:rPr>
      </w:pPr>
      <w:r w:rsidRPr="00D264B4">
        <w:rPr>
          <w:rFonts w:ascii="Times New Roman" w:hAnsi="Times New Roman" w:cs="Times New Roman"/>
          <w:sz w:val="24"/>
          <w:szCs w:val="24"/>
        </w:rPr>
        <w:t xml:space="preserve">332. În sensul subpct.331.2, neincluderea unui birou de tranzacționare în domeniul de aplicare al abordării bazate pe modele interne alternative nu poate fi motivată de faptul că cerința de fonduri proprii calculată în conformitate cu abordarea standardizată alternativă prevăzută la </w:t>
      </w:r>
      <w:r w:rsidR="006D07BF" w:rsidRPr="006D07BF">
        <w:rPr>
          <w:rFonts w:ascii="Times New Roman" w:hAnsi="Times New Roman" w:cs="Times New Roman"/>
          <w:sz w:val="24"/>
          <w:szCs w:val="24"/>
        </w:rPr>
        <w:t>subpct.72.1</w:t>
      </w:r>
      <w:r w:rsidRPr="006D07BF">
        <w:rPr>
          <w:rFonts w:ascii="Times New Roman" w:hAnsi="Times New Roman" w:cs="Times New Roman"/>
          <w:sz w:val="24"/>
          <w:szCs w:val="24"/>
        </w:rPr>
        <w:t xml:space="preserve"> ar fi mai redusă decât cerința de fonduri proprii cal</w:t>
      </w:r>
      <w:r w:rsidRPr="00D264B4">
        <w:rPr>
          <w:rFonts w:ascii="Times New Roman" w:hAnsi="Times New Roman" w:cs="Times New Roman"/>
          <w:sz w:val="24"/>
          <w:szCs w:val="24"/>
        </w:rPr>
        <w:t>culată în conformitate cu abordarea bazată pe modele interne alternative.</w:t>
      </w:r>
    </w:p>
    <w:p w14:paraId="4268CFC2" w14:textId="5460BCE6" w:rsidR="00D264B4" w:rsidRDefault="00D264B4" w:rsidP="00D264B4">
      <w:pPr>
        <w:rPr>
          <w:rFonts w:ascii="Times New Roman" w:hAnsi="Times New Roman" w:cs="Times New Roman"/>
          <w:sz w:val="24"/>
          <w:szCs w:val="24"/>
        </w:rPr>
      </w:pPr>
      <w:r w:rsidRPr="00D264B4">
        <w:rPr>
          <w:rFonts w:ascii="Times New Roman" w:hAnsi="Times New Roman" w:cs="Times New Roman"/>
          <w:sz w:val="24"/>
          <w:szCs w:val="24"/>
        </w:rPr>
        <w:t xml:space="preserve">333.  Băncile care au primit aprobarea </w:t>
      </w:r>
      <w:r w:rsidR="00353368">
        <w:rPr>
          <w:rFonts w:ascii="Times New Roman" w:hAnsi="Times New Roman" w:cs="Times New Roman"/>
          <w:sz w:val="24"/>
          <w:szCs w:val="24"/>
        </w:rPr>
        <w:t xml:space="preserve">prealabilă </w:t>
      </w:r>
      <w:r w:rsidRPr="00D264B4">
        <w:rPr>
          <w:rFonts w:ascii="Times New Roman" w:hAnsi="Times New Roman" w:cs="Times New Roman"/>
          <w:sz w:val="24"/>
          <w:szCs w:val="24"/>
        </w:rPr>
        <w:t>de a utiliza abordarea bazată pe modele interne alternativă îndeplinesc, de asemenea, cerința de raportare prevăzută la</w:t>
      </w:r>
      <w:r w:rsidR="006D07BF" w:rsidRPr="006D07BF">
        <w:rPr>
          <w:rFonts w:ascii="Times New Roman" w:hAnsi="Times New Roman" w:cs="Times New Roman"/>
          <w:sz w:val="24"/>
          <w:szCs w:val="24"/>
        </w:rPr>
        <w:t xml:space="preserve"> pct.72</w:t>
      </w:r>
      <w:r w:rsidRPr="00D264B4">
        <w:rPr>
          <w:rFonts w:ascii="Times New Roman" w:hAnsi="Times New Roman" w:cs="Times New Roman"/>
          <w:sz w:val="24"/>
          <w:szCs w:val="24"/>
        </w:rPr>
        <w:t>.</w:t>
      </w:r>
    </w:p>
    <w:p w14:paraId="4E5B00D0" w14:textId="6BB2C1B0" w:rsidR="00D264B4" w:rsidRDefault="00D264B4" w:rsidP="00D264B4">
      <w:pPr>
        <w:rPr>
          <w:rFonts w:ascii="Times New Roman" w:hAnsi="Times New Roman" w:cs="Times New Roman"/>
          <w:sz w:val="24"/>
          <w:szCs w:val="24"/>
        </w:rPr>
      </w:pPr>
      <w:r w:rsidRPr="00D264B4">
        <w:rPr>
          <w:rFonts w:ascii="Times New Roman" w:hAnsi="Times New Roman" w:cs="Times New Roman"/>
          <w:sz w:val="24"/>
          <w:szCs w:val="24"/>
        </w:rPr>
        <w:t>334.  O bancă căreia i s-a acordat aprobarea menționată la pct.331 notifică imediat BNM faptul că unul dintre birourile sale de tranzacționare nu mai îndeplinește cel puțin una dintre cerințele prevăzute la punctul respectiv. Băncii în cauză nu i se mai permite să aplice prevederile prezentului capitol niciuneia dintre pozițiile atribuite biroului de tranzacționare respectiv și aceasta calculează cerințele de fonduri proprii pentru riscul de piață în conformitate cu abordarea prevăzută în capitolul II pentru toate pozițiile atribuite biroului de tranzacționare de la prima dată de raportare care urmează și până când banca demonstrează BNM că biroul de tranzacționare îndeplinește din nou toate cerințele prevăzute la pct.331.</w:t>
      </w:r>
    </w:p>
    <w:p w14:paraId="7E519F94" w14:textId="4F84EEB5" w:rsidR="00FE6783" w:rsidRDefault="00FE6783" w:rsidP="00D264B4">
      <w:pPr>
        <w:rPr>
          <w:rFonts w:ascii="Times New Roman" w:hAnsi="Times New Roman" w:cs="Times New Roman"/>
          <w:sz w:val="24"/>
          <w:szCs w:val="24"/>
        </w:rPr>
      </w:pPr>
      <w:r w:rsidRPr="00FE6783">
        <w:rPr>
          <w:rFonts w:ascii="Times New Roman" w:hAnsi="Times New Roman" w:cs="Times New Roman"/>
          <w:sz w:val="24"/>
          <w:szCs w:val="24"/>
        </w:rPr>
        <w:t>335.   Prin derogare de la</w:t>
      </w:r>
      <w:r w:rsidR="00050D42">
        <w:rPr>
          <w:rFonts w:ascii="Times New Roman" w:hAnsi="Times New Roman" w:cs="Times New Roman"/>
          <w:sz w:val="24"/>
          <w:szCs w:val="24"/>
        </w:rPr>
        <w:t xml:space="preserve"> </w:t>
      </w:r>
      <w:r w:rsidRPr="00FE6783">
        <w:rPr>
          <w:rFonts w:ascii="Times New Roman" w:hAnsi="Times New Roman" w:cs="Times New Roman"/>
          <w:sz w:val="24"/>
          <w:szCs w:val="24"/>
        </w:rPr>
        <w:t xml:space="preserve">pct.334, în circumstanțe excepționale BNM poate permite unei bănci să continue să utilizeze modelele sale interne alternative în scopul calculării cerințelor de fonduri proprii pentru riscul de piață aferente unui birou de tranzacționare care nu mai îndeplinește condițiile prevăzute la subpct.331.3 și </w:t>
      </w:r>
      <w:r w:rsidRPr="00A47F98">
        <w:rPr>
          <w:rFonts w:ascii="Times New Roman" w:hAnsi="Times New Roman" w:cs="Times New Roman"/>
          <w:sz w:val="24"/>
          <w:szCs w:val="24"/>
        </w:rPr>
        <w:t xml:space="preserve">la </w:t>
      </w:r>
      <w:r w:rsidR="00A47F98">
        <w:rPr>
          <w:rFonts w:ascii="Times New Roman" w:hAnsi="Times New Roman" w:cs="Times New Roman"/>
          <w:sz w:val="24"/>
          <w:szCs w:val="24"/>
        </w:rPr>
        <w:t>pct.337</w:t>
      </w:r>
      <w:r w:rsidRPr="00101345">
        <w:rPr>
          <w:rFonts w:ascii="Times New Roman" w:hAnsi="Times New Roman" w:cs="Times New Roman"/>
          <w:sz w:val="24"/>
          <w:szCs w:val="24"/>
        </w:rPr>
        <w:t>. În cazul în care BNM exercită puterea de apreciere menționată mai sus, aceasta notifică ABE și își motivează decizia.</w:t>
      </w:r>
    </w:p>
    <w:p w14:paraId="40F21DCC" w14:textId="2E78F01F" w:rsidR="00FE6783" w:rsidRDefault="00FE6783" w:rsidP="00D264B4">
      <w:pPr>
        <w:rPr>
          <w:rFonts w:ascii="Times New Roman" w:hAnsi="Times New Roman" w:cs="Times New Roman"/>
          <w:sz w:val="24"/>
          <w:szCs w:val="24"/>
        </w:rPr>
      </w:pPr>
      <w:r w:rsidRPr="00FE6783">
        <w:rPr>
          <w:rFonts w:ascii="Times New Roman" w:hAnsi="Times New Roman" w:cs="Times New Roman"/>
          <w:sz w:val="24"/>
          <w:szCs w:val="24"/>
        </w:rPr>
        <w:t>336.   În cazul pozițiilor atribuite birourilor de tranzacționare pentru care unei bănci nu i s-a acordat aprobarea</w:t>
      </w:r>
      <w:r w:rsidR="00353368">
        <w:rPr>
          <w:rFonts w:ascii="Times New Roman" w:hAnsi="Times New Roman" w:cs="Times New Roman"/>
          <w:sz w:val="24"/>
          <w:szCs w:val="24"/>
        </w:rPr>
        <w:t xml:space="preserve"> prealabilă</w:t>
      </w:r>
      <w:r w:rsidRPr="00FE6783">
        <w:rPr>
          <w:rFonts w:ascii="Times New Roman" w:hAnsi="Times New Roman" w:cs="Times New Roman"/>
          <w:sz w:val="24"/>
          <w:szCs w:val="24"/>
        </w:rPr>
        <w:t xml:space="preserve">, astfel cum se prevede la pct.331, cerințele de fonduri proprii pentru riscul de piață se </w:t>
      </w:r>
      <w:r w:rsidRPr="00FE6783">
        <w:rPr>
          <w:rFonts w:ascii="Times New Roman" w:hAnsi="Times New Roman" w:cs="Times New Roman"/>
          <w:sz w:val="24"/>
          <w:szCs w:val="24"/>
        </w:rPr>
        <w:lastRenderedPageBreak/>
        <w:t>calculează de către banca respectivă în conformitate cu capitolul II. În scopul efectuării acestui calcul, toate pozițiile în cauză sunt considerate, în mod de sine stătător, un portofoliu distinct.</w:t>
      </w:r>
    </w:p>
    <w:p w14:paraId="7189B9AB" w14:textId="01D1483A" w:rsidR="00FE6783" w:rsidRPr="00FE6783" w:rsidRDefault="00FE6783" w:rsidP="00FE6783">
      <w:pPr>
        <w:rPr>
          <w:rFonts w:ascii="Times New Roman" w:hAnsi="Times New Roman" w:cs="Times New Roman"/>
          <w:sz w:val="24"/>
          <w:szCs w:val="24"/>
        </w:rPr>
      </w:pPr>
      <w:r w:rsidRPr="00FE6783">
        <w:rPr>
          <w:rFonts w:ascii="Times New Roman" w:hAnsi="Times New Roman" w:cs="Times New Roman"/>
          <w:sz w:val="24"/>
          <w:szCs w:val="24"/>
        </w:rPr>
        <w:t>337.  Pentru modificările semnificative ale utilizării modelelor interne alternative pentru care o bancă a primit aprobare</w:t>
      </w:r>
      <w:r w:rsidR="00353368">
        <w:rPr>
          <w:rFonts w:ascii="Times New Roman" w:hAnsi="Times New Roman" w:cs="Times New Roman"/>
          <w:sz w:val="24"/>
          <w:szCs w:val="24"/>
        </w:rPr>
        <w:t>a prealabilă</w:t>
      </w:r>
      <w:r w:rsidRPr="00FE6783">
        <w:rPr>
          <w:rFonts w:ascii="Times New Roman" w:hAnsi="Times New Roman" w:cs="Times New Roman"/>
          <w:sz w:val="24"/>
          <w:szCs w:val="24"/>
        </w:rPr>
        <w:t>, pentru extinderea sferei de utilizare a modelelor interne alternative pentru care banca a primit aprobare</w:t>
      </w:r>
      <w:r w:rsidR="00353368">
        <w:rPr>
          <w:rFonts w:ascii="Times New Roman" w:hAnsi="Times New Roman" w:cs="Times New Roman"/>
          <w:sz w:val="24"/>
          <w:szCs w:val="24"/>
        </w:rPr>
        <w:t>a prealabilă</w:t>
      </w:r>
      <w:r w:rsidRPr="00FE6783">
        <w:rPr>
          <w:rFonts w:ascii="Times New Roman" w:hAnsi="Times New Roman" w:cs="Times New Roman"/>
          <w:sz w:val="24"/>
          <w:szCs w:val="24"/>
        </w:rPr>
        <w:t xml:space="preserve">, precum și pentru modificările semnificative ale subsetului de factori de risc modelabili ales de </w:t>
      </w:r>
      <w:r w:rsidR="006A3F23">
        <w:rPr>
          <w:rFonts w:ascii="Times New Roman" w:hAnsi="Times New Roman" w:cs="Times New Roman"/>
          <w:sz w:val="24"/>
          <w:szCs w:val="24"/>
        </w:rPr>
        <w:t>bancă</w:t>
      </w:r>
      <w:r w:rsidR="006A3F23" w:rsidRPr="00FE6783">
        <w:rPr>
          <w:rFonts w:ascii="Times New Roman" w:hAnsi="Times New Roman" w:cs="Times New Roman"/>
          <w:sz w:val="24"/>
          <w:szCs w:val="24"/>
        </w:rPr>
        <w:t xml:space="preserve"> </w:t>
      </w:r>
      <w:r w:rsidRPr="00FE6783">
        <w:rPr>
          <w:rFonts w:ascii="Times New Roman" w:hAnsi="Times New Roman" w:cs="Times New Roman"/>
          <w:sz w:val="24"/>
          <w:szCs w:val="24"/>
        </w:rPr>
        <w:t xml:space="preserve">menționat la </w:t>
      </w:r>
      <w:r w:rsidR="00164907" w:rsidRPr="00164907">
        <w:rPr>
          <w:rFonts w:ascii="Times New Roman" w:hAnsi="Times New Roman" w:cs="Times New Roman"/>
          <w:sz w:val="24"/>
          <w:szCs w:val="24"/>
        </w:rPr>
        <w:t>pct.349</w:t>
      </w:r>
      <w:r w:rsidRPr="00FE6783">
        <w:rPr>
          <w:rFonts w:ascii="Times New Roman" w:hAnsi="Times New Roman" w:cs="Times New Roman"/>
          <w:sz w:val="24"/>
          <w:szCs w:val="24"/>
        </w:rPr>
        <w:t xml:space="preserve"> este necesară o aprobare </w:t>
      </w:r>
      <w:r w:rsidR="00353368">
        <w:rPr>
          <w:rFonts w:ascii="Times New Roman" w:hAnsi="Times New Roman" w:cs="Times New Roman"/>
          <w:sz w:val="24"/>
          <w:szCs w:val="24"/>
        </w:rPr>
        <w:t xml:space="preserve">prealabilă </w:t>
      </w:r>
      <w:r w:rsidRPr="00FE6783">
        <w:rPr>
          <w:rFonts w:ascii="Times New Roman" w:hAnsi="Times New Roman" w:cs="Times New Roman"/>
          <w:sz w:val="24"/>
          <w:szCs w:val="24"/>
        </w:rPr>
        <w:t>separată din partea BNM.</w:t>
      </w:r>
    </w:p>
    <w:p w14:paraId="6CC23575" w14:textId="7904F0CB" w:rsidR="00FE6783" w:rsidRDefault="00FE6783" w:rsidP="00FE6783">
      <w:pPr>
        <w:rPr>
          <w:rFonts w:ascii="Times New Roman" w:hAnsi="Times New Roman" w:cs="Times New Roman"/>
          <w:sz w:val="24"/>
          <w:szCs w:val="24"/>
        </w:rPr>
      </w:pPr>
      <w:r w:rsidRPr="00FE6783">
        <w:rPr>
          <w:rFonts w:ascii="Times New Roman" w:hAnsi="Times New Roman" w:cs="Times New Roman"/>
          <w:sz w:val="24"/>
          <w:szCs w:val="24"/>
        </w:rPr>
        <w:t>338. Băncile notifică BNM toate celelalte extinderi și modificări ale utilizării modelelor interne alternative pentru care banca a primit aprobare</w:t>
      </w:r>
      <w:r w:rsidR="00353368">
        <w:rPr>
          <w:rFonts w:ascii="Times New Roman" w:hAnsi="Times New Roman" w:cs="Times New Roman"/>
          <w:sz w:val="24"/>
          <w:szCs w:val="24"/>
        </w:rPr>
        <w:t>a prealabilă</w:t>
      </w:r>
      <w:r w:rsidRPr="00FE6783">
        <w:rPr>
          <w:rFonts w:ascii="Times New Roman" w:hAnsi="Times New Roman" w:cs="Times New Roman"/>
          <w:sz w:val="24"/>
          <w:szCs w:val="24"/>
        </w:rPr>
        <w:t>.</w:t>
      </w:r>
    </w:p>
    <w:p w14:paraId="222B0467" w14:textId="66457BA9" w:rsidR="00FE6783" w:rsidRPr="00CC1E9B" w:rsidRDefault="00FE6783" w:rsidP="00FE6783">
      <w:pPr>
        <w:rPr>
          <w:rFonts w:ascii="Times New Roman" w:hAnsi="Times New Roman" w:cs="Times New Roman"/>
          <w:b/>
          <w:bCs/>
          <w:i/>
          <w:iCs/>
          <w:sz w:val="24"/>
          <w:szCs w:val="24"/>
        </w:rPr>
      </w:pPr>
      <w:bookmarkStart w:id="53" w:name="_Hlk195098577"/>
      <w:r w:rsidRPr="00CC1E9B">
        <w:rPr>
          <w:rFonts w:ascii="Times New Roman" w:hAnsi="Times New Roman" w:cs="Times New Roman"/>
          <w:b/>
          <w:bCs/>
          <w:i/>
          <w:iCs/>
          <w:sz w:val="24"/>
          <w:szCs w:val="24"/>
        </w:rPr>
        <w:t>Subsecțiunea 2. Cerințe de fonduri proprii în cazul utilizării unor modele interne alternative</w:t>
      </w:r>
      <w:bookmarkEnd w:id="53"/>
    </w:p>
    <w:p w14:paraId="71534717" w14:textId="2F3D0C31" w:rsidR="00FE6783" w:rsidRPr="00FE6783" w:rsidRDefault="00FE6783" w:rsidP="00FE6783">
      <w:pPr>
        <w:rPr>
          <w:rFonts w:ascii="Times New Roman" w:hAnsi="Times New Roman" w:cs="Times New Roman"/>
          <w:sz w:val="24"/>
          <w:szCs w:val="24"/>
        </w:rPr>
      </w:pPr>
      <w:r w:rsidRPr="00FE6783">
        <w:rPr>
          <w:rFonts w:ascii="Times New Roman" w:hAnsi="Times New Roman" w:cs="Times New Roman"/>
          <w:sz w:val="24"/>
          <w:szCs w:val="24"/>
        </w:rPr>
        <w:t>339.   O bancă care utilizează un model intern alternativ calculează cerințele de fonduri proprii pentru portofoliul cuprinzând toate pozițiile atribuite birourilor de tranzacționare pentru care banca a primit aprobare</w:t>
      </w:r>
      <w:r w:rsidR="00353368">
        <w:rPr>
          <w:rFonts w:ascii="Times New Roman" w:hAnsi="Times New Roman" w:cs="Times New Roman"/>
          <w:sz w:val="24"/>
          <w:szCs w:val="24"/>
        </w:rPr>
        <w:t>a prealabilă</w:t>
      </w:r>
      <w:r w:rsidRPr="00FE6783">
        <w:rPr>
          <w:rFonts w:ascii="Times New Roman" w:hAnsi="Times New Roman" w:cs="Times New Roman"/>
          <w:sz w:val="24"/>
          <w:szCs w:val="24"/>
        </w:rPr>
        <w:t xml:space="preserve"> astfel cum se prevede la </w:t>
      </w:r>
      <w:r w:rsidR="00164907" w:rsidRPr="00164907">
        <w:rPr>
          <w:rFonts w:ascii="Times New Roman" w:hAnsi="Times New Roman" w:cs="Times New Roman"/>
          <w:sz w:val="24"/>
          <w:szCs w:val="24"/>
        </w:rPr>
        <w:t>pct.331</w:t>
      </w:r>
      <w:r w:rsidRPr="00FE6783">
        <w:rPr>
          <w:rFonts w:ascii="Times New Roman" w:hAnsi="Times New Roman" w:cs="Times New Roman"/>
          <w:sz w:val="24"/>
          <w:szCs w:val="24"/>
        </w:rPr>
        <w:t xml:space="preserve"> ca cea mai mare valoare dintre următoarele elemente:</w:t>
      </w:r>
    </w:p>
    <w:p w14:paraId="22DB2C7A" w14:textId="77777777" w:rsidR="00FE6783" w:rsidRPr="00FE6783" w:rsidRDefault="00FE6783" w:rsidP="00FE6783">
      <w:pPr>
        <w:rPr>
          <w:rFonts w:ascii="Times New Roman" w:hAnsi="Times New Roman" w:cs="Times New Roman"/>
          <w:sz w:val="24"/>
          <w:szCs w:val="24"/>
        </w:rPr>
      </w:pPr>
      <w:r w:rsidRPr="00FE6783">
        <w:rPr>
          <w:rFonts w:ascii="Times New Roman" w:hAnsi="Times New Roman" w:cs="Times New Roman"/>
          <w:sz w:val="24"/>
          <w:szCs w:val="24"/>
        </w:rPr>
        <w:t>339.1. suma următoarelor valori:</w:t>
      </w:r>
    </w:p>
    <w:p w14:paraId="4D46062F" w14:textId="77777777" w:rsidR="00FE6783" w:rsidRPr="00FE6783" w:rsidRDefault="00FE6783" w:rsidP="00FE6783">
      <w:pPr>
        <w:rPr>
          <w:rFonts w:ascii="Times New Roman" w:hAnsi="Times New Roman" w:cs="Times New Roman"/>
          <w:sz w:val="24"/>
          <w:szCs w:val="24"/>
        </w:rPr>
      </w:pPr>
      <w:r w:rsidRPr="00FE6783">
        <w:rPr>
          <w:rFonts w:ascii="Times New Roman" w:hAnsi="Times New Roman" w:cs="Times New Roman"/>
          <w:sz w:val="24"/>
          <w:szCs w:val="24"/>
        </w:rPr>
        <w:t>339.1.1. măsura valorii la risc condiționate a băncii pentru ziua anterioară (ES</w:t>
      </w:r>
      <w:r w:rsidRPr="00FE6783">
        <w:rPr>
          <w:rFonts w:ascii="Times New Roman" w:hAnsi="Times New Roman" w:cs="Times New Roman"/>
          <w:sz w:val="24"/>
          <w:szCs w:val="24"/>
          <w:vertAlign w:val="subscript"/>
        </w:rPr>
        <w:t>t-1</w:t>
      </w:r>
      <w:r w:rsidRPr="00FE6783">
        <w:rPr>
          <w:rFonts w:ascii="Times New Roman" w:hAnsi="Times New Roman" w:cs="Times New Roman"/>
          <w:sz w:val="24"/>
          <w:szCs w:val="24"/>
        </w:rPr>
        <w:t>), calculată în conformitate cu secțiunea 2, subsecțiunea 1; și</w:t>
      </w:r>
    </w:p>
    <w:p w14:paraId="126805F4" w14:textId="77777777" w:rsidR="00FE6783" w:rsidRPr="00FE6783" w:rsidRDefault="00FE6783" w:rsidP="00FE6783">
      <w:pPr>
        <w:rPr>
          <w:rFonts w:ascii="Times New Roman" w:hAnsi="Times New Roman" w:cs="Times New Roman"/>
          <w:sz w:val="24"/>
          <w:szCs w:val="24"/>
        </w:rPr>
      </w:pPr>
      <w:r w:rsidRPr="00FE6783">
        <w:rPr>
          <w:rFonts w:ascii="Times New Roman" w:hAnsi="Times New Roman" w:cs="Times New Roman"/>
          <w:sz w:val="24"/>
          <w:szCs w:val="24"/>
        </w:rPr>
        <w:t>339.1.2. măsura riscului pentru scenarii de criză a băncii pentru ziua anterioară (SS</w:t>
      </w:r>
      <w:r w:rsidRPr="00FE6783">
        <w:rPr>
          <w:rFonts w:ascii="Times New Roman" w:hAnsi="Times New Roman" w:cs="Times New Roman"/>
          <w:sz w:val="24"/>
          <w:szCs w:val="24"/>
          <w:vertAlign w:val="subscript"/>
        </w:rPr>
        <w:t>t-1</w:t>
      </w:r>
      <w:r w:rsidRPr="00FE6783">
        <w:rPr>
          <w:rFonts w:ascii="Times New Roman" w:hAnsi="Times New Roman" w:cs="Times New Roman"/>
          <w:sz w:val="24"/>
          <w:szCs w:val="24"/>
        </w:rPr>
        <w:t>), calculată în conformitate cu secțiunea 5; sau</w:t>
      </w:r>
    </w:p>
    <w:p w14:paraId="3BB9230E" w14:textId="77777777" w:rsidR="00FE6783" w:rsidRPr="00FE6783" w:rsidRDefault="00FE6783" w:rsidP="00FE6783">
      <w:pPr>
        <w:rPr>
          <w:rFonts w:ascii="Times New Roman" w:hAnsi="Times New Roman" w:cs="Times New Roman"/>
          <w:sz w:val="24"/>
          <w:szCs w:val="24"/>
        </w:rPr>
      </w:pPr>
      <w:r w:rsidRPr="00FE6783">
        <w:rPr>
          <w:rFonts w:ascii="Times New Roman" w:hAnsi="Times New Roman" w:cs="Times New Roman"/>
          <w:sz w:val="24"/>
          <w:szCs w:val="24"/>
        </w:rPr>
        <w:t>339.2. suma următoarelor valori:</w:t>
      </w:r>
    </w:p>
    <w:p w14:paraId="48829984" w14:textId="6DEE55C8" w:rsidR="00FE6783" w:rsidRPr="00FE6783" w:rsidRDefault="00FE6783" w:rsidP="00FE6783">
      <w:pPr>
        <w:rPr>
          <w:rFonts w:ascii="Times New Roman" w:hAnsi="Times New Roman" w:cs="Times New Roman"/>
          <w:sz w:val="24"/>
          <w:szCs w:val="24"/>
        </w:rPr>
      </w:pPr>
      <w:r w:rsidRPr="00FE6783">
        <w:rPr>
          <w:rFonts w:ascii="Times New Roman" w:hAnsi="Times New Roman" w:cs="Times New Roman"/>
          <w:sz w:val="24"/>
          <w:szCs w:val="24"/>
        </w:rPr>
        <w:t>339.2.1. media nivelurilor zilnice ale măsurii valorii la risc condiționate a băncii, calculată conform secțiunii 2, subsecțiunea 1</w:t>
      </w:r>
      <w:r w:rsidR="00353368">
        <w:rPr>
          <w:rFonts w:ascii="Times New Roman" w:hAnsi="Times New Roman" w:cs="Times New Roman"/>
          <w:sz w:val="24"/>
          <w:szCs w:val="24"/>
        </w:rPr>
        <w:t xml:space="preserve"> </w:t>
      </w:r>
      <w:r w:rsidRPr="00FE6783">
        <w:rPr>
          <w:rFonts w:ascii="Times New Roman" w:hAnsi="Times New Roman" w:cs="Times New Roman"/>
          <w:sz w:val="24"/>
          <w:szCs w:val="24"/>
        </w:rPr>
        <w:t>pentru fiecare dintre cele șaizeci de zile lucrătoare anterioare (</w:t>
      </w:r>
      <w:proofErr w:type="spellStart"/>
      <w:r w:rsidRPr="00FE6783">
        <w:rPr>
          <w:rFonts w:ascii="Times New Roman" w:hAnsi="Times New Roman" w:cs="Times New Roman"/>
          <w:sz w:val="24"/>
          <w:szCs w:val="24"/>
        </w:rPr>
        <w:t>ES</w:t>
      </w:r>
      <w:r w:rsidRPr="00FE6783">
        <w:rPr>
          <w:rFonts w:ascii="Times New Roman" w:hAnsi="Times New Roman" w:cs="Times New Roman"/>
          <w:sz w:val="24"/>
          <w:szCs w:val="24"/>
          <w:vertAlign w:val="superscript"/>
        </w:rPr>
        <w:t>avg</w:t>
      </w:r>
      <w:proofErr w:type="spellEnd"/>
      <w:r w:rsidRPr="00FE6783">
        <w:rPr>
          <w:rFonts w:ascii="Times New Roman" w:hAnsi="Times New Roman" w:cs="Times New Roman"/>
          <w:sz w:val="24"/>
          <w:szCs w:val="24"/>
        </w:rPr>
        <w:t>), înmulțită cu factorul de multiplicare (m</w:t>
      </w:r>
      <w:r w:rsidRPr="00FE6783">
        <w:rPr>
          <w:rFonts w:ascii="Times New Roman" w:hAnsi="Times New Roman" w:cs="Times New Roman"/>
          <w:sz w:val="24"/>
          <w:szCs w:val="24"/>
          <w:vertAlign w:val="subscript"/>
        </w:rPr>
        <w:t>c</w:t>
      </w:r>
      <w:r w:rsidRPr="00FE6783">
        <w:rPr>
          <w:rFonts w:ascii="Times New Roman" w:hAnsi="Times New Roman" w:cs="Times New Roman"/>
          <w:sz w:val="24"/>
          <w:szCs w:val="24"/>
        </w:rPr>
        <w:t>); și</w:t>
      </w:r>
    </w:p>
    <w:p w14:paraId="55483717" w14:textId="77777777" w:rsidR="00FE6783" w:rsidRPr="00FE6783" w:rsidRDefault="00FE6783" w:rsidP="00FE6783">
      <w:pPr>
        <w:rPr>
          <w:rFonts w:ascii="Times New Roman" w:hAnsi="Times New Roman" w:cs="Times New Roman"/>
          <w:sz w:val="24"/>
          <w:szCs w:val="24"/>
        </w:rPr>
      </w:pPr>
      <w:r w:rsidRPr="00FE6783">
        <w:rPr>
          <w:rFonts w:ascii="Times New Roman" w:hAnsi="Times New Roman" w:cs="Times New Roman"/>
          <w:sz w:val="24"/>
          <w:szCs w:val="24"/>
        </w:rPr>
        <w:t>339.2.2. media nivelurilor zilnice ale măsurii riscului pentru scenarii de criză a băncii, calculată în conformitate cu secțiunea 5 pentru fiecare dintre cele șaizeci de zile lucrătoare anterioare (</w:t>
      </w:r>
      <w:proofErr w:type="spellStart"/>
      <w:r w:rsidRPr="00FE6783">
        <w:rPr>
          <w:rFonts w:ascii="Times New Roman" w:hAnsi="Times New Roman" w:cs="Times New Roman"/>
          <w:sz w:val="24"/>
          <w:szCs w:val="24"/>
        </w:rPr>
        <w:t>SS</w:t>
      </w:r>
      <w:r w:rsidRPr="00FE6783">
        <w:rPr>
          <w:rFonts w:ascii="Times New Roman" w:hAnsi="Times New Roman" w:cs="Times New Roman"/>
          <w:sz w:val="24"/>
          <w:szCs w:val="24"/>
          <w:vertAlign w:val="superscript"/>
        </w:rPr>
        <w:t>avg</w:t>
      </w:r>
      <w:proofErr w:type="spellEnd"/>
      <w:r w:rsidRPr="00FE6783">
        <w:rPr>
          <w:rFonts w:ascii="Times New Roman" w:hAnsi="Times New Roman" w:cs="Times New Roman"/>
          <w:sz w:val="24"/>
          <w:szCs w:val="24"/>
        </w:rPr>
        <w:t>).</w:t>
      </w:r>
    </w:p>
    <w:p w14:paraId="73B70C30" w14:textId="1D7615A8" w:rsidR="00FE6783" w:rsidRDefault="00FE6783" w:rsidP="00FE6783">
      <w:pPr>
        <w:rPr>
          <w:rFonts w:ascii="Times New Roman" w:hAnsi="Times New Roman" w:cs="Times New Roman"/>
          <w:sz w:val="24"/>
          <w:szCs w:val="24"/>
        </w:rPr>
      </w:pPr>
      <w:r w:rsidRPr="00FE6783">
        <w:rPr>
          <w:rFonts w:ascii="Times New Roman" w:hAnsi="Times New Roman" w:cs="Times New Roman"/>
          <w:sz w:val="24"/>
          <w:szCs w:val="24"/>
        </w:rPr>
        <w:t>340. Atunci când calculează cerințele de fonduri proprii pentru riscul de piață utilizând un model intern în conformitate cu pct.339, o bancă nu include propriile sale marje de credit în calculul măsurilor menționate la subpct.339.1 și 339.2 pentru pozițiile pe propriile sale instrumente de datorie.</w:t>
      </w:r>
    </w:p>
    <w:p w14:paraId="30EF828A" w14:textId="77777777" w:rsidR="00FE6783" w:rsidRPr="00FE6783" w:rsidRDefault="00FE6783" w:rsidP="00FE6783">
      <w:pPr>
        <w:rPr>
          <w:rFonts w:ascii="Times New Roman" w:hAnsi="Times New Roman" w:cs="Times New Roman"/>
          <w:sz w:val="24"/>
          <w:szCs w:val="24"/>
        </w:rPr>
      </w:pPr>
      <w:r w:rsidRPr="00FE6783">
        <w:rPr>
          <w:rFonts w:ascii="Times New Roman" w:hAnsi="Times New Roman" w:cs="Times New Roman"/>
          <w:sz w:val="24"/>
          <w:szCs w:val="24"/>
        </w:rPr>
        <w:t>341.   Băncile care dețin poziții pe titluri de datorie și de capital tranzacționate care sunt incluse în domeniul de aplicare al modelului intern pentru riscul de nerambursare și sunt atribuite birourilor de tranzacționare menționate la pct.339 îndeplinesc o cerință suplimentară de fonduri proprii, exprimată ca fiind cea mai mare dintre următoarele valori:</w:t>
      </w:r>
    </w:p>
    <w:p w14:paraId="6F6FAFB0" w14:textId="77777777" w:rsidR="00FE6783" w:rsidRPr="00FE6783" w:rsidRDefault="00FE6783" w:rsidP="00FE6783">
      <w:pPr>
        <w:rPr>
          <w:rFonts w:ascii="Times New Roman" w:hAnsi="Times New Roman" w:cs="Times New Roman"/>
          <w:sz w:val="24"/>
          <w:szCs w:val="24"/>
        </w:rPr>
      </w:pPr>
      <w:r w:rsidRPr="00FE6783">
        <w:rPr>
          <w:rFonts w:ascii="Times New Roman" w:hAnsi="Times New Roman" w:cs="Times New Roman"/>
          <w:sz w:val="24"/>
          <w:szCs w:val="24"/>
        </w:rPr>
        <w:t>341.1. cea mai recentă cerință de fonduri proprii pentru riscul de nerambursare, calculată în conformitate cu secțiunea 3;</w:t>
      </w:r>
    </w:p>
    <w:p w14:paraId="2AB3DEB0" w14:textId="77777777" w:rsidR="00FE6783" w:rsidRPr="00FE6783" w:rsidRDefault="00FE6783" w:rsidP="00FE6783">
      <w:pPr>
        <w:rPr>
          <w:rFonts w:ascii="Times New Roman" w:hAnsi="Times New Roman" w:cs="Times New Roman"/>
          <w:sz w:val="24"/>
          <w:szCs w:val="24"/>
        </w:rPr>
      </w:pPr>
      <w:r w:rsidRPr="00FE6783">
        <w:rPr>
          <w:rFonts w:ascii="Times New Roman" w:hAnsi="Times New Roman" w:cs="Times New Roman"/>
          <w:sz w:val="24"/>
          <w:szCs w:val="24"/>
        </w:rPr>
        <w:t>341.2. media valorii menționate la subpct.341.1 în cursul celor 12 săptămâni anterioare.</w:t>
      </w:r>
    </w:p>
    <w:p w14:paraId="60C2EC48" w14:textId="5172C134" w:rsidR="00FE6783" w:rsidRDefault="00FE6783" w:rsidP="00FE6783">
      <w:pPr>
        <w:rPr>
          <w:rFonts w:ascii="Times New Roman" w:hAnsi="Times New Roman" w:cs="Times New Roman"/>
          <w:sz w:val="24"/>
          <w:szCs w:val="24"/>
        </w:rPr>
      </w:pPr>
      <w:r w:rsidRPr="00FE6783">
        <w:rPr>
          <w:rFonts w:ascii="Times New Roman" w:hAnsi="Times New Roman" w:cs="Times New Roman"/>
          <w:sz w:val="24"/>
          <w:szCs w:val="24"/>
        </w:rPr>
        <w:t>342. Prin derogare de la pct.341, o bancă nu face obiectul cerinței de fonduri proprii suplimentare pentru deținerile reprezentate de propriile sale instrumente de datorie.</w:t>
      </w:r>
    </w:p>
    <w:p w14:paraId="2F9390FB" w14:textId="77777777" w:rsidR="00FE6783" w:rsidRPr="00FE6783" w:rsidRDefault="00FE6783" w:rsidP="00FE6783">
      <w:pPr>
        <w:rPr>
          <w:rFonts w:ascii="Times New Roman" w:hAnsi="Times New Roman" w:cs="Times New Roman"/>
          <w:sz w:val="24"/>
          <w:szCs w:val="24"/>
        </w:rPr>
      </w:pPr>
      <w:r w:rsidRPr="00FE6783">
        <w:rPr>
          <w:rFonts w:ascii="Times New Roman" w:hAnsi="Times New Roman" w:cs="Times New Roman"/>
          <w:sz w:val="24"/>
          <w:szCs w:val="24"/>
        </w:rPr>
        <w:t>343.   O bancă care utilizează un model intern alternativ calculează cerințele de fonduri proprii totale pentru riscul de piață pentru toate pozițiile din portofoliul de tranzacționare și pentru toate pozițiile din afara portofoliului de tranzacționare care generează un risc valutar sau un risc de marfă în conformitate cu următoarea formulă:</w:t>
      </w:r>
    </w:p>
    <w:p w14:paraId="4B2DAE98" w14:textId="77777777" w:rsidR="00FE6783" w:rsidRPr="00FE6783" w:rsidRDefault="00FE6783" w:rsidP="00FE6783">
      <w:pPr>
        <w:rPr>
          <w:rFonts w:ascii="Times New Roman" w:hAnsi="Times New Roman" w:cs="Times New Roman"/>
          <w:sz w:val="24"/>
          <w:szCs w:val="24"/>
        </w:rPr>
      </w:pPr>
      <w:r w:rsidRPr="00FE6783">
        <w:rPr>
          <w:rFonts w:ascii="Times New Roman" w:hAnsi="Times New Roman" w:cs="Times New Roman"/>
          <w:noProof/>
          <w:sz w:val="24"/>
          <w:szCs w:val="24"/>
        </w:rPr>
        <w:lastRenderedPageBreak/>
        <w:drawing>
          <wp:inline distT="0" distB="0" distL="0" distR="0" wp14:anchorId="2E3535C9" wp14:editId="46183D73">
            <wp:extent cx="5047093" cy="566382"/>
            <wp:effectExtent l="0" t="0" r="1270" b="5715"/>
            <wp:docPr id="174" name="Picture 17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093819" cy="571626"/>
                    </a:xfrm>
                    <a:prstGeom prst="rect">
                      <a:avLst/>
                    </a:prstGeom>
                    <a:noFill/>
                    <a:ln>
                      <a:noFill/>
                    </a:ln>
                  </pic:spPr>
                </pic:pic>
              </a:graphicData>
            </a:graphic>
          </wp:inline>
        </w:drawing>
      </w:r>
    </w:p>
    <w:p w14:paraId="328FED03" w14:textId="77777777" w:rsidR="00FE6783" w:rsidRPr="00FE6783" w:rsidRDefault="00FE6783" w:rsidP="00FE6783">
      <w:pPr>
        <w:rPr>
          <w:rFonts w:ascii="Times New Roman" w:hAnsi="Times New Roman" w:cs="Times New Roman"/>
          <w:sz w:val="24"/>
          <w:szCs w:val="24"/>
        </w:rPr>
      </w:pPr>
      <w:r w:rsidRPr="00FE6783">
        <w:rPr>
          <w:rFonts w:ascii="Times New Roman" w:hAnsi="Times New Roman" w:cs="Times New Roman"/>
          <w:sz w:val="24"/>
          <w:szCs w:val="24"/>
        </w:rPr>
        <w:t>unde:</w:t>
      </w:r>
    </w:p>
    <w:tbl>
      <w:tblPr>
        <w:tblW w:w="9214" w:type="dxa"/>
        <w:tblLayout w:type="fixed"/>
        <w:tblCellMar>
          <w:left w:w="0" w:type="dxa"/>
          <w:right w:w="0" w:type="dxa"/>
        </w:tblCellMar>
        <w:tblLook w:val="04A0" w:firstRow="1" w:lastRow="0" w:firstColumn="1" w:lastColumn="0" w:noHBand="0" w:noVBand="1"/>
      </w:tblPr>
      <w:tblGrid>
        <w:gridCol w:w="993"/>
        <w:gridCol w:w="8221"/>
      </w:tblGrid>
      <w:tr w:rsidR="00FE6783" w:rsidRPr="00FE6783" w14:paraId="6EB4F24D" w14:textId="77777777" w:rsidTr="00A90FFA">
        <w:tc>
          <w:tcPr>
            <w:tcW w:w="993" w:type="dxa"/>
            <w:hideMark/>
          </w:tcPr>
          <w:p w14:paraId="5684663A" w14:textId="77777777" w:rsidR="00FE6783" w:rsidRPr="00FE6783" w:rsidRDefault="00FE6783" w:rsidP="00FE6783">
            <w:pPr>
              <w:rPr>
                <w:rFonts w:ascii="Times New Roman" w:hAnsi="Times New Roman" w:cs="Times New Roman"/>
                <w:sz w:val="24"/>
                <w:szCs w:val="24"/>
              </w:rPr>
            </w:pPr>
            <w:r w:rsidRPr="00FE6783">
              <w:rPr>
                <w:rFonts w:ascii="Times New Roman" w:hAnsi="Times New Roman" w:cs="Times New Roman"/>
                <w:sz w:val="24"/>
                <w:szCs w:val="24"/>
              </w:rPr>
              <w:t>AIMA</w:t>
            </w:r>
          </w:p>
        </w:tc>
        <w:tc>
          <w:tcPr>
            <w:tcW w:w="8221" w:type="dxa"/>
            <w:hideMark/>
          </w:tcPr>
          <w:p w14:paraId="3052AC9E" w14:textId="77777777" w:rsidR="00FE6783" w:rsidRPr="00FE6783" w:rsidRDefault="00FE6783" w:rsidP="00FE6783">
            <w:pPr>
              <w:rPr>
                <w:rFonts w:ascii="Times New Roman" w:hAnsi="Times New Roman" w:cs="Times New Roman"/>
                <w:sz w:val="24"/>
                <w:szCs w:val="24"/>
              </w:rPr>
            </w:pPr>
            <w:r w:rsidRPr="00FE6783">
              <w:rPr>
                <w:rFonts w:ascii="Times New Roman" w:hAnsi="Times New Roman" w:cs="Times New Roman"/>
                <w:sz w:val="24"/>
                <w:szCs w:val="24"/>
              </w:rPr>
              <w:t>= suma cerințelor de fonduri proprii menționate la pct.339-340 și 341-342;</w:t>
            </w:r>
          </w:p>
        </w:tc>
      </w:tr>
    </w:tbl>
    <w:p w14:paraId="2EC06A10" w14:textId="77777777" w:rsidR="00FE6783" w:rsidRPr="00FE6783" w:rsidRDefault="00FE6783" w:rsidP="00FE6783">
      <w:pPr>
        <w:rPr>
          <w:rFonts w:ascii="Times New Roman" w:hAnsi="Times New Roman" w:cs="Times New Roman"/>
          <w:vanish/>
          <w:sz w:val="24"/>
          <w:szCs w:val="24"/>
        </w:rPr>
      </w:pPr>
    </w:p>
    <w:tbl>
      <w:tblPr>
        <w:tblW w:w="8789" w:type="dxa"/>
        <w:tblLayout w:type="fixed"/>
        <w:tblCellMar>
          <w:left w:w="0" w:type="dxa"/>
          <w:right w:w="0" w:type="dxa"/>
        </w:tblCellMar>
        <w:tblLook w:val="04A0" w:firstRow="1" w:lastRow="0" w:firstColumn="1" w:lastColumn="0" w:noHBand="0" w:noVBand="1"/>
      </w:tblPr>
      <w:tblGrid>
        <w:gridCol w:w="993"/>
        <w:gridCol w:w="7796"/>
      </w:tblGrid>
      <w:tr w:rsidR="00FE6783" w:rsidRPr="00FE6783" w14:paraId="3A8B5D1B" w14:textId="77777777" w:rsidTr="00A90FFA">
        <w:tc>
          <w:tcPr>
            <w:tcW w:w="993" w:type="dxa"/>
            <w:hideMark/>
          </w:tcPr>
          <w:p w14:paraId="26B1A57B" w14:textId="77777777" w:rsidR="00FE6783" w:rsidRPr="00FE6783" w:rsidRDefault="00FE6783" w:rsidP="00FE6783">
            <w:pPr>
              <w:rPr>
                <w:rFonts w:ascii="Times New Roman" w:hAnsi="Times New Roman" w:cs="Times New Roman"/>
                <w:sz w:val="24"/>
                <w:szCs w:val="24"/>
              </w:rPr>
            </w:pPr>
            <w:proofErr w:type="spellStart"/>
            <w:r w:rsidRPr="00FE6783">
              <w:rPr>
                <w:rFonts w:ascii="Times New Roman" w:hAnsi="Times New Roman" w:cs="Times New Roman"/>
                <w:i/>
                <w:iCs/>
                <w:sz w:val="24"/>
                <w:szCs w:val="24"/>
              </w:rPr>
              <w:t>PLA</w:t>
            </w:r>
            <w:r w:rsidRPr="00FE6783">
              <w:rPr>
                <w:rFonts w:ascii="Times New Roman" w:hAnsi="Times New Roman" w:cs="Times New Roman"/>
                <w:i/>
                <w:iCs/>
                <w:sz w:val="24"/>
                <w:szCs w:val="24"/>
                <w:vertAlign w:val="subscript"/>
              </w:rPr>
              <w:t>addon</w:t>
            </w:r>
            <w:proofErr w:type="spellEnd"/>
          </w:p>
        </w:tc>
        <w:tc>
          <w:tcPr>
            <w:tcW w:w="7796" w:type="dxa"/>
            <w:hideMark/>
          </w:tcPr>
          <w:p w14:paraId="082625F8" w14:textId="0D143DB9" w:rsidR="00FE6783" w:rsidRPr="00FE6783" w:rsidRDefault="00FE6783" w:rsidP="00FE6783">
            <w:pPr>
              <w:rPr>
                <w:rFonts w:ascii="Times New Roman" w:hAnsi="Times New Roman" w:cs="Times New Roman"/>
                <w:sz w:val="24"/>
                <w:szCs w:val="24"/>
              </w:rPr>
            </w:pPr>
            <w:r w:rsidRPr="00FE6783">
              <w:rPr>
                <w:rFonts w:ascii="Times New Roman" w:hAnsi="Times New Roman" w:cs="Times New Roman"/>
                <w:sz w:val="24"/>
                <w:szCs w:val="24"/>
              </w:rPr>
              <w:t xml:space="preserve">= cerința de fonduri proprii suplimentare menționată la </w:t>
            </w:r>
            <w:r w:rsidR="00164907" w:rsidRPr="00164907">
              <w:rPr>
                <w:rFonts w:ascii="Times New Roman" w:hAnsi="Times New Roman" w:cs="Times New Roman"/>
                <w:sz w:val="24"/>
                <w:szCs w:val="24"/>
              </w:rPr>
              <w:t>pct.378</w:t>
            </w:r>
            <w:r w:rsidRPr="00164907">
              <w:rPr>
                <w:rFonts w:ascii="Times New Roman" w:hAnsi="Times New Roman" w:cs="Times New Roman"/>
                <w:sz w:val="24"/>
                <w:szCs w:val="24"/>
              </w:rPr>
              <w:t>;</w:t>
            </w:r>
          </w:p>
        </w:tc>
      </w:tr>
    </w:tbl>
    <w:p w14:paraId="0F7FAFA0" w14:textId="77777777" w:rsidR="00FE6783" w:rsidRPr="00FE6783" w:rsidRDefault="00FE6783" w:rsidP="00FE6783">
      <w:pPr>
        <w:rPr>
          <w:rFonts w:ascii="Times New Roman" w:hAnsi="Times New Roman" w:cs="Times New Roman"/>
          <w:vanish/>
          <w:sz w:val="24"/>
          <w:szCs w:val="24"/>
        </w:rPr>
      </w:pPr>
    </w:p>
    <w:tbl>
      <w:tblPr>
        <w:tblW w:w="9311" w:type="dxa"/>
        <w:tblLayout w:type="fixed"/>
        <w:tblCellMar>
          <w:left w:w="0" w:type="dxa"/>
          <w:right w:w="0" w:type="dxa"/>
        </w:tblCellMar>
        <w:tblLook w:val="04A0" w:firstRow="1" w:lastRow="0" w:firstColumn="1" w:lastColumn="0" w:noHBand="0" w:noVBand="1"/>
      </w:tblPr>
      <w:tblGrid>
        <w:gridCol w:w="1134"/>
        <w:gridCol w:w="8177"/>
      </w:tblGrid>
      <w:tr w:rsidR="00FE6783" w:rsidRPr="00FE6783" w14:paraId="49CF677A" w14:textId="77777777" w:rsidTr="00A90FFA">
        <w:tc>
          <w:tcPr>
            <w:tcW w:w="1134" w:type="dxa"/>
            <w:hideMark/>
          </w:tcPr>
          <w:p w14:paraId="3081464C" w14:textId="77777777" w:rsidR="00FE6783" w:rsidRPr="00FE6783" w:rsidRDefault="00FE6783" w:rsidP="00FE6783">
            <w:pPr>
              <w:rPr>
                <w:rFonts w:ascii="Times New Roman" w:hAnsi="Times New Roman" w:cs="Times New Roman"/>
                <w:sz w:val="24"/>
                <w:szCs w:val="24"/>
              </w:rPr>
            </w:pPr>
            <w:proofErr w:type="spellStart"/>
            <w:r w:rsidRPr="00FE6783">
              <w:rPr>
                <w:rFonts w:ascii="Times New Roman" w:hAnsi="Times New Roman" w:cs="Times New Roman"/>
                <w:i/>
                <w:iCs/>
                <w:sz w:val="24"/>
                <w:szCs w:val="24"/>
              </w:rPr>
              <w:t>ASA</w:t>
            </w:r>
            <w:r w:rsidRPr="00FE6783">
              <w:rPr>
                <w:rFonts w:ascii="Times New Roman" w:hAnsi="Times New Roman" w:cs="Times New Roman"/>
                <w:i/>
                <w:iCs/>
                <w:sz w:val="24"/>
                <w:szCs w:val="24"/>
                <w:vertAlign w:val="subscript"/>
              </w:rPr>
              <w:t>non-aima</w:t>
            </w:r>
            <w:proofErr w:type="spellEnd"/>
          </w:p>
        </w:tc>
        <w:tc>
          <w:tcPr>
            <w:tcW w:w="8177" w:type="dxa"/>
            <w:hideMark/>
          </w:tcPr>
          <w:p w14:paraId="6A729BC9" w14:textId="5C90A737" w:rsidR="00FE6783" w:rsidRPr="00FE6783" w:rsidRDefault="00FE6783" w:rsidP="00FE6783">
            <w:pPr>
              <w:rPr>
                <w:rFonts w:ascii="Times New Roman" w:hAnsi="Times New Roman" w:cs="Times New Roman"/>
                <w:sz w:val="24"/>
                <w:szCs w:val="24"/>
              </w:rPr>
            </w:pPr>
            <w:r w:rsidRPr="00FE6783">
              <w:rPr>
                <w:rFonts w:ascii="Times New Roman" w:hAnsi="Times New Roman" w:cs="Times New Roman"/>
                <w:sz w:val="24"/>
                <w:szCs w:val="24"/>
              </w:rPr>
              <w:t xml:space="preserve">= cerințele de fonduri proprii pentru riscul de piață calculate conform abordării standardizate alternative, astfel cum este menționată la </w:t>
            </w:r>
            <w:r w:rsidR="00164907" w:rsidRPr="00164907">
              <w:rPr>
                <w:rFonts w:ascii="Times New Roman" w:hAnsi="Times New Roman" w:cs="Times New Roman"/>
                <w:sz w:val="24"/>
                <w:szCs w:val="24"/>
              </w:rPr>
              <w:t>subpct.69.1</w:t>
            </w:r>
            <w:r w:rsidRPr="00164907">
              <w:rPr>
                <w:rFonts w:ascii="Times New Roman" w:hAnsi="Times New Roman" w:cs="Times New Roman"/>
                <w:sz w:val="24"/>
                <w:szCs w:val="24"/>
              </w:rPr>
              <w:t>, pentru portofoliul cuprinzând pozițiile</w:t>
            </w:r>
            <w:r w:rsidRPr="00FE6783">
              <w:rPr>
                <w:rFonts w:ascii="Times New Roman" w:hAnsi="Times New Roman" w:cs="Times New Roman"/>
                <w:sz w:val="24"/>
                <w:szCs w:val="24"/>
              </w:rPr>
              <w:t xml:space="preserve"> din portofoliul de tranzacționare și pozițiile din afara portofoliului de tranzacționare care generează un risc valutar sau un risc de marfă în cazul cărora banca utilizează abordarea standardizată alternativă pentru a calcula cerințele de fonduri proprii pentru riscul de piață;</w:t>
            </w:r>
          </w:p>
        </w:tc>
      </w:tr>
    </w:tbl>
    <w:p w14:paraId="34C19E05" w14:textId="77777777" w:rsidR="00FE6783" w:rsidRPr="00FE6783" w:rsidRDefault="00FE6783" w:rsidP="00FE6783">
      <w:pPr>
        <w:rPr>
          <w:rFonts w:ascii="Times New Roman" w:hAnsi="Times New Roman" w:cs="Times New Roman"/>
          <w:vanish/>
          <w:sz w:val="24"/>
          <w:szCs w:val="24"/>
        </w:rPr>
      </w:pPr>
    </w:p>
    <w:tbl>
      <w:tblPr>
        <w:tblW w:w="9214" w:type="dxa"/>
        <w:tblLayout w:type="fixed"/>
        <w:tblCellMar>
          <w:left w:w="0" w:type="dxa"/>
          <w:right w:w="0" w:type="dxa"/>
        </w:tblCellMar>
        <w:tblLook w:val="04A0" w:firstRow="1" w:lastRow="0" w:firstColumn="1" w:lastColumn="0" w:noHBand="0" w:noVBand="1"/>
      </w:tblPr>
      <w:tblGrid>
        <w:gridCol w:w="1418"/>
        <w:gridCol w:w="7796"/>
      </w:tblGrid>
      <w:tr w:rsidR="00FE6783" w:rsidRPr="00FE6783" w14:paraId="3F1A8307" w14:textId="77777777" w:rsidTr="00A90FFA">
        <w:tc>
          <w:tcPr>
            <w:tcW w:w="1418" w:type="dxa"/>
            <w:hideMark/>
          </w:tcPr>
          <w:p w14:paraId="02D7F279" w14:textId="77777777" w:rsidR="00FE6783" w:rsidRPr="00FE6783" w:rsidRDefault="00FE6783" w:rsidP="00FE6783">
            <w:pPr>
              <w:rPr>
                <w:rFonts w:ascii="Times New Roman" w:hAnsi="Times New Roman" w:cs="Times New Roman"/>
                <w:sz w:val="24"/>
                <w:szCs w:val="24"/>
              </w:rPr>
            </w:pPr>
            <w:proofErr w:type="spellStart"/>
            <w:r w:rsidRPr="00FE6783">
              <w:rPr>
                <w:rFonts w:ascii="Times New Roman" w:hAnsi="Times New Roman" w:cs="Times New Roman"/>
                <w:i/>
                <w:iCs/>
                <w:sz w:val="24"/>
                <w:szCs w:val="24"/>
              </w:rPr>
              <w:t>ASA</w:t>
            </w:r>
            <w:r w:rsidRPr="00FE6783">
              <w:rPr>
                <w:rFonts w:ascii="Times New Roman" w:hAnsi="Times New Roman" w:cs="Times New Roman"/>
                <w:i/>
                <w:iCs/>
                <w:sz w:val="24"/>
                <w:szCs w:val="24"/>
                <w:vertAlign w:val="subscript"/>
              </w:rPr>
              <w:t>totportofoliul</w:t>
            </w:r>
            <w:proofErr w:type="spellEnd"/>
          </w:p>
        </w:tc>
        <w:tc>
          <w:tcPr>
            <w:tcW w:w="7796" w:type="dxa"/>
            <w:hideMark/>
          </w:tcPr>
          <w:p w14:paraId="317DB877" w14:textId="346BCDFC" w:rsidR="00FE6783" w:rsidRPr="00FE6783" w:rsidRDefault="00FE6783" w:rsidP="00FE6783">
            <w:pPr>
              <w:rPr>
                <w:rFonts w:ascii="Times New Roman" w:hAnsi="Times New Roman" w:cs="Times New Roman"/>
                <w:sz w:val="24"/>
                <w:szCs w:val="24"/>
              </w:rPr>
            </w:pPr>
            <w:r w:rsidRPr="00FE6783">
              <w:rPr>
                <w:rFonts w:ascii="Times New Roman" w:hAnsi="Times New Roman" w:cs="Times New Roman"/>
                <w:sz w:val="24"/>
                <w:szCs w:val="24"/>
              </w:rPr>
              <w:t xml:space="preserve">= cerințele de fonduri proprii pentru riscul de piață calculate conform abordării standardizate alternative, astfel cum este menționată la </w:t>
            </w:r>
            <w:r w:rsidR="00164907" w:rsidRPr="00CC1E9B">
              <w:rPr>
                <w:rFonts w:ascii="Times New Roman" w:hAnsi="Times New Roman" w:cs="Times New Roman"/>
                <w:sz w:val="24"/>
                <w:szCs w:val="24"/>
              </w:rPr>
              <w:t>subpct.69.1</w:t>
            </w:r>
            <w:r w:rsidRPr="00164907">
              <w:rPr>
                <w:rFonts w:ascii="Times New Roman" w:hAnsi="Times New Roman" w:cs="Times New Roman"/>
                <w:sz w:val="24"/>
                <w:szCs w:val="24"/>
              </w:rPr>
              <w:t>, pentru portofoliul cuprinzând toa</w:t>
            </w:r>
            <w:r w:rsidRPr="00FE6783">
              <w:rPr>
                <w:rFonts w:ascii="Times New Roman" w:hAnsi="Times New Roman" w:cs="Times New Roman"/>
                <w:sz w:val="24"/>
                <w:szCs w:val="24"/>
              </w:rPr>
              <w:t>te pozițiile din portofoliul de tranzacționare și toate pozițiile din afara portofoliului de tranzacționare care generează un risc valutar sau un risc de marfă;</w:t>
            </w:r>
          </w:p>
        </w:tc>
      </w:tr>
    </w:tbl>
    <w:p w14:paraId="77216D32" w14:textId="77777777" w:rsidR="00FE6783" w:rsidRPr="00FE6783" w:rsidRDefault="00FE6783" w:rsidP="00FE6783">
      <w:pPr>
        <w:rPr>
          <w:rFonts w:ascii="Times New Roman" w:hAnsi="Times New Roman" w:cs="Times New Roman"/>
          <w:vanish/>
          <w:sz w:val="24"/>
          <w:szCs w:val="24"/>
        </w:rPr>
      </w:pPr>
    </w:p>
    <w:tbl>
      <w:tblPr>
        <w:tblW w:w="9311" w:type="dxa"/>
        <w:tblLayout w:type="fixed"/>
        <w:tblCellMar>
          <w:left w:w="0" w:type="dxa"/>
          <w:right w:w="0" w:type="dxa"/>
        </w:tblCellMar>
        <w:tblLook w:val="04A0" w:firstRow="1" w:lastRow="0" w:firstColumn="1" w:lastColumn="0" w:noHBand="0" w:noVBand="1"/>
      </w:tblPr>
      <w:tblGrid>
        <w:gridCol w:w="993"/>
        <w:gridCol w:w="8318"/>
      </w:tblGrid>
      <w:tr w:rsidR="00FE6783" w:rsidRPr="00FE6783" w14:paraId="7B315274" w14:textId="77777777" w:rsidTr="00A90FFA">
        <w:tc>
          <w:tcPr>
            <w:tcW w:w="993" w:type="dxa"/>
            <w:hideMark/>
          </w:tcPr>
          <w:p w14:paraId="58670635" w14:textId="77777777" w:rsidR="00FE6783" w:rsidRPr="00FE6783" w:rsidRDefault="00FE6783" w:rsidP="00FE6783">
            <w:pPr>
              <w:rPr>
                <w:rFonts w:ascii="Times New Roman" w:hAnsi="Times New Roman" w:cs="Times New Roman"/>
                <w:sz w:val="24"/>
                <w:szCs w:val="24"/>
              </w:rPr>
            </w:pPr>
            <w:proofErr w:type="spellStart"/>
            <w:r w:rsidRPr="00FE6783">
              <w:rPr>
                <w:rFonts w:ascii="Times New Roman" w:hAnsi="Times New Roman" w:cs="Times New Roman"/>
                <w:i/>
                <w:iCs/>
                <w:sz w:val="24"/>
                <w:szCs w:val="24"/>
              </w:rPr>
              <w:t>ASA</w:t>
            </w:r>
            <w:r w:rsidRPr="00FE6783">
              <w:rPr>
                <w:rFonts w:ascii="Times New Roman" w:hAnsi="Times New Roman" w:cs="Times New Roman"/>
                <w:i/>
                <w:iCs/>
                <w:sz w:val="24"/>
                <w:szCs w:val="24"/>
                <w:vertAlign w:val="subscript"/>
              </w:rPr>
              <w:t>aima</w:t>
            </w:r>
            <w:proofErr w:type="spellEnd"/>
          </w:p>
        </w:tc>
        <w:tc>
          <w:tcPr>
            <w:tcW w:w="8318" w:type="dxa"/>
            <w:hideMark/>
          </w:tcPr>
          <w:p w14:paraId="03660097" w14:textId="62FCC7E9" w:rsidR="00FE6783" w:rsidRPr="00FE6783" w:rsidRDefault="00FE6783" w:rsidP="00FE6783">
            <w:pPr>
              <w:rPr>
                <w:rFonts w:ascii="Times New Roman" w:hAnsi="Times New Roman" w:cs="Times New Roman"/>
                <w:sz w:val="24"/>
                <w:szCs w:val="24"/>
              </w:rPr>
            </w:pPr>
            <w:r w:rsidRPr="00FE6783">
              <w:rPr>
                <w:rFonts w:ascii="Times New Roman" w:hAnsi="Times New Roman" w:cs="Times New Roman"/>
                <w:sz w:val="24"/>
                <w:szCs w:val="24"/>
              </w:rPr>
              <w:t xml:space="preserve">= cerințele de fonduri proprii pentru riscul de piață calculate conform abordării standardizate alternative, astfel cum este menționată la </w:t>
            </w:r>
            <w:r w:rsidR="00164907" w:rsidRPr="00CC1E9B">
              <w:rPr>
                <w:rFonts w:ascii="Times New Roman" w:hAnsi="Times New Roman" w:cs="Times New Roman"/>
                <w:sz w:val="24"/>
                <w:szCs w:val="24"/>
              </w:rPr>
              <w:t>subpct.69.1</w:t>
            </w:r>
            <w:r w:rsidRPr="00164907">
              <w:rPr>
                <w:rFonts w:ascii="Times New Roman" w:hAnsi="Times New Roman" w:cs="Times New Roman"/>
                <w:sz w:val="24"/>
                <w:szCs w:val="24"/>
              </w:rPr>
              <w:t>, pentru portofoliul cuprinzând po</w:t>
            </w:r>
            <w:r w:rsidRPr="00FE6783">
              <w:rPr>
                <w:rFonts w:ascii="Times New Roman" w:hAnsi="Times New Roman" w:cs="Times New Roman"/>
                <w:sz w:val="24"/>
                <w:szCs w:val="24"/>
              </w:rPr>
              <w:t xml:space="preserve">zițiile din portofoliul de tranzacționare și pozițiile din afara portofoliului de tranzacționare care generează un risc valutar sau un risc de marfă în cazul cărora banca utilizează abordarea menționată la </w:t>
            </w:r>
            <w:r w:rsidR="00164907" w:rsidRPr="00CC1E9B">
              <w:rPr>
                <w:rFonts w:ascii="Times New Roman" w:hAnsi="Times New Roman" w:cs="Times New Roman"/>
                <w:sz w:val="24"/>
                <w:szCs w:val="24"/>
              </w:rPr>
              <w:t>subpct.69.2</w:t>
            </w:r>
            <w:r w:rsidR="00626DF5">
              <w:rPr>
                <w:rFonts w:ascii="Times New Roman" w:hAnsi="Times New Roman" w:cs="Times New Roman"/>
                <w:sz w:val="24"/>
                <w:szCs w:val="24"/>
              </w:rPr>
              <w:t xml:space="preserve"> </w:t>
            </w:r>
            <w:r w:rsidRPr="00FE6783">
              <w:rPr>
                <w:rFonts w:ascii="Times New Roman" w:hAnsi="Times New Roman" w:cs="Times New Roman"/>
                <w:sz w:val="24"/>
                <w:szCs w:val="24"/>
              </w:rPr>
              <w:t>pentru a calcula cerințele de fonduri proprii pentru riscul de piață;</w:t>
            </w:r>
          </w:p>
        </w:tc>
      </w:tr>
    </w:tbl>
    <w:p w14:paraId="50E17143" w14:textId="51AE6B22" w:rsidR="003C566F" w:rsidRPr="003C566F" w:rsidRDefault="003C566F" w:rsidP="003C566F">
      <w:pPr>
        <w:rPr>
          <w:rFonts w:ascii="Times New Roman" w:hAnsi="Times New Roman" w:cs="Times New Roman"/>
          <w:b/>
          <w:bCs/>
          <w:sz w:val="24"/>
          <w:szCs w:val="24"/>
        </w:rPr>
      </w:pPr>
      <w:bookmarkStart w:id="54" w:name="_Hlk195098619"/>
      <w:r w:rsidRPr="003C566F">
        <w:rPr>
          <w:rFonts w:ascii="Times New Roman" w:hAnsi="Times New Roman" w:cs="Times New Roman"/>
          <w:b/>
          <w:bCs/>
          <w:sz w:val="24"/>
          <w:szCs w:val="24"/>
        </w:rPr>
        <w:t>Secțiunea 2</w:t>
      </w:r>
      <w:r>
        <w:rPr>
          <w:rFonts w:ascii="Times New Roman" w:hAnsi="Times New Roman" w:cs="Times New Roman"/>
          <w:b/>
          <w:bCs/>
          <w:sz w:val="24"/>
          <w:szCs w:val="24"/>
        </w:rPr>
        <w:t xml:space="preserve">. </w:t>
      </w:r>
      <w:r w:rsidRPr="003C566F">
        <w:rPr>
          <w:rFonts w:ascii="Times New Roman" w:hAnsi="Times New Roman" w:cs="Times New Roman"/>
          <w:b/>
          <w:bCs/>
          <w:sz w:val="24"/>
          <w:szCs w:val="24"/>
        </w:rPr>
        <w:t>Cerințe generale</w:t>
      </w:r>
    </w:p>
    <w:p w14:paraId="5D8E6233" w14:textId="73C2FF0A" w:rsidR="00FE6783" w:rsidRPr="00CC1E9B" w:rsidRDefault="003C566F" w:rsidP="003C566F">
      <w:pPr>
        <w:rPr>
          <w:rFonts w:ascii="Times New Roman" w:hAnsi="Times New Roman" w:cs="Times New Roman"/>
          <w:b/>
          <w:bCs/>
          <w:i/>
          <w:iCs/>
          <w:sz w:val="24"/>
          <w:szCs w:val="24"/>
        </w:rPr>
      </w:pPr>
      <w:r w:rsidRPr="00CC1E9B">
        <w:rPr>
          <w:rFonts w:ascii="Times New Roman" w:hAnsi="Times New Roman" w:cs="Times New Roman"/>
          <w:b/>
          <w:bCs/>
          <w:i/>
          <w:iCs/>
          <w:sz w:val="24"/>
          <w:szCs w:val="24"/>
        </w:rPr>
        <w:t>Subsecțiunea 1. Măsura valorii la risc condiționate</w:t>
      </w:r>
      <w:bookmarkEnd w:id="54"/>
    </w:p>
    <w:p w14:paraId="0637D5B2" w14:textId="77777777" w:rsidR="003C566F" w:rsidRPr="003C566F" w:rsidRDefault="003C566F" w:rsidP="003C566F">
      <w:pPr>
        <w:rPr>
          <w:rFonts w:ascii="Times New Roman" w:hAnsi="Times New Roman" w:cs="Times New Roman"/>
          <w:sz w:val="24"/>
          <w:szCs w:val="24"/>
        </w:rPr>
      </w:pPr>
      <w:r w:rsidRPr="003C566F">
        <w:rPr>
          <w:rFonts w:ascii="Times New Roman" w:hAnsi="Times New Roman" w:cs="Times New Roman"/>
          <w:sz w:val="24"/>
          <w:szCs w:val="24"/>
        </w:rPr>
        <w:t>344.  Băncile calculează măsura valorii la risc condiționate menționată la subpct.339.1 pentru orice dată „t” și orice portofoliu de poziții din portofoliul de tranzacționare și poziții din afara portofoliului de tranzacționare care prezintă un risc valutar sau un risc de marfă după cum urmează:</w:t>
      </w:r>
    </w:p>
    <w:p w14:paraId="270DC2DD" w14:textId="77777777" w:rsidR="003C566F" w:rsidRPr="003C566F" w:rsidRDefault="003C566F" w:rsidP="003C566F">
      <w:pPr>
        <w:rPr>
          <w:rFonts w:ascii="Times New Roman" w:hAnsi="Times New Roman" w:cs="Times New Roman"/>
          <w:sz w:val="24"/>
          <w:szCs w:val="24"/>
        </w:rPr>
      </w:pPr>
      <w:r w:rsidRPr="003C566F">
        <w:rPr>
          <w:rFonts w:ascii="Times New Roman" w:hAnsi="Times New Roman" w:cs="Times New Roman"/>
          <w:noProof/>
          <w:sz w:val="24"/>
          <w:szCs w:val="24"/>
        </w:rPr>
        <w:drawing>
          <wp:inline distT="0" distB="0" distL="0" distR="0" wp14:anchorId="5BF0FD51" wp14:editId="4732F241">
            <wp:extent cx="3055620" cy="481330"/>
            <wp:effectExtent l="0" t="0" r="0" b="0"/>
            <wp:docPr id="175" name="Picture 17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055620" cy="481330"/>
                    </a:xfrm>
                    <a:prstGeom prst="rect">
                      <a:avLst/>
                    </a:prstGeom>
                    <a:noFill/>
                    <a:ln>
                      <a:noFill/>
                    </a:ln>
                  </pic:spPr>
                </pic:pic>
              </a:graphicData>
            </a:graphic>
          </wp:inline>
        </w:drawing>
      </w:r>
    </w:p>
    <w:p w14:paraId="55F970C6" w14:textId="77777777" w:rsidR="003C566F" w:rsidRPr="003C566F" w:rsidRDefault="003C566F" w:rsidP="003C566F">
      <w:pPr>
        <w:rPr>
          <w:rFonts w:ascii="Times New Roman" w:hAnsi="Times New Roman" w:cs="Times New Roman"/>
          <w:sz w:val="24"/>
          <w:szCs w:val="24"/>
        </w:rPr>
      </w:pPr>
      <w:r w:rsidRPr="003C566F">
        <w:rPr>
          <w:rFonts w:ascii="Times New Roman" w:hAnsi="Times New Roman" w:cs="Times New Roman"/>
          <w:sz w:val="24"/>
          <w:szCs w:val="24"/>
        </w:rPr>
        <w:t>unde:</w:t>
      </w:r>
    </w:p>
    <w:tbl>
      <w:tblPr>
        <w:tblW w:w="4918" w:type="dxa"/>
        <w:tblLayout w:type="fixed"/>
        <w:tblCellMar>
          <w:left w:w="0" w:type="dxa"/>
          <w:right w:w="0" w:type="dxa"/>
        </w:tblCellMar>
        <w:tblLook w:val="04A0" w:firstRow="1" w:lastRow="0" w:firstColumn="1" w:lastColumn="0" w:noHBand="0" w:noVBand="1"/>
      </w:tblPr>
      <w:tblGrid>
        <w:gridCol w:w="470"/>
        <w:gridCol w:w="170"/>
        <w:gridCol w:w="4278"/>
      </w:tblGrid>
      <w:tr w:rsidR="003C566F" w:rsidRPr="003C566F" w14:paraId="0A96362F" w14:textId="77777777" w:rsidTr="00E30760">
        <w:tc>
          <w:tcPr>
            <w:tcW w:w="470" w:type="dxa"/>
            <w:hideMark/>
          </w:tcPr>
          <w:p w14:paraId="5D6849A0" w14:textId="77777777" w:rsidR="003C566F" w:rsidRPr="003C566F" w:rsidRDefault="003C566F" w:rsidP="003C566F">
            <w:pPr>
              <w:rPr>
                <w:rFonts w:ascii="Times New Roman" w:hAnsi="Times New Roman" w:cs="Times New Roman"/>
                <w:sz w:val="24"/>
                <w:szCs w:val="24"/>
              </w:rPr>
            </w:pPr>
            <w:proofErr w:type="spellStart"/>
            <w:r w:rsidRPr="003C566F">
              <w:rPr>
                <w:rFonts w:ascii="Times New Roman" w:hAnsi="Times New Roman" w:cs="Times New Roman"/>
                <w:sz w:val="24"/>
                <w:szCs w:val="24"/>
              </w:rPr>
              <w:t>ES</w:t>
            </w:r>
            <w:r w:rsidRPr="003C566F">
              <w:rPr>
                <w:rFonts w:ascii="Times New Roman" w:hAnsi="Times New Roman" w:cs="Times New Roman"/>
                <w:sz w:val="24"/>
                <w:szCs w:val="24"/>
                <w:vertAlign w:val="subscript"/>
              </w:rPr>
              <w:t>t</w:t>
            </w:r>
            <w:proofErr w:type="spellEnd"/>
          </w:p>
        </w:tc>
        <w:tc>
          <w:tcPr>
            <w:tcW w:w="170" w:type="dxa"/>
            <w:hideMark/>
          </w:tcPr>
          <w:p w14:paraId="04DD55F9" w14:textId="77777777" w:rsidR="003C566F" w:rsidRPr="003C566F" w:rsidRDefault="003C566F" w:rsidP="003C566F">
            <w:pPr>
              <w:rPr>
                <w:rFonts w:ascii="Times New Roman" w:hAnsi="Times New Roman" w:cs="Times New Roman"/>
                <w:sz w:val="24"/>
                <w:szCs w:val="24"/>
              </w:rPr>
            </w:pPr>
            <w:r w:rsidRPr="003C566F">
              <w:rPr>
                <w:rFonts w:ascii="Times New Roman" w:hAnsi="Times New Roman" w:cs="Times New Roman"/>
                <w:sz w:val="24"/>
                <w:szCs w:val="24"/>
              </w:rPr>
              <w:t>=</w:t>
            </w:r>
          </w:p>
        </w:tc>
        <w:tc>
          <w:tcPr>
            <w:tcW w:w="4278" w:type="dxa"/>
            <w:hideMark/>
          </w:tcPr>
          <w:p w14:paraId="3A37D293" w14:textId="77777777" w:rsidR="003C566F" w:rsidRPr="003C566F" w:rsidRDefault="003C566F" w:rsidP="003C566F">
            <w:pPr>
              <w:rPr>
                <w:rFonts w:ascii="Times New Roman" w:hAnsi="Times New Roman" w:cs="Times New Roman"/>
                <w:sz w:val="24"/>
                <w:szCs w:val="24"/>
              </w:rPr>
            </w:pPr>
            <w:r w:rsidRPr="003C566F">
              <w:rPr>
                <w:rFonts w:ascii="Times New Roman" w:hAnsi="Times New Roman" w:cs="Times New Roman"/>
                <w:sz w:val="24"/>
                <w:szCs w:val="24"/>
              </w:rPr>
              <w:t>măsura valorii la risc condiționate;</w:t>
            </w:r>
          </w:p>
        </w:tc>
      </w:tr>
    </w:tbl>
    <w:p w14:paraId="3FA96850" w14:textId="77777777" w:rsidR="003C566F" w:rsidRPr="003C566F" w:rsidRDefault="003C566F" w:rsidP="003C566F">
      <w:pPr>
        <w:rPr>
          <w:rFonts w:ascii="Times New Roman" w:hAnsi="Times New Roman" w:cs="Times New Roman"/>
          <w:vanish/>
          <w:sz w:val="24"/>
          <w:szCs w:val="24"/>
        </w:rPr>
      </w:pPr>
    </w:p>
    <w:tbl>
      <w:tblPr>
        <w:tblW w:w="5117" w:type="pct"/>
        <w:tblLayout w:type="fixed"/>
        <w:tblCellMar>
          <w:left w:w="0" w:type="dxa"/>
          <w:right w:w="0" w:type="dxa"/>
        </w:tblCellMar>
        <w:tblLook w:val="04A0" w:firstRow="1" w:lastRow="0" w:firstColumn="1" w:lastColumn="0" w:noHBand="0" w:noVBand="1"/>
      </w:tblPr>
      <w:tblGrid>
        <w:gridCol w:w="318"/>
        <w:gridCol w:w="144"/>
        <w:gridCol w:w="10249"/>
      </w:tblGrid>
      <w:tr w:rsidR="003C566F" w:rsidRPr="003C566F" w14:paraId="5E99ADBE" w14:textId="77777777" w:rsidTr="003C566F">
        <w:tc>
          <w:tcPr>
            <w:tcW w:w="284" w:type="dxa"/>
            <w:hideMark/>
          </w:tcPr>
          <w:p w14:paraId="6113AA97" w14:textId="77777777" w:rsidR="003C566F" w:rsidRPr="003C566F" w:rsidRDefault="003C566F" w:rsidP="003C566F">
            <w:pPr>
              <w:rPr>
                <w:rFonts w:ascii="Times New Roman" w:hAnsi="Times New Roman" w:cs="Times New Roman"/>
                <w:sz w:val="24"/>
                <w:szCs w:val="24"/>
              </w:rPr>
            </w:pPr>
            <w:r w:rsidRPr="003C566F">
              <w:rPr>
                <w:rFonts w:ascii="Times New Roman" w:hAnsi="Times New Roman" w:cs="Times New Roman"/>
                <w:sz w:val="24"/>
                <w:szCs w:val="24"/>
              </w:rPr>
              <w:t>i</w:t>
            </w:r>
          </w:p>
        </w:tc>
        <w:tc>
          <w:tcPr>
            <w:tcW w:w="129" w:type="dxa"/>
            <w:hideMark/>
          </w:tcPr>
          <w:p w14:paraId="4A84416A" w14:textId="77777777" w:rsidR="003C566F" w:rsidRPr="003C566F" w:rsidRDefault="003C566F" w:rsidP="003C566F">
            <w:pPr>
              <w:rPr>
                <w:rFonts w:ascii="Times New Roman" w:hAnsi="Times New Roman" w:cs="Times New Roman"/>
                <w:sz w:val="24"/>
                <w:szCs w:val="24"/>
              </w:rPr>
            </w:pPr>
            <w:r w:rsidRPr="003C566F">
              <w:rPr>
                <w:rFonts w:ascii="Times New Roman" w:hAnsi="Times New Roman" w:cs="Times New Roman"/>
                <w:sz w:val="24"/>
                <w:szCs w:val="24"/>
              </w:rPr>
              <w:t>=</w:t>
            </w:r>
          </w:p>
        </w:tc>
        <w:tc>
          <w:tcPr>
            <w:tcW w:w="9161" w:type="dxa"/>
            <w:hideMark/>
          </w:tcPr>
          <w:p w14:paraId="4ECE6230" w14:textId="77777777" w:rsidR="003C566F" w:rsidRPr="003C566F" w:rsidRDefault="003C566F" w:rsidP="003C566F">
            <w:pPr>
              <w:rPr>
                <w:rFonts w:ascii="Times New Roman" w:hAnsi="Times New Roman" w:cs="Times New Roman"/>
                <w:sz w:val="24"/>
                <w:szCs w:val="24"/>
              </w:rPr>
            </w:pPr>
            <w:r w:rsidRPr="003C566F">
              <w:rPr>
                <w:rFonts w:ascii="Times New Roman" w:hAnsi="Times New Roman" w:cs="Times New Roman"/>
                <w:sz w:val="24"/>
                <w:szCs w:val="24"/>
              </w:rPr>
              <w:t>indicele care desemnează cele cinci categorii generale de factori de risc enumerate în tabelul 2 prima coloană de la subsecțiunea 3;</w:t>
            </w:r>
          </w:p>
        </w:tc>
      </w:tr>
    </w:tbl>
    <w:p w14:paraId="48AB37DA" w14:textId="77777777" w:rsidR="003C566F" w:rsidRPr="003C566F" w:rsidRDefault="003C566F" w:rsidP="003C566F">
      <w:pPr>
        <w:rPr>
          <w:rFonts w:ascii="Times New Roman" w:hAnsi="Times New Roman" w:cs="Times New Roman"/>
          <w:vanish/>
          <w:sz w:val="24"/>
          <w:szCs w:val="24"/>
        </w:rPr>
      </w:pPr>
    </w:p>
    <w:tbl>
      <w:tblPr>
        <w:tblW w:w="9453" w:type="dxa"/>
        <w:tblLayout w:type="fixed"/>
        <w:tblCellMar>
          <w:left w:w="0" w:type="dxa"/>
          <w:right w:w="0" w:type="dxa"/>
        </w:tblCellMar>
        <w:tblLook w:val="04A0" w:firstRow="1" w:lastRow="0" w:firstColumn="1" w:lastColumn="0" w:noHBand="0" w:noVBand="1"/>
      </w:tblPr>
      <w:tblGrid>
        <w:gridCol w:w="567"/>
        <w:gridCol w:w="82"/>
        <w:gridCol w:w="8804"/>
      </w:tblGrid>
      <w:tr w:rsidR="003C566F" w:rsidRPr="003C566F" w14:paraId="73701785" w14:textId="77777777" w:rsidTr="003C566F">
        <w:tc>
          <w:tcPr>
            <w:tcW w:w="567" w:type="dxa"/>
            <w:hideMark/>
          </w:tcPr>
          <w:p w14:paraId="6B8A7A43" w14:textId="77777777" w:rsidR="003C566F" w:rsidRPr="003C566F" w:rsidRDefault="003C566F" w:rsidP="003C566F">
            <w:pPr>
              <w:rPr>
                <w:rFonts w:ascii="Times New Roman" w:hAnsi="Times New Roman" w:cs="Times New Roman"/>
                <w:sz w:val="24"/>
                <w:szCs w:val="24"/>
              </w:rPr>
            </w:pPr>
            <w:proofErr w:type="spellStart"/>
            <w:r w:rsidRPr="003C566F">
              <w:rPr>
                <w:rFonts w:ascii="Times New Roman" w:hAnsi="Times New Roman" w:cs="Times New Roman"/>
                <w:sz w:val="24"/>
                <w:szCs w:val="24"/>
              </w:rPr>
              <w:t>UES</w:t>
            </w:r>
            <w:r w:rsidRPr="003C566F">
              <w:rPr>
                <w:rFonts w:ascii="Times New Roman" w:hAnsi="Times New Roman" w:cs="Times New Roman"/>
                <w:sz w:val="24"/>
                <w:szCs w:val="24"/>
                <w:vertAlign w:val="subscript"/>
              </w:rPr>
              <w:t>t</w:t>
            </w:r>
            <w:proofErr w:type="spellEnd"/>
          </w:p>
        </w:tc>
        <w:tc>
          <w:tcPr>
            <w:tcW w:w="82" w:type="dxa"/>
            <w:hideMark/>
          </w:tcPr>
          <w:p w14:paraId="3A8154E6" w14:textId="77777777" w:rsidR="003C566F" w:rsidRPr="003C566F" w:rsidRDefault="003C566F" w:rsidP="003C566F">
            <w:pPr>
              <w:rPr>
                <w:rFonts w:ascii="Times New Roman" w:hAnsi="Times New Roman" w:cs="Times New Roman"/>
                <w:sz w:val="24"/>
                <w:szCs w:val="24"/>
              </w:rPr>
            </w:pPr>
            <w:r w:rsidRPr="003C566F">
              <w:rPr>
                <w:rFonts w:ascii="Times New Roman" w:hAnsi="Times New Roman" w:cs="Times New Roman"/>
                <w:sz w:val="24"/>
                <w:szCs w:val="24"/>
              </w:rPr>
              <w:t>=</w:t>
            </w:r>
          </w:p>
        </w:tc>
        <w:tc>
          <w:tcPr>
            <w:tcW w:w="8804" w:type="dxa"/>
            <w:hideMark/>
          </w:tcPr>
          <w:p w14:paraId="0EA2DF70" w14:textId="77777777" w:rsidR="003C566F" w:rsidRPr="003C566F" w:rsidRDefault="003C566F" w:rsidP="003C566F">
            <w:pPr>
              <w:rPr>
                <w:rFonts w:ascii="Times New Roman" w:hAnsi="Times New Roman" w:cs="Times New Roman"/>
                <w:sz w:val="24"/>
                <w:szCs w:val="24"/>
              </w:rPr>
            </w:pPr>
            <w:r w:rsidRPr="003C566F">
              <w:rPr>
                <w:rFonts w:ascii="Times New Roman" w:hAnsi="Times New Roman" w:cs="Times New Roman"/>
                <w:sz w:val="24"/>
                <w:szCs w:val="24"/>
              </w:rPr>
              <w:t>măsura valorii la risc condiționate nerestricționată, calculată după cum urmează:</w:t>
            </w:r>
          </w:p>
          <w:p w14:paraId="19628409" w14:textId="77777777" w:rsidR="003C566F" w:rsidRPr="003C566F" w:rsidRDefault="003C566F" w:rsidP="003C566F">
            <w:pPr>
              <w:rPr>
                <w:rFonts w:ascii="Times New Roman" w:hAnsi="Times New Roman" w:cs="Times New Roman"/>
                <w:sz w:val="24"/>
                <w:szCs w:val="24"/>
              </w:rPr>
            </w:pPr>
            <w:r w:rsidRPr="003C566F">
              <w:rPr>
                <w:rFonts w:ascii="Times New Roman" w:hAnsi="Times New Roman" w:cs="Times New Roman"/>
                <w:noProof/>
                <w:sz w:val="24"/>
                <w:szCs w:val="24"/>
              </w:rPr>
              <w:drawing>
                <wp:inline distT="0" distB="0" distL="0" distR="0" wp14:anchorId="08847BB0" wp14:editId="5D89BAC5">
                  <wp:extent cx="3055620" cy="681990"/>
                  <wp:effectExtent l="0" t="0" r="0" b="3810"/>
                  <wp:docPr id="176" name="Picture 17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055620" cy="681990"/>
                          </a:xfrm>
                          <a:prstGeom prst="rect">
                            <a:avLst/>
                          </a:prstGeom>
                          <a:noFill/>
                          <a:ln>
                            <a:noFill/>
                          </a:ln>
                        </pic:spPr>
                      </pic:pic>
                    </a:graphicData>
                  </a:graphic>
                </wp:inline>
              </w:drawing>
            </w:r>
          </w:p>
        </w:tc>
      </w:tr>
    </w:tbl>
    <w:p w14:paraId="2E4349BF" w14:textId="77777777" w:rsidR="003C566F" w:rsidRPr="003C566F" w:rsidRDefault="003C566F" w:rsidP="003C566F">
      <w:pPr>
        <w:rPr>
          <w:rFonts w:ascii="Times New Roman" w:hAnsi="Times New Roman" w:cs="Times New Roman"/>
          <w:vanish/>
          <w:sz w:val="24"/>
          <w:szCs w:val="24"/>
        </w:rPr>
      </w:pPr>
    </w:p>
    <w:tbl>
      <w:tblPr>
        <w:tblW w:w="9498" w:type="dxa"/>
        <w:tblLayout w:type="fixed"/>
        <w:tblCellMar>
          <w:left w:w="0" w:type="dxa"/>
          <w:right w:w="0" w:type="dxa"/>
        </w:tblCellMar>
        <w:tblLook w:val="04A0" w:firstRow="1" w:lastRow="0" w:firstColumn="1" w:lastColumn="0" w:noHBand="0" w:noVBand="1"/>
      </w:tblPr>
      <w:tblGrid>
        <w:gridCol w:w="1037"/>
        <w:gridCol w:w="76"/>
        <w:gridCol w:w="8385"/>
      </w:tblGrid>
      <w:tr w:rsidR="003C566F" w:rsidRPr="00626DF5" w14:paraId="776FFDE4" w14:textId="77777777" w:rsidTr="003C566F">
        <w:tc>
          <w:tcPr>
            <w:tcW w:w="1037" w:type="dxa"/>
            <w:hideMark/>
          </w:tcPr>
          <w:p w14:paraId="6670E4C0" w14:textId="77777777"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noProof/>
                <w:sz w:val="24"/>
                <w:szCs w:val="24"/>
              </w:rPr>
              <w:lastRenderedPageBreak/>
              <w:drawing>
                <wp:inline distT="0" distB="0" distL="0" distR="0" wp14:anchorId="07CEFB60" wp14:editId="2A8E4341">
                  <wp:extent cx="603250" cy="381000"/>
                  <wp:effectExtent l="0" t="0" r="6350" b="0"/>
                  <wp:docPr id="177" name="Picture 17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03250" cy="381000"/>
                          </a:xfrm>
                          <a:prstGeom prst="rect">
                            <a:avLst/>
                          </a:prstGeom>
                          <a:noFill/>
                          <a:ln>
                            <a:noFill/>
                          </a:ln>
                        </pic:spPr>
                      </pic:pic>
                    </a:graphicData>
                  </a:graphic>
                </wp:inline>
              </w:drawing>
            </w:r>
          </w:p>
        </w:tc>
        <w:tc>
          <w:tcPr>
            <w:tcW w:w="76" w:type="dxa"/>
            <w:hideMark/>
          </w:tcPr>
          <w:p w14:paraId="140474B7" w14:textId="77777777"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sz w:val="24"/>
                <w:szCs w:val="24"/>
              </w:rPr>
              <w:t>=</w:t>
            </w:r>
          </w:p>
        </w:tc>
        <w:tc>
          <w:tcPr>
            <w:tcW w:w="8385" w:type="dxa"/>
            <w:hideMark/>
          </w:tcPr>
          <w:p w14:paraId="09FE5797" w14:textId="77777777"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sz w:val="24"/>
                <w:szCs w:val="24"/>
              </w:rPr>
              <w:t>măsura valorii la risc condiționate nerestricționată pentru categoria generală de factori de risc i, calculată după cum urmează:</w:t>
            </w:r>
          </w:p>
          <w:p w14:paraId="7D72FDCA" w14:textId="77777777"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noProof/>
                <w:sz w:val="24"/>
                <w:szCs w:val="24"/>
              </w:rPr>
              <w:drawing>
                <wp:inline distT="0" distB="0" distL="0" distR="0" wp14:anchorId="2EB6E2FD" wp14:editId="392EDD9A">
                  <wp:extent cx="3055620" cy="645795"/>
                  <wp:effectExtent l="0" t="0" r="0" b="1905"/>
                  <wp:docPr id="178" name="Picture 17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055620" cy="645795"/>
                          </a:xfrm>
                          <a:prstGeom prst="rect">
                            <a:avLst/>
                          </a:prstGeom>
                          <a:noFill/>
                          <a:ln>
                            <a:noFill/>
                          </a:ln>
                        </pic:spPr>
                      </pic:pic>
                    </a:graphicData>
                  </a:graphic>
                </wp:inline>
              </w:drawing>
            </w:r>
          </w:p>
          <w:tbl>
            <w:tblPr>
              <w:tblW w:w="8238" w:type="dxa"/>
              <w:tblLayout w:type="fixed"/>
              <w:tblCellMar>
                <w:left w:w="0" w:type="dxa"/>
                <w:right w:w="0" w:type="dxa"/>
              </w:tblCellMar>
              <w:tblLook w:val="04A0" w:firstRow="1" w:lastRow="0" w:firstColumn="1" w:lastColumn="0" w:noHBand="0" w:noVBand="1"/>
            </w:tblPr>
            <w:tblGrid>
              <w:gridCol w:w="353"/>
              <w:gridCol w:w="76"/>
              <w:gridCol w:w="7809"/>
            </w:tblGrid>
            <w:tr w:rsidR="003C566F" w:rsidRPr="00626DF5" w14:paraId="441DAE33" w14:textId="77777777" w:rsidTr="003C566F">
              <w:tc>
                <w:tcPr>
                  <w:tcW w:w="353" w:type="dxa"/>
                  <w:hideMark/>
                </w:tcPr>
                <w:p w14:paraId="3F7F2897" w14:textId="77777777"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sz w:val="24"/>
                      <w:szCs w:val="24"/>
                    </w:rPr>
                    <w:t>ρ</w:t>
                  </w:r>
                </w:p>
              </w:tc>
              <w:tc>
                <w:tcPr>
                  <w:tcW w:w="76" w:type="dxa"/>
                  <w:hideMark/>
                </w:tcPr>
                <w:p w14:paraId="0C450C97" w14:textId="77777777"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sz w:val="24"/>
                      <w:szCs w:val="24"/>
                    </w:rPr>
                    <w:t>=</w:t>
                  </w:r>
                </w:p>
              </w:tc>
              <w:tc>
                <w:tcPr>
                  <w:tcW w:w="7809" w:type="dxa"/>
                  <w:hideMark/>
                </w:tcPr>
                <w:p w14:paraId="5000A744" w14:textId="77777777"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sz w:val="24"/>
                      <w:szCs w:val="24"/>
                    </w:rPr>
                    <w:t>factorul de corelare impus de BNM pentru toate categoriile generale de risc; ρ = 50 %;</w:t>
                  </w:r>
                </w:p>
              </w:tc>
            </w:tr>
          </w:tbl>
          <w:p w14:paraId="41B0B3D8" w14:textId="77777777" w:rsidR="003C566F" w:rsidRPr="00626DF5" w:rsidRDefault="003C566F" w:rsidP="003C566F">
            <w:pPr>
              <w:rPr>
                <w:rFonts w:ascii="Times New Roman" w:hAnsi="Times New Roman" w:cs="Times New Roman"/>
                <w:vanish/>
                <w:sz w:val="24"/>
                <w:szCs w:val="24"/>
              </w:rPr>
            </w:pPr>
          </w:p>
          <w:tbl>
            <w:tblPr>
              <w:tblW w:w="7954" w:type="dxa"/>
              <w:tblLayout w:type="fixed"/>
              <w:tblCellMar>
                <w:left w:w="0" w:type="dxa"/>
                <w:right w:w="0" w:type="dxa"/>
              </w:tblCellMar>
              <w:tblLook w:val="04A0" w:firstRow="1" w:lastRow="0" w:firstColumn="1" w:lastColumn="0" w:noHBand="0" w:noVBand="1"/>
            </w:tblPr>
            <w:tblGrid>
              <w:gridCol w:w="1203"/>
              <w:gridCol w:w="76"/>
              <w:gridCol w:w="6675"/>
            </w:tblGrid>
            <w:tr w:rsidR="003C566F" w:rsidRPr="00626DF5" w14:paraId="36837DDC" w14:textId="77777777" w:rsidTr="003C566F">
              <w:tc>
                <w:tcPr>
                  <w:tcW w:w="1203" w:type="dxa"/>
                  <w:hideMark/>
                </w:tcPr>
                <w:p w14:paraId="32F02CBA" w14:textId="77777777"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noProof/>
                      <w:sz w:val="24"/>
                      <w:szCs w:val="24"/>
                    </w:rPr>
                    <w:drawing>
                      <wp:inline distT="0" distB="0" distL="0" distR="0" wp14:anchorId="55F820AE" wp14:editId="2B0A94D8">
                        <wp:extent cx="755650" cy="381000"/>
                        <wp:effectExtent l="0" t="0" r="6350" b="0"/>
                        <wp:docPr id="179" name="Picture 17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755650" cy="381000"/>
                                </a:xfrm>
                                <a:prstGeom prst="rect">
                                  <a:avLst/>
                                </a:prstGeom>
                                <a:noFill/>
                                <a:ln>
                                  <a:noFill/>
                                </a:ln>
                              </pic:spPr>
                            </pic:pic>
                          </a:graphicData>
                        </a:graphic>
                      </wp:inline>
                    </w:drawing>
                  </w:r>
                </w:p>
              </w:tc>
              <w:tc>
                <w:tcPr>
                  <w:tcW w:w="76" w:type="dxa"/>
                  <w:hideMark/>
                </w:tcPr>
                <w:p w14:paraId="42F0AB72" w14:textId="77777777"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sz w:val="24"/>
                      <w:szCs w:val="24"/>
                    </w:rPr>
                    <w:t>=</w:t>
                  </w:r>
                </w:p>
              </w:tc>
              <w:tc>
                <w:tcPr>
                  <w:tcW w:w="6675" w:type="dxa"/>
                  <w:hideMark/>
                </w:tcPr>
                <w:p w14:paraId="25EE0005" w14:textId="23059C2D"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sz w:val="24"/>
                      <w:szCs w:val="24"/>
                    </w:rPr>
                    <w:t xml:space="preserve">măsura valorii la risc condiționate parțială care se calculează pentru toate pozițiile din portofoliu în conformitate cu </w:t>
                  </w:r>
                  <w:r w:rsidR="00626DF5" w:rsidRPr="00626DF5">
                    <w:rPr>
                      <w:rFonts w:ascii="Times New Roman" w:hAnsi="Times New Roman" w:cs="Times New Roman"/>
                      <w:sz w:val="24"/>
                      <w:szCs w:val="24"/>
                    </w:rPr>
                    <w:t>pct.349</w:t>
                  </w:r>
                  <w:r w:rsidRPr="00626DF5">
                    <w:rPr>
                      <w:rFonts w:ascii="Times New Roman" w:hAnsi="Times New Roman" w:cs="Times New Roman"/>
                      <w:sz w:val="24"/>
                      <w:szCs w:val="24"/>
                    </w:rPr>
                    <w:t>;</w:t>
                  </w:r>
                </w:p>
              </w:tc>
            </w:tr>
          </w:tbl>
          <w:p w14:paraId="6D8023AE" w14:textId="77777777" w:rsidR="003C566F" w:rsidRPr="00626DF5" w:rsidRDefault="003C566F" w:rsidP="003C566F">
            <w:pPr>
              <w:rPr>
                <w:rFonts w:ascii="Times New Roman" w:hAnsi="Times New Roman" w:cs="Times New Roman"/>
                <w:vanish/>
                <w:sz w:val="24"/>
                <w:szCs w:val="24"/>
              </w:rPr>
            </w:pPr>
          </w:p>
          <w:tbl>
            <w:tblPr>
              <w:tblW w:w="7954" w:type="dxa"/>
              <w:tblLayout w:type="fixed"/>
              <w:tblCellMar>
                <w:left w:w="0" w:type="dxa"/>
                <w:right w:w="0" w:type="dxa"/>
              </w:tblCellMar>
              <w:tblLook w:val="04A0" w:firstRow="1" w:lastRow="0" w:firstColumn="1" w:lastColumn="0" w:noHBand="0" w:noVBand="1"/>
            </w:tblPr>
            <w:tblGrid>
              <w:gridCol w:w="1203"/>
              <w:gridCol w:w="69"/>
              <w:gridCol w:w="6682"/>
            </w:tblGrid>
            <w:tr w:rsidR="003C566F" w:rsidRPr="00626DF5" w14:paraId="0292732E" w14:textId="77777777" w:rsidTr="003C566F">
              <w:tc>
                <w:tcPr>
                  <w:tcW w:w="1203" w:type="dxa"/>
                  <w:hideMark/>
                </w:tcPr>
                <w:p w14:paraId="67E5C458" w14:textId="77777777"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noProof/>
                      <w:sz w:val="24"/>
                      <w:szCs w:val="24"/>
                    </w:rPr>
                    <w:drawing>
                      <wp:inline distT="0" distB="0" distL="0" distR="0" wp14:anchorId="4FFCEFF2" wp14:editId="358DE9B6">
                        <wp:extent cx="774700" cy="381000"/>
                        <wp:effectExtent l="0" t="0" r="6350" b="0"/>
                        <wp:docPr id="180" name="Picture 18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774700" cy="381000"/>
                                </a:xfrm>
                                <a:prstGeom prst="rect">
                                  <a:avLst/>
                                </a:prstGeom>
                                <a:noFill/>
                                <a:ln>
                                  <a:noFill/>
                                </a:ln>
                              </pic:spPr>
                            </pic:pic>
                          </a:graphicData>
                        </a:graphic>
                      </wp:inline>
                    </w:drawing>
                  </w:r>
                </w:p>
              </w:tc>
              <w:tc>
                <w:tcPr>
                  <w:tcW w:w="69" w:type="dxa"/>
                  <w:hideMark/>
                </w:tcPr>
                <w:p w14:paraId="74AA40CD" w14:textId="77777777"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sz w:val="24"/>
                      <w:szCs w:val="24"/>
                    </w:rPr>
                    <w:t>=</w:t>
                  </w:r>
                </w:p>
              </w:tc>
              <w:tc>
                <w:tcPr>
                  <w:tcW w:w="6682" w:type="dxa"/>
                  <w:hideMark/>
                </w:tcPr>
                <w:p w14:paraId="4284FAB3" w14:textId="29453A5F"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sz w:val="24"/>
                      <w:szCs w:val="24"/>
                    </w:rPr>
                    <w:t xml:space="preserve">măsura valorii la risc condiționate parțială care se calculează pentru toate pozițiile din portofoliu în conformitate cu </w:t>
                  </w:r>
                  <w:r w:rsidR="00626DF5" w:rsidRPr="00CC1E9B">
                    <w:rPr>
                      <w:rFonts w:ascii="Times New Roman" w:hAnsi="Times New Roman" w:cs="Times New Roman"/>
                      <w:sz w:val="24"/>
                      <w:szCs w:val="24"/>
                    </w:rPr>
                    <w:t>pct.350</w:t>
                  </w:r>
                  <w:r w:rsidRPr="00626DF5">
                    <w:rPr>
                      <w:rFonts w:ascii="Times New Roman" w:hAnsi="Times New Roman" w:cs="Times New Roman"/>
                      <w:sz w:val="24"/>
                      <w:szCs w:val="24"/>
                    </w:rPr>
                    <w:t>;</w:t>
                  </w:r>
                </w:p>
              </w:tc>
            </w:tr>
          </w:tbl>
          <w:p w14:paraId="4759707F" w14:textId="77777777" w:rsidR="003C566F" w:rsidRPr="00626DF5" w:rsidRDefault="003C566F" w:rsidP="003C566F">
            <w:pPr>
              <w:rPr>
                <w:rFonts w:ascii="Times New Roman" w:hAnsi="Times New Roman" w:cs="Times New Roman"/>
                <w:vanish/>
                <w:sz w:val="24"/>
                <w:szCs w:val="24"/>
              </w:rPr>
            </w:pPr>
          </w:p>
          <w:tbl>
            <w:tblPr>
              <w:tblW w:w="7954" w:type="dxa"/>
              <w:tblLayout w:type="fixed"/>
              <w:tblCellMar>
                <w:left w:w="0" w:type="dxa"/>
                <w:right w:w="0" w:type="dxa"/>
              </w:tblCellMar>
              <w:tblLook w:val="04A0" w:firstRow="1" w:lastRow="0" w:firstColumn="1" w:lastColumn="0" w:noHBand="0" w:noVBand="1"/>
            </w:tblPr>
            <w:tblGrid>
              <w:gridCol w:w="1203"/>
              <w:gridCol w:w="69"/>
              <w:gridCol w:w="6682"/>
            </w:tblGrid>
            <w:tr w:rsidR="003C566F" w:rsidRPr="00626DF5" w14:paraId="0D2AA78F" w14:textId="77777777" w:rsidTr="003C566F">
              <w:tc>
                <w:tcPr>
                  <w:tcW w:w="1203" w:type="dxa"/>
                  <w:hideMark/>
                </w:tcPr>
                <w:p w14:paraId="4D3D883D" w14:textId="77777777"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noProof/>
                      <w:sz w:val="24"/>
                      <w:szCs w:val="24"/>
                    </w:rPr>
                    <w:drawing>
                      <wp:inline distT="0" distB="0" distL="0" distR="0" wp14:anchorId="204BB9F2" wp14:editId="14292FB1">
                        <wp:extent cx="762000" cy="381000"/>
                        <wp:effectExtent l="0" t="0" r="0" b="0"/>
                        <wp:docPr id="181" name="Picture 18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62000" cy="381000"/>
                                </a:xfrm>
                                <a:prstGeom prst="rect">
                                  <a:avLst/>
                                </a:prstGeom>
                                <a:noFill/>
                                <a:ln>
                                  <a:noFill/>
                                </a:ln>
                              </pic:spPr>
                            </pic:pic>
                          </a:graphicData>
                        </a:graphic>
                      </wp:inline>
                    </w:drawing>
                  </w:r>
                </w:p>
              </w:tc>
              <w:tc>
                <w:tcPr>
                  <w:tcW w:w="69" w:type="dxa"/>
                  <w:hideMark/>
                </w:tcPr>
                <w:p w14:paraId="4CA05D4F" w14:textId="77777777"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sz w:val="24"/>
                      <w:szCs w:val="24"/>
                    </w:rPr>
                    <w:t>=</w:t>
                  </w:r>
                </w:p>
              </w:tc>
              <w:tc>
                <w:tcPr>
                  <w:tcW w:w="6682" w:type="dxa"/>
                  <w:hideMark/>
                </w:tcPr>
                <w:p w14:paraId="3F286EAD" w14:textId="5FDD280D"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sz w:val="24"/>
                      <w:szCs w:val="24"/>
                    </w:rPr>
                    <w:t xml:space="preserve">măsura valorii la risc condiționate parțială care se calculează pentru toate pozițiile din portofoliu în conformitate cu </w:t>
                  </w:r>
                  <w:r w:rsidR="00626DF5" w:rsidRPr="00CC1E9B">
                    <w:rPr>
                      <w:rFonts w:ascii="Times New Roman" w:hAnsi="Times New Roman" w:cs="Times New Roman"/>
                      <w:sz w:val="24"/>
                      <w:szCs w:val="24"/>
                    </w:rPr>
                    <w:t>pct.351</w:t>
                  </w:r>
                  <w:r w:rsidRPr="00626DF5">
                    <w:rPr>
                      <w:rFonts w:ascii="Times New Roman" w:hAnsi="Times New Roman" w:cs="Times New Roman"/>
                      <w:sz w:val="24"/>
                      <w:szCs w:val="24"/>
                    </w:rPr>
                    <w:t>;</w:t>
                  </w:r>
                </w:p>
              </w:tc>
            </w:tr>
          </w:tbl>
          <w:p w14:paraId="386AE214" w14:textId="77777777" w:rsidR="003C566F" w:rsidRPr="00626DF5" w:rsidRDefault="003C566F" w:rsidP="003C566F">
            <w:pPr>
              <w:rPr>
                <w:rFonts w:ascii="Times New Roman" w:hAnsi="Times New Roman" w:cs="Times New Roman"/>
                <w:sz w:val="24"/>
                <w:szCs w:val="24"/>
              </w:rPr>
            </w:pPr>
          </w:p>
        </w:tc>
      </w:tr>
    </w:tbl>
    <w:p w14:paraId="1E6C11DC" w14:textId="77777777" w:rsidR="003C566F" w:rsidRPr="00626DF5" w:rsidRDefault="003C566F" w:rsidP="003C566F">
      <w:pPr>
        <w:rPr>
          <w:rFonts w:ascii="Times New Roman" w:hAnsi="Times New Roman" w:cs="Times New Roman"/>
          <w:vanish/>
          <w:sz w:val="24"/>
          <w:szCs w:val="24"/>
        </w:rPr>
      </w:pPr>
    </w:p>
    <w:tbl>
      <w:tblPr>
        <w:tblW w:w="9214" w:type="dxa"/>
        <w:tblLayout w:type="fixed"/>
        <w:tblCellMar>
          <w:left w:w="0" w:type="dxa"/>
          <w:right w:w="0" w:type="dxa"/>
        </w:tblCellMar>
        <w:tblLook w:val="04A0" w:firstRow="1" w:lastRow="0" w:firstColumn="1" w:lastColumn="0" w:noHBand="0" w:noVBand="1"/>
      </w:tblPr>
      <w:tblGrid>
        <w:gridCol w:w="1463"/>
        <w:gridCol w:w="76"/>
        <w:gridCol w:w="7675"/>
      </w:tblGrid>
      <w:tr w:rsidR="003C566F" w:rsidRPr="00626DF5" w14:paraId="7E001BEE" w14:textId="77777777" w:rsidTr="003C566F">
        <w:tc>
          <w:tcPr>
            <w:tcW w:w="1463" w:type="dxa"/>
            <w:hideMark/>
          </w:tcPr>
          <w:p w14:paraId="32F5EC7B" w14:textId="77777777"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noProof/>
                <w:sz w:val="24"/>
                <w:szCs w:val="24"/>
              </w:rPr>
              <w:drawing>
                <wp:inline distT="0" distB="0" distL="0" distR="0" wp14:anchorId="0B174450" wp14:editId="16A46E95">
                  <wp:extent cx="850900" cy="393700"/>
                  <wp:effectExtent l="0" t="0" r="6350" b="6350"/>
                  <wp:docPr id="182" name="Picture 18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50900" cy="393700"/>
                          </a:xfrm>
                          <a:prstGeom prst="rect">
                            <a:avLst/>
                          </a:prstGeom>
                          <a:noFill/>
                          <a:ln>
                            <a:noFill/>
                          </a:ln>
                        </pic:spPr>
                      </pic:pic>
                    </a:graphicData>
                  </a:graphic>
                </wp:inline>
              </w:drawing>
            </w:r>
          </w:p>
        </w:tc>
        <w:tc>
          <w:tcPr>
            <w:tcW w:w="76" w:type="dxa"/>
            <w:hideMark/>
          </w:tcPr>
          <w:p w14:paraId="1F7DF012" w14:textId="77777777"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sz w:val="24"/>
                <w:szCs w:val="24"/>
              </w:rPr>
              <w:t>=</w:t>
            </w:r>
          </w:p>
        </w:tc>
        <w:tc>
          <w:tcPr>
            <w:tcW w:w="7675" w:type="dxa"/>
            <w:hideMark/>
          </w:tcPr>
          <w:p w14:paraId="3D6F9DA8" w14:textId="425656E2"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sz w:val="24"/>
                <w:szCs w:val="24"/>
              </w:rPr>
              <w:t xml:space="preserve">măsura valorii la risc condiționate parțială pentru categoria generală de factori de risc i care se calculează pentru toate pozițiile din portofoliu în conformitate cu </w:t>
            </w:r>
            <w:r w:rsidR="00626DF5" w:rsidRPr="00CC1E9B">
              <w:rPr>
                <w:rFonts w:ascii="Times New Roman" w:hAnsi="Times New Roman" w:cs="Times New Roman"/>
                <w:sz w:val="24"/>
                <w:szCs w:val="24"/>
              </w:rPr>
              <w:t>pct.349</w:t>
            </w:r>
            <w:r w:rsidRPr="00626DF5">
              <w:rPr>
                <w:rFonts w:ascii="Times New Roman" w:hAnsi="Times New Roman" w:cs="Times New Roman"/>
                <w:sz w:val="24"/>
                <w:szCs w:val="24"/>
              </w:rPr>
              <w:t>;</w:t>
            </w:r>
          </w:p>
        </w:tc>
      </w:tr>
    </w:tbl>
    <w:p w14:paraId="653C7ADC" w14:textId="77777777" w:rsidR="003C566F" w:rsidRPr="00626DF5" w:rsidRDefault="003C566F" w:rsidP="003C566F">
      <w:pPr>
        <w:rPr>
          <w:rFonts w:ascii="Times New Roman" w:hAnsi="Times New Roman" w:cs="Times New Roman"/>
          <w:vanish/>
          <w:sz w:val="24"/>
          <w:szCs w:val="24"/>
        </w:rPr>
      </w:pPr>
    </w:p>
    <w:tbl>
      <w:tblPr>
        <w:tblW w:w="9072" w:type="dxa"/>
        <w:tblLayout w:type="fixed"/>
        <w:tblCellMar>
          <w:left w:w="0" w:type="dxa"/>
          <w:right w:w="0" w:type="dxa"/>
        </w:tblCellMar>
        <w:tblLook w:val="04A0" w:firstRow="1" w:lastRow="0" w:firstColumn="1" w:lastColumn="0" w:noHBand="0" w:noVBand="1"/>
      </w:tblPr>
      <w:tblGrid>
        <w:gridCol w:w="1321"/>
        <w:gridCol w:w="76"/>
        <w:gridCol w:w="7675"/>
      </w:tblGrid>
      <w:tr w:rsidR="003C566F" w:rsidRPr="00626DF5" w14:paraId="0340CEAC" w14:textId="77777777" w:rsidTr="003C566F">
        <w:tc>
          <w:tcPr>
            <w:tcW w:w="1321" w:type="dxa"/>
            <w:hideMark/>
          </w:tcPr>
          <w:p w14:paraId="5C423E6F" w14:textId="77777777"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noProof/>
                <w:sz w:val="24"/>
                <w:szCs w:val="24"/>
              </w:rPr>
              <w:drawing>
                <wp:inline distT="0" distB="0" distL="0" distR="0" wp14:anchorId="3D33027A" wp14:editId="68F2CC92">
                  <wp:extent cx="876300" cy="393700"/>
                  <wp:effectExtent l="0" t="0" r="0" b="6350"/>
                  <wp:docPr id="183" name="Picture 18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76300" cy="393700"/>
                          </a:xfrm>
                          <a:prstGeom prst="rect">
                            <a:avLst/>
                          </a:prstGeom>
                          <a:noFill/>
                          <a:ln>
                            <a:noFill/>
                          </a:ln>
                        </pic:spPr>
                      </pic:pic>
                    </a:graphicData>
                  </a:graphic>
                </wp:inline>
              </w:drawing>
            </w:r>
          </w:p>
        </w:tc>
        <w:tc>
          <w:tcPr>
            <w:tcW w:w="76" w:type="dxa"/>
            <w:hideMark/>
          </w:tcPr>
          <w:p w14:paraId="74621378" w14:textId="77777777"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sz w:val="24"/>
                <w:szCs w:val="24"/>
              </w:rPr>
              <w:t>=</w:t>
            </w:r>
          </w:p>
        </w:tc>
        <w:tc>
          <w:tcPr>
            <w:tcW w:w="7675" w:type="dxa"/>
            <w:hideMark/>
          </w:tcPr>
          <w:p w14:paraId="7191D90D" w14:textId="055005FB"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sz w:val="24"/>
                <w:szCs w:val="24"/>
              </w:rPr>
              <w:t xml:space="preserve">măsura valorii la risc condiționate parțială pentru categoria generală de factori de risc i care se calculează pentru toate pozițiile din portofoliu în conformitate cu </w:t>
            </w:r>
            <w:r w:rsidR="00626DF5" w:rsidRPr="00CC1E9B">
              <w:rPr>
                <w:rFonts w:ascii="Times New Roman" w:hAnsi="Times New Roman" w:cs="Times New Roman"/>
                <w:sz w:val="24"/>
                <w:szCs w:val="24"/>
              </w:rPr>
              <w:t>pct.350</w:t>
            </w:r>
            <w:r w:rsidRPr="00CC1E9B">
              <w:rPr>
                <w:rFonts w:ascii="Times New Roman" w:hAnsi="Times New Roman" w:cs="Times New Roman"/>
                <w:sz w:val="24"/>
                <w:szCs w:val="24"/>
              </w:rPr>
              <w:t>;</w:t>
            </w:r>
            <w:r w:rsidRPr="00626DF5">
              <w:rPr>
                <w:rFonts w:ascii="Times New Roman" w:hAnsi="Times New Roman" w:cs="Times New Roman"/>
                <w:sz w:val="24"/>
                <w:szCs w:val="24"/>
              </w:rPr>
              <w:t xml:space="preserve"> și</w:t>
            </w:r>
          </w:p>
        </w:tc>
      </w:tr>
    </w:tbl>
    <w:p w14:paraId="68455534" w14:textId="77777777" w:rsidR="003C566F" w:rsidRPr="00626DF5" w:rsidRDefault="003C566F" w:rsidP="003C566F">
      <w:pPr>
        <w:rPr>
          <w:rFonts w:ascii="Times New Roman" w:hAnsi="Times New Roman" w:cs="Times New Roman"/>
          <w:vanish/>
          <w:sz w:val="24"/>
          <w:szCs w:val="24"/>
        </w:rPr>
      </w:pPr>
    </w:p>
    <w:tbl>
      <w:tblPr>
        <w:tblW w:w="9356" w:type="dxa"/>
        <w:tblLayout w:type="fixed"/>
        <w:tblCellMar>
          <w:left w:w="0" w:type="dxa"/>
          <w:right w:w="0" w:type="dxa"/>
        </w:tblCellMar>
        <w:tblLook w:val="04A0" w:firstRow="1" w:lastRow="0" w:firstColumn="1" w:lastColumn="0" w:noHBand="0" w:noVBand="1"/>
      </w:tblPr>
      <w:tblGrid>
        <w:gridCol w:w="1179"/>
        <w:gridCol w:w="76"/>
        <w:gridCol w:w="8101"/>
      </w:tblGrid>
      <w:tr w:rsidR="003C566F" w:rsidRPr="003C566F" w14:paraId="3C4270DF" w14:textId="77777777" w:rsidTr="003C566F">
        <w:tc>
          <w:tcPr>
            <w:tcW w:w="1179" w:type="dxa"/>
            <w:hideMark/>
          </w:tcPr>
          <w:p w14:paraId="46E298FD" w14:textId="77777777"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noProof/>
                <w:sz w:val="24"/>
                <w:szCs w:val="24"/>
              </w:rPr>
              <w:drawing>
                <wp:inline distT="0" distB="0" distL="0" distR="0" wp14:anchorId="459EFD77" wp14:editId="7F6EA4CE">
                  <wp:extent cx="869950" cy="393700"/>
                  <wp:effectExtent l="0" t="0" r="6350" b="6350"/>
                  <wp:docPr id="184" name="Picture 18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869950" cy="393700"/>
                          </a:xfrm>
                          <a:prstGeom prst="rect">
                            <a:avLst/>
                          </a:prstGeom>
                          <a:noFill/>
                          <a:ln>
                            <a:noFill/>
                          </a:ln>
                        </pic:spPr>
                      </pic:pic>
                    </a:graphicData>
                  </a:graphic>
                </wp:inline>
              </w:drawing>
            </w:r>
          </w:p>
        </w:tc>
        <w:tc>
          <w:tcPr>
            <w:tcW w:w="76" w:type="dxa"/>
            <w:hideMark/>
          </w:tcPr>
          <w:p w14:paraId="7E13FE5E" w14:textId="77777777" w:rsidR="003C566F" w:rsidRPr="00626DF5" w:rsidRDefault="003C566F" w:rsidP="003C566F">
            <w:pPr>
              <w:rPr>
                <w:rFonts w:ascii="Times New Roman" w:hAnsi="Times New Roman" w:cs="Times New Roman"/>
                <w:sz w:val="24"/>
                <w:szCs w:val="24"/>
              </w:rPr>
            </w:pPr>
            <w:r w:rsidRPr="00626DF5">
              <w:rPr>
                <w:rFonts w:ascii="Times New Roman" w:hAnsi="Times New Roman" w:cs="Times New Roman"/>
                <w:sz w:val="24"/>
                <w:szCs w:val="24"/>
              </w:rPr>
              <w:t>=</w:t>
            </w:r>
          </w:p>
        </w:tc>
        <w:tc>
          <w:tcPr>
            <w:tcW w:w="8101" w:type="dxa"/>
            <w:hideMark/>
          </w:tcPr>
          <w:p w14:paraId="601261E5" w14:textId="6A02148B" w:rsidR="003C566F" w:rsidRPr="003C566F" w:rsidRDefault="003C566F" w:rsidP="003C566F">
            <w:pPr>
              <w:rPr>
                <w:rFonts w:ascii="Times New Roman" w:hAnsi="Times New Roman" w:cs="Times New Roman"/>
                <w:sz w:val="24"/>
                <w:szCs w:val="24"/>
              </w:rPr>
            </w:pPr>
            <w:r w:rsidRPr="00626DF5">
              <w:rPr>
                <w:rFonts w:ascii="Times New Roman" w:hAnsi="Times New Roman" w:cs="Times New Roman"/>
                <w:sz w:val="24"/>
                <w:szCs w:val="24"/>
              </w:rPr>
              <w:t xml:space="preserve">măsura valorii la risc condiționate parțială pentru categoria generală de factori de risc i care se calculează pentru toate pozițiile din portofoliu în conformitate cu </w:t>
            </w:r>
            <w:r w:rsidR="00626DF5" w:rsidRPr="00CC1E9B">
              <w:rPr>
                <w:rFonts w:ascii="Times New Roman" w:hAnsi="Times New Roman" w:cs="Times New Roman"/>
                <w:sz w:val="24"/>
                <w:szCs w:val="24"/>
              </w:rPr>
              <w:t>pct.351</w:t>
            </w:r>
            <w:r w:rsidRPr="00CC1E9B">
              <w:rPr>
                <w:rFonts w:ascii="Times New Roman" w:hAnsi="Times New Roman" w:cs="Times New Roman"/>
                <w:sz w:val="24"/>
                <w:szCs w:val="24"/>
              </w:rPr>
              <w:t>.</w:t>
            </w:r>
          </w:p>
        </w:tc>
      </w:tr>
    </w:tbl>
    <w:p w14:paraId="56A9D425" w14:textId="21DC2D2C" w:rsidR="003C566F" w:rsidRDefault="00AA18C1" w:rsidP="003C566F">
      <w:pPr>
        <w:rPr>
          <w:rFonts w:ascii="Times New Roman" w:hAnsi="Times New Roman" w:cs="Times New Roman"/>
          <w:sz w:val="24"/>
          <w:szCs w:val="24"/>
        </w:rPr>
      </w:pPr>
      <w:r w:rsidRPr="00AA18C1">
        <w:rPr>
          <w:rFonts w:ascii="Times New Roman" w:hAnsi="Times New Roman" w:cs="Times New Roman"/>
          <w:sz w:val="24"/>
          <w:szCs w:val="24"/>
        </w:rPr>
        <w:t>345.   Băncile aplică doar scenarii ale unor șocuri viitoare setului specific de factori de risc modelabili aplicabil fiecărei valori la risc condiționată parțială, astfel cum se prevede la subsecțiunea 2, atunci când determină valoarea fiecărui deficit preconizat parțial pentru calcularea măsurii valorii la risc condiționate în conformitate cu pct.344.</w:t>
      </w:r>
    </w:p>
    <w:p w14:paraId="0B36AA33" w14:textId="4B2C2E02" w:rsidR="00AA18C1" w:rsidRDefault="00AA18C1" w:rsidP="003C566F">
      <w:pPr>
        <w:rPr>
          <w:rFonts w:ascii="Times New Roman" w:hAnsi="Times New Roman" w:cs="Times New Roman"/>
          <w:sz w:val="24"/>
          <w:szCs w:val="24"/>
        </w:rPr>
      </w:pPr>
      <w:r w:rsidRPr="00AA18C1">
        <w:rPr>
          <w:rFonts w:ascii="Times New Roman" w:hAnsi="Times New Roman" w:cs="Times New Roman"/>
          <w:sz w:val="24"/>
          <w:szCs w:val="24"/>
        </w:rPr>
        <w:t>346.   În cazul în care cel puțin o tranzacție din portofoliu are cel puțin un factor de risc modelabil care a fost încadrat în categoria generală de factori de risc i în conformitate cu subsecțiunea 3, băncile calculează măsura valorii la risc condiționate nerestricționată pentru categoria generală de factori de risc i și o includ în formula măsurii valorii la risc condiționate menționată la pct.344.</w:t>
      </w:r>
    </w:p>
    <w:p w14:paraId="17B42E3A" w14:textId="10DC692E" w:rsidR="00AA18C1" w:rsidRPr="00AA18C1" w:rsidRDefault="00AA18C1" w:rsidP="00AA18C1">
      <w:pPr>
        <w:rPr>
          <w:rFonts w:ascii="Times New Roman" w:hAnsi="Times New Roman" w:cs="Times New Roman"/>
          <w:sz w:val="24"/>
          <w:szCs w:val="24"/>
        </w:rPr>
      </w:pPr>
      <w:r w:rsidRPr="00AA18C1">
        <w:rPr>
          <w:rFonts w:ascii="Times New Roman" w:hAnsi="Times New Roman" w:cs="Times New Roman"/>
          <w:sz w:val="24"/>
          <w:szCs w:val="24"/>
        </w:rPr>
        <w:t>347.   Prin derogare de la dispozițiile pct.344, o bancă poate reduce frecvența calculării măsurii valorii la risc condiționată nerestricționată</w:t>
      </w:r>
      <w:r w:rsidRPr="00AA18C1">
        <w:rPr>
          <w:rFonts w:ascii="Times New Roman" w:hAnsi="Times New Roman" w:cs="Times New Roman"/>
          <w:noProof/>
          <w:sz w:val="24"/>
          <w:szCs w:val="24"/>
        </w:rPr>
        <w:drawing>
          <wp:inline distT="0" distB="0" distL="0" distR="0" wp14:anchorId="1A7AB078" wp14:editId="6FD0A13D">
            <wp:extent cx="603250" cy="381000"/>
            <wp:effectExtent l="0" t="0" r="6350" b="0"/>
            <wp:docPr id="185" name="Picture 18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03250" cy="381000"/>
                    </a:xfrm>
                    <a:prstGeom prst="rect">
                      <a:avLst/>
                    </a:prstGeom>
                    <a:noFill/>
                    <a:ln>
                      <a:noFill/>
                    </a:ln>
                  </pic:spPr>
                </pic:pic>
              </a:graphicData>
            </a:graphic>
          </wp:inline>
        </w:drawing>
      </w:r>
      <w:r w:rsidRPr="00AA18C1">
        <w:rPr>
          <w:rFonts w:ascii="Times New Roman" w:hAnsi="Times New Roman" w:cs="Times New Roman"/>
          <w:sz w:val="24"/>
          <w:szCs w:val="24"/>
        </w:rPr>
        <w:t>și a măsurii valorii la risc condiționată parțială</w:t>
      </w:r>
      <w:r w:rsidRPr="00AA18C1">
        <w:rPr>
          <w:rFonts w:ascii="Times New Roman" w:hAnsi="Times New Roman" w:cs="Times New Roman"/>
          <w:noProof/>
          <w:sz w:val="24"/>
          <w:szCs w:val="24"/>
        </w:rPr>
        <w:drawing>
          <wp:inline distT="0" distB="0" distL="0" distR="0" wp14:anchorId="31C6A376" wp14:editId="2C79BAEA">
            <wp:extent cx="850900" cy="393700"/>
            <wp:effectExtent l="0" t="0" r="6350" b="6350"/>
            <wp:docPr id="186" name="Picture 18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50900" cy="393700"/>
                    </a:xfrm>
                    <a:prstGeom prst="rect">
                      <a:avLst/>
                    </a:prstGeom>
                    <a:noFill/>
                    <a:ln>
                      <a:noFill/>
                    </a:ln>
                  </pic:spPr>
                </pic:pic>
              </a:graphicData>
            </a:graphic>
          </wp:inline>
        </w:drawing>
      </w:r>
      <w:r w:rsidRPr="00AA18C1">
        <w:rPr>
          <w:rFonts w:ascii="Times New Roman" w:hAnsi="Times New Roman" w:cs="Times New Roman"/>
          <w:sz w:val="24"/>
          <w:szCs w:val="24"/>
        </w:rPr>
        <w:t>,</w:t>
      </w:r>
      <w:r w:rsidRPr="00AA18C1">
        <w:rPr>
          <w:rFonts w:ascii="Times New Roman" w:hAnsi="Times New Roman" w:cs="Times New Roman"/>
          <w:noProof/>
          <w:sz w:val="24"/>
          <w:szCs w:val="24"/>
        </w:rPr>
        <w:drawing>
          <wp:inline distT="0" distB="0" distL="0" distR="0" wp14:anchorId="55045CB4" wp14:editId="236539FD">
            <wp:extent cx="876300" cy="393700"/>
            <wp:effectExtent l="0" t="0" r="0" b="6350"/>
            <wp:docPr id="187" name="Picture 18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76300" cy="393700"/>
                    </a:xfrm>
                    <a:prstGeom prst="rect">
                      <a:avLst/>
                    </a:prstGeom>
                    <a:noFill/>
                    <a:ln>
                      <a:noFill/>
                    </a:ln>
                  </pic:spPr>
                </pic:pic>
              </a:graphicData>
            </a:graphic>
          </wp:inline>
        </w:drawing>
      </w:r>
      <w:r w:rsidRPr="00AA18C1">
        <w:rPr>
          <w:rFonts w:ascii="Times New Roman" w:hAnsi="Times New Roman" w:cs="Times New Roman"/>
          <w:sz w:val="24"/>
          <w:szCs w:val="24"/>
        </w:rPr>
        <w:t>și</w:t>
      </w:r>
      <w:r w:rsidRPr="00AA18C1">
        <w:rPr>
          <w:rFonts w:ascii="Times New Roman" w:hAnsi="Times New Roman" w:cs="Times New Roman"/>
          <w:noProof/>
          <w:sz w:val="24"/>
          <w:szCs w:val="24"/>
        </w:rPr>
        <w:drawing>
          <wp:inline distT="0" distB="0" distL="0" distR="0" wp14:anchorId="7D6E5528" wp14:editId="0CC5CCDB">
            <wp:extent cx="869950" cy="393700"/>
            <wp:effectExtent l="0" t="0" r="6350" b="6350"/>
            <wp:docPr id="188" name="Picture 18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869950" cy="393700"/>
                    </a:xfrm>
                    <a:prstGeom prst="rect">
                      <a:avLst/>
                    </a:prstGeom>
                    <a:noFill/>
                    <a:ln>
                      <a:noFill/>
                    </a:ln>
                  </pic:spPr>
                </pic:pic>
              </a:graphicData>
            </a:graphic>
          </wp:inline>
        </w:drawing>
      </w:r>
      <w:r w:rsidRPr="00AA18C1">
        <w:rPr>
          <w:rFonts w:ascii="Times New Roman" w:hAnsi="Times New Roman" w:cs="Times New Roman"/>
          <w:sz w:val="24"/>
          <w:szCs w:val="24"/>
        </w:rPr>
        <w:t>pentru toate categoriile generale de factori de risc i de la zilnic la săptămânal, dacă sunt îndeplinite cumulativ următoarele două condiții:</w:t>
      </w:r>
    </w:p>
    <w:p w14:paraId="64E1AE44" w14:textId="27782A8F" w:rsidR="00AA18C1" w:rsidRPr="00AA18C1" w:rsidRDefault="00AA18C1" w:rsidP="00AA18C1">
      <w:pPr>
        <w:rPr>
          <w:rFonts w:ascii="Times New Roman" w:hAnsi="Times New Roman" w:cs="Times New Roman"/>
          <w:sz w:val="24"/>
          <w:szCs w:val="24"/>
        </w:rPr>
      </w:pPr>
      <w:r w:rsidRPr="00AA18C1">
        <w:rPr>
          <w:rFonts w:ascii="Times New Roman" w:hAnsi="Times New Roman" w:cs="Times New Roman"/>
          <w:sz w:val="24"/>
          <w:szCs w:val="24"/>
        </w:rPr>
        <w:t>347.1. banca poate demonstra BNM că calcularea măsurii valorii la risc condiționată nerestricționată</w:t>
      </w:r>
      <w:r w:rsidRPr="00AA18C1">
        <w:rPr>
          <w:rFonts w:ascii="Times New Roman" w:hAnsi="Times New Roman" w:cs="Times New Roman"/>
          <w:noProof/>
          <w:sz w:val="24"/>
          <w:szCs w:val="24"/>
        </w:rPr>
        <w:drawing>
          <wp:inline distT="0" distB="0" distL="0" distR="0" wp14:anchorId="1B50A1A3" wp14:editId="7F55A6E7">
            <wp:extent cx="603250" cy="381000"/>
            <wp:effectExtent l="0" t="0" r="6350" b="0"/>
            <wp:docPr id="189" name="Picture 18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03250" cy="381000"/>
                    </a:xfrm>
                    <a:prstGeom prst="rect">
                      <a:avLst/>
                    </a:prstGeom>
                    <a:noFill/>
                    <a:ln>
                      <a:noFill/>
                    </a:ln>
                  </pic:spPr>
                </pic:pic>
              </a:graphicData>
            </a:graphic>
          </wp:inline>
        </w:drawing>
      </w:r>
      <w:r w:rsidRPr="00AA18C1">
        <w:rPr>
          <w:rFonts w:ascii="Times New Roman" w:hAnsi="Times New Roman" w:cs="Times New Roman"/>
          <w:sz w:val="24"/>
          <w:szCs w:val="24"/>
        </w:rPr>
        <w:t>nu subestimează riscul de piață al pozițiilor relevante din portofoliul de tranzacționare;</w:t>
      </w:r>
    </w:p>
    <w:p w14:paraId="1B018D5B" w14:textId="259B24AB" w:rsidR="00AA18C1" w:rsidRDefault="00AA18C1" w:rsidP="00AA18C1">
      <w:pPr>
        <w:rPr>
          <w:rFonts w:ascii="Times New Roman" w:hAnsi="Times New Roman" w:cs="Times New Roman"/>
          <w:sz w:val="24"/>
          <w:szCs w:val="24"/>
        </w:rPr>
      </w:pPr>
      <w:r w:rsidRPr="00AA18C1">
        <w:rPr>
          <w:rFonts w:ascii="Times New Roman" w:hAnsi="Times New Roman" w:cs="Times New Roman"/>
          <w:sz w:val="24"/>
          <w:szCs w:val="24"/>
        </w:rPr>
        <w:lastRenderedPageBreak/>
        <w:t>347.2. banca poate mări frecvența calculării</w:t>
      </w:r>
      <w:r w:rsidRPr="00AA18C1">
        <w:rPr>
          <w:rFonts w:ascii="Times New Roman" w:hAnsi="Times New Roman" w:cs="Times New Roman"/>
          <w:noProof/>
          <w:sz w:val="24"/>
          <w:szCs w:val="24"/>
        </w:rPr>
        <w:drawing>
          <wp:inline distT="0" distB="0" distL="0" distR="0" wp14:anchorId="13F0F112" wp14:editId="1D5CEA7A">
            <wp:extent cx="603250" cy="381000"/>
            <wp:effectExtent l="0" t="0" r="6350" b="0"/>
            <wp:docPr id="190" name="Picture 19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03250" cy="381000"/>
                    </a:xfrm>
                    <a:prstGeom prst="rect">
                      <a:avLst/>
                    </a:prstGeom>
                    <a:noFill/>
                    <a:ln>
                      <a:noFill/>
                    </a:ln>
                  </pic:spPr>
                </pic:pic>
              </a:graphicData>
            </a:graphic>
          </wp:inline>
        </w:drawing>
      </w:r>
      <w:r w:rsidRPr="00AA18C1">
        <w:rPr>
          <w:rFonts w:ascii="Times New Roman" w:hAnsi="Times New Roman" w:cs="Times New Roman"/>
          <w:sz w:val="24"/>
          <w:szCs w:val="24"/>
        </w:rPr>
        <w:t>,</w:t>
      </w:r>
      <w:r w:rsidRPr="00AA18C1">
        <w:rPr>
          <w:rFonts w:ascii="Times New Roman" w:hAnsi="Times New Roman" w:cs="Times New Roman"/>
          <w:noProof/>
          <w:sz w:val="24"/>
          <w:szCs w:val="24"/>
        </w:rPr>
        <w:drawing>
          <wp:inline distT="0" distB="0" distL="0" distR="0" wp14:anchorId="109C00DF" wp14:editId="4BDA277A">
            <wp:extent cx="850900" cy="393700"/>
            <wp:effectExtent l="0" t="0" r="6350" b="6350"/>
            <wp:docPr id="191" name="Picture 19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50900" cy="393700"/>
                    </a:xfrm>
                    <a:prstGeom prst="rect">
                      <a:avLst/>
                    </a:prstGeom>
                    <a:noFill/>
                    <a:ln>
                      <a:noFill/>
                    </a:ln>
                  </pic:spPr>
                </pic:pic>
              </a:graphicData>
            </a:graphic>
          </wp:inline>
        </w:drawing>
      </w:r>
      <w:r w:rsidRPr="00AA18C1">
        <w:rPr>
          <w:rFonts w:ascii="Times New Roman" w:hAnsi="Times New Roman" w:cs="Times New Roman"/>
          <w:sz w:val="24"/>
          <w:szCs w:val="24"/>
        </w:rPr>
        <w:t>,</w:t>
      </w:r>
      <w:r w:rsidRPr="00AA18C1">
        <w:rPr>
          <w:rFonts w:ascii="Times New Roman" w:hAnsi="Times New Roman" w:cs="Times New Roman"/>
          <w:noProof/>
          <w:sz w:val="24"/>
          <w:szCs w:val="24"/>
        </w:rPr>
        <w:drawing>
          <wp:inline distT="0" distB="0" distL="0" distR="0" wp14:anchorId="0B296391" wp14:editId="4DDD68E6">
            <wp:extent cx="876300" cy="393700"/>
            <wp:effectExtent l="0" t="0" r="0" b="6350"/>
            <wp:docPr id="192" name="Picture 19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age"/>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76300" cy="393700"/>
                    </a:xfrm>
                    <a:prstGeom prst="rect">
                      <a:avLst/>
                    </a:prstGeom>
                    <a:noFill/>
                    <a:ln>
                      <a:noFill/>
                    </a:ln>
                  </pic:spPr>
                </pic:pic>
              </a:graphicData>
            </a:graphic>
          </wp:inline>
        </w:drawing>
      </w:r>
      <w:r w:rsidRPr="00AA18C1">
        <w:rPr>
          <w:rFonts w:ascii="Times New Roman" w:hAnsi="Times New Roman" w:cs="Times New Roman"/>
          <w:sz w:val="24"/>
          <w:szCs w:val="24"/>
        </w:rPr>
        <w:t>și</w:t>
      </w:r>
      <w:r w:rsidRPr="00AA18C1">
        <w:rPr>
          <w:rFonts w:ascii="Times New Roman" w:hAnsi="Times New Roman" w:cs="Times New Roman"/>
          <w:noProof/>
          <w:sz w:val="24"/>
          <w:szCs w:val="24"/>
        </w:rPr>
        <w:drawing>
          <wp:inline distT="0" distB="0" distL="0" distR="0" wp14:anchorId="420E1460" wp14:editId="31307208">
            <wp:extent cx="869950" cy="393700"/>
            <wp:effectExtent l="0" t="0" r="6350" b="6350"/>
            <wp:docPr id="193" name="Picture 19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mage"/>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869950" cy="393700"/>
                    </a:xfrm>
                    <a:prstGeom prst="rect">
                      <a:avLst/>
                    </a:prstGeom>
                    <a:noFill/>
                    <a:ln>
                      <a:noFill/>
                    </a:ln>
                  </pic:spPr>
                </pic:pic>
              </a:graphicData>
            </a:graphic>
          </wp:inline>
        </w:drawing>
      </w:r>
      <w:r w:rsidRPr="00AA18C1">
        <w:rPr>
          <w:rFonts w:ascii="Times New Roman" w:hAnsi="Times New Roman" w:cs="Times New Roman"/>
          <w:sz w:val="24"/>
          <w:szCs w:val="24"/>
        </w:rPr>
        <w:t>de la săptămânal la zilnic atunci când BNM solicită acest lucru.</w:t>
      </w:r>
    </w:p>
    <w:p w14:paraId="21DF6430" w14:textId="77777777" w:rsidR="00411539" w:rsidRDefault="00411539" w:rsidP="00AA18C1">
      <w:pPr>
        <w:rPr>
          <w:rFonts w:ascii="Times New Roman" w:hAnsi="Times New Roman" w:cs="Times New Roman"/>
          <w:i/>
          <w:iCs/>
          <w:sz w:val="24"/>
          <w:szCs w:val="24"/>
        </w:rPr>
      </w:pPr>
      <w:bookmarkStart w:id="55" w:name="_Hlk195098712"/>
    </w:p>
    <w:p w14:paraId="79B6E7D6" w14:textId="54321F16" w:rsidR="00411539" w:rsidRPr="00CC1E9B" w:rsidRDefault="00411539" w:rsidP="00AA18C1">
      <w:pPr>
        <w:rPr>
          <w:rFonts w:ascii="Times New Roman" w:hAnsi="Times New Roman" w:cs="Times New Roman"/>
          <w:b/>
          <w:bCs/>
          <w:i/>
          <w:iCs/>
          <w:sz w:val="24"/>
          <w:szCs w:val="24"/>
        </w:rPr>
      </w:pPr>
      <w:r w:rsidRPr="00CC1E9B">
        <w:rPr>
          <w:rFonts w:ascii="Times New Roman" w:hAnsi="Times New Roman" w:cs="Times New Roman"/>
          <w:b/>
          <w:bCs/>
          <w:i/>
          <w:iCs/>
          <w:sz w:val="24"/>
          <w:szCs w:val="24"/>
        </w:rPr>
        <w:t>Subsecțiunea 2. Calcularea valorilor la risc condiționate parțiale</w:t>
      </w:r>
      <w:bookmarkEnd w:id="55"/>
    </w:p>
    <w:p w14:paraId="69FFD47E"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348.   Băncile calculează toate măsurile valorii la risc condiționată parțială menționate la pct.344 după cum urmează:</w:t>
      </w:r>
    </w:p>
    <w:p w14:paraId="1687D019"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348.1. calcule zilnice ale măsurilor valorii la risc condiționată parțială;</w:t>
      </w:r>
    </w:p>
    <w:p w14:paraId="73471F41"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348.2. un interval de încredere unilateral la 97,5 centile;</w:t>
      </w:r>
    </w:p>
    <w:p w14:paraId="0A86E818"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 xml:space="preserve">348.3. pentru un anumit portofoliu de poziții din portofoliul de tranzacționare și poziții din afara portofoliului de tranzacționare care prezintă un risc valutar sau un risc de marfă, băncile calculează măsura valorii la risc condiționată parțială la momentul „t” </w:t>
      </w:r>
      <w:proofErr w:type="spellStart"/>
      <w:r w:rsidRPr="00411539">
        <w:rPr>
          <w:rFonts w:ascii="Times New Roman" w:hAnsi="Times New Roman" w:cs="Times New Roman"/>
          <w:sz w:val="24"/>
          <w:szCs w:val="24"/>
        </w:rPr>
        <w:t>ES</w:t>
      </w:r>
      <w:r w:rsidRPr="00411539">
        <w:rPr>
          <w:rFonts w:ascii="Times New Roman" w:hAnsi="Times New Roman" w:cs="Times New Roman"/>
          <w:sz w:val="24"/>
          <w:szCs w:val="24"/>
          <w:vertAlign w:val="subscript"/>
        </w:rPr>
        <w:t>t</w:t>
      </w:r>
      <w:proofErr w:type="spellEnd"/>
      <w:r w:rsidRPr="00411539">
        <w:rPr>
          <w:rFonts w:ascii="Times New Roman" w:hAnsi="Times New Roman" w:cs="Times New Roman"/>
          <w:sz w:val="24"/>
          <w:szCs w:val="24"/>
        </w:rPr>
        <w:t> în conformitate cu următoarea formulă:</w:t>
      </w:r>
    </w:p>
    <w:p w14:paraId="74828E59"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noProof/>
          <w:sz w:val="24"/>
          <w:szCs w:val="24"/>
        </w:rPr>
        <w:drawing>
          <wp:inline distT="0" distB="0" distL="0" distR="0" wp14:anchorId="3410BFD9" wp14:editId="59D52EF9">
            <wp:extent cx="3684896" cy="676943"/>
            <wp:effectExtent l="0" t="0" r="0" b="8890"/>
            <wp:docPr id="194" name="Picture 19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image"/>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716230" cy="682699"/>
                    </a:xfrm>
                    <a:prstGeom prst="rect">
                      <a:avLst/>
                    </a:prstGeom>
                    <a:noFill/>
                    <a:ln>
                      <a:noFill/>
                    </a:ln>
                  </pic:spPr>
                </pic:pic>
              </a:graphicData>
            </a:graphic>
          </wp:inline>
        </w:drawing>
      </w:r>
    </w:p>
    <w:p w14:paraId="4F9BDDEC"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unde:</w:t>
      </w:r>
    </w:p>
    <w:tbl>
      <w:tblPr>
        <w:tblW w:w="4865" w:type="dxa"/>
        <w:tblLayout w:type="fixed"/>
        <w:tblCellMar>
          <w:left w:w="0" w:type="dxa"/>
          <w:right w:w="0" w:type="dxa"/>
        </w:tblCellMar>
        <w:tblLook w:val="04A0" w:firstRow="1" w:lastRow="0" w:firstColumn="1" w:lastColumn="0" w:noHBand="0" w:noVBand="1"/>
      </w:tblPr>
      <w:tblGrid>
        <w:gridCol w:w="470"/>
        <w:gridCol w:w="116"/>
        <w:gridCol w:w="4279"/>
      </w:tblGrid>
      <w:tr w:rsidR="00411539" w:rsidRPr="00411539" w14:paraId="7BE77C97" w14:textId="77777777" w:rsidTr="00E81E36">
        <w:tc>
          <w:tcPr>
            <w:tcW w:w="470" w:type="dxa"/>
            <w:hideMark/>
          </w:tcPr>
          <w:p w14:paraId="299D8EA9" w14:textId="77777777" w:rsidR="00411539" w:rsidRPr="00411539" w:rsidRDefault="00411539" w:rsidP="00411539">
            <w:pPr>
              <w:rPr>
                <w:rFonts w:ascii="Times New Roman" w:hAnsi="Times New Roman" w:cs="Times New Roman"/>
                <w:sz w:val="24"/>
                <w:szCs w:val="24"/>
              </w:rPr>
            </w:pPr>
            <w:proofErr w:type="spellStart"/>
            <w:r w:rsidRPr="00411539">
              <w:rPr>
                <w:rFonts w:ascii="Times New Roman" w:hAnsi="Times New Roman" w:cs="Times New Roman"/>
                <w:sz w:val="24"/>
                <w:szCs w:val="24"/>
              </w:rPr>
              <w:t>PES</w:t>
            </w:r>
            <w:r w:rsidRPr="00411539">
              <w:rPr>
                <w:rFonts w:ascii="Times New Roman" w:hAnsi="Times New Roman" w:cs="Times New Roman"/>
                <w:sz w:val="24"/>
                <w:szCs w:val="24"/>
                <w:vertAlign w:val="subscript"/>
              </w:rPr>
              <w:t>t</w:t>
            </w:r>
            <w:proofErr w:type="spellEnd"/>
          </w:p>
        </w:tc>
        <w:tc>
          <w:tcPr>
            <w:tcW w:w="116" w:type="dxa"/>
            <w:hideMark/>
          </w:tcPr>
          <w:p w14:paraId="1C76C0C3"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w:t>
            </w:r>
          </w:p>
        </w:tc>
        <w:tc>
          <w:tcPr>
            <w:tcW w:w="4279" w:type="dxa"/>
            <w:hideMark/>
          </w:tcPr>
          <w:p w14:paraId="12CDCABD"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valoarea la risc condiționată parțială la momentul „t”;</w:t>
            </w:r>
          </w:p>
        </w:tc>
      </w:tr>
    </w:tbl>
    <w:p w14:paraId="7AA39514" w14:textId="77777777" w:rsidR="00411539" w:rsidRPr="00411539" w:rsidRDefault="00411539" w:rsidP="00411539">
      <w:pPr>
        <w:rPr>
          <w:rFonts w:ascii="Times New Roman" w:hAnsi="Times New Roman" w:cs="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69"/>
        <w:gridCol w:w="144"/>
        <w:gridCol w:w="10253"/>
      </w:tblGrid>
      <w:tr w:rsidR="00411539" w:rsidRPr="00411539" w14:paraId="547E04D4" w14:textId="77777777" w:rsidTr="00E81E36">
        <w:tc>
          <w:tcPr>
            <w:tcW w:w="64" w:type="dxa"/>
            <w:hideMark/>
          </w:tcPr>
          <w:p w14:paraId="709B1394"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j</w:t>
            </w:r>
          </w:p>
        </w:tc>
        <w:tc>
          <w:tcPr>
            <w:tcW w:w="133" w:type="dxa"/>
            <w:hideMark/>
          </w:tcPr>
          <w:p w14:paraId="084B0397"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w:t>
            </w:r>
          </w:p>
        </w:tc>
        <w:tc>
          <w:tcPr>
            <w:tcW w:w="9492" w:type="dxa"/>
            <w:hideMark/>
          </w:tcPr>
          <w:p w14:paraId="40D55DD8"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indicele care desemnează cele cinci orizonturi de lichiditate enumerate în prima coloană din tabelul 1;</w:t>
            </w:r>
          </w:p>
        </w:tc>
      </w:tr>
    </w:tbl>
    <w:p w14:paraId="018C1F4C" w14:textId="77777777" w:rsidR="00411539" w:rsidRPr="00411539" w:rsidRDefault="00411539" w:rsidP="00411539">
      <w:pPr>
        <w:rPr>
          <w:rFonts w:ascii="Times New Roman" w:hAnsi="Times New Roman" w:cs="Times New Roman"/>
          <w:vanish/>
          <w:sz w:val="24"/>
          <w:szCs w:val="24"/>
        </w:rPr>
      </w:pPr>
    </w:p>
    <w:tbl>
      <w:tblPr>
        <w:tblW w:w="9356" w:type="dxa"/>
        <w:tblLayout w:type="fixed"/>
        <w:tblCellMar>
          <w:left w:w="0" w:type="dxa"/>
          <w:right w:w="0" w:type="dxa"/>
        </w:tblCellMar>
        <w:tblLook w:val="04A0" w:firstRow="1" w:lastRow="0" w:firstColumn="1" w:lastColumn="0" w:noHBand="0" w:noVBand="1"/>
      </w:tblPr>
      <w:tblGrid>
        <w:gridCol w:w="470"/>
        <w:gridCol w:w="82"/>
        <w:gridCol w:w="8804"/>
      </w:tblGrid>
      <w:tr w:rsidR="00411539" w:rsidRPr="00411539" w14:paraId="5E2F03B2" w14:textId="77777777" w:rsidTr="00411539">
        <w:tc>
          <w:tcPr>
            <w:tcW w:w="470" w:type="dxa"/>
            <w:hideMark/>
          </w:tcPr>
          <w:p w14:paraId="779957C2" w14:textId="77777777" w:rsidR="00411539" w:rsidRPr="00411539" w:rsidRDefault="00411539" w:rsidP="00411539">
            <w:pPr>
              <w:rPr>
                <w:rFonts w:ascii="Times New Roman" w:hAnsi="Times New Roman" w:cs="Times New Roman"/>
                <w:sz w:val="24"/>
                <w:szCs w:val="24"/>
              </w:rPr>
            </w:pPr>
            <w:proofErr w:type="spellStart"/>
            <w:r w:rsidRPr="00411539">
              <w:rPr>
                <w:rFonts w:ascii="Times New Roman" w:hAnsi="Times New Roman" w:cs="Times New Roman"/>
                <w:sz w:val="24"/>
                <w:szCs w:val="24"/>
              </w:rPr>
              <w:t>LH</w:t>
            </w:r>
            <w:r w:rsidRPr="00411539">
              <w:rPr>
                <w:rFonts w:ascii="Times New Roman" w:hAnsi="Times New Roman" w:cs="Times New Roman"/>
                <w:sz w:val="24"/>
                <w:szCs w:val="24"/>
                <w:vertAlign w:val="subscript"/>
              </w:rPr>
              <w:t>j</w:t>
            </w:r>
            <w:proofErr w:type="spellEnd"/>
          </w:p>
        </w:tc>
        <w:tc>
          <w:tcPr>
            <w:tcW w:w="82" w:type="dxa"/>
            <w:hideMark/>
          </w:tcPr>
          <w:p w14:paraId="50C8B3AC"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w:t>
            </w:r>
          </w:p>
        </w:tc>
        <w:tc>
          <w:tcPr>
            <w:tcW w:w="8804" w:type="dxa"/>
            <w:hideMark/>
          </w:tcPr>
          <w:p w14:paraId="3EA1BF27"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lungimea orizonturilor de lichiditate j astfel cum este exprimată în zile în tabelul 1;</w:t>
            </w:r>
          </w:p>
        </w:tc>
      </w:tr>
    </w:tbl>
    <w:p w14:paraId="4CADBD46" w14:textId="77777777" w:rsidR="00411539" w:rsidRPr="00411539" w:rsidRDefault="00411539" w:rsidP="00411539">
      <w:pPr>
        <w:rPr>
          <w:rFonts w:ascii="Times New Roman" w:hAnsi="Times New Roman" w:cs="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321"/>
        <w:gridCol w:w="297"/>
        <w:gridCol w:w="9848"/>
      </w:tblGrid>
      <w:tr w:rsidR="00411539" w:rsidRPr="00411539" w14:paraId="17758079" w14:textId="77777777" w:rsidTr="00E81E36">
        <w:tc>
          <w:tcPr>
            <w:tcW w:w="297" w:type="dxa"/>
            <w:hideMark/>
          </w:tcPr>
          <w:p w14:paraId="4042F8B4"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T</w:t>
            </w:r>
          </w:p>
        </w:tc>
        <w:tc>
          <w:tcPr>
            <w:tcW w:w="275" w:type="dxa"/>
            <w:hideMark/>
          </w:tcPr>
          <w:p w14:paraId="644BD5CC"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w:t>
            </w:r>
          </w:p>
        </w:tc>
        <w:tc>
          <w:tcPr>
            <w:tcW w:w="9117" w:type="dxa"/>
            <w:hideMark/>
          </w:tcPr>
          <w:p w14:paraId="4C55ED18"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orizontul de timp de bază, unde T = 10 zile;</w:t>
            </w:r>
          </w:p>
        </w:tc>
      </w:tr>
    </w:tbl>
    <w:p w14:paraId="11CE51C4" w14:textId="77777777" w:rsidR="00411539" w:rsidRPr="00411539" w:rsidRDefault="00411539" w:rsidP="00411539">
      <w:pPr>
        <w:rPr>
          <w:rFonts w:ascii="Times New Roman" w:hAnsi="Times New Roman" w:cs="Times New Roman"/>
          <w:vanish/>
          <w:sz w:val="24"/>
          <w:szCs w:val="24"/>
        </w:rPr>
      </w:pPr>
    </w:p>
    <w:tbl>
      <w:tblPr>
        <w:tblW w:w="9453" w:type="dxa"/>
        <w:tblLayout w:type="fixed"/>
        <w:tblCellMar>
          <w:left w:w="0" w:type="dxa"/>
          <w:right w:w="0" w:type="dxa"/>
        </w:tblCellMar>
        <w:tblLook w:val="04A0" w:firstRow="1" w:lastRow="0" w:firstColumn="1" w:lastColumn="0" w:noHBand="0" w:noVBand="1"/>
      </w:tblPr>
      <w:tblGrid>
        <w:gridCol w:w="851"/>
        <w:gridCol w:w="76"/>
        <w:gridCol w:w="8526"/>
      </w:tblGrid>
      <w:tr w:rsidR="00411539" w:rsidRPr="00411539" w14:paraId="36BE7E50" w14:textId="77777777" w:rsidTr="00411539">
        <w:tc>
          <w:tcPr>
            <w:tcW w:w="851" w:type="dxa"/>
            <w:hideMark/>
          </w:tcPr>
          <w:p w14:paraId="33237B56" w14:textId="77777777" w:rsidR="00411539" w:rsidRPr="00411539" w:rsidRDefault="00411539" w:rsidP="00411539">
            <w:pPr>
              <w:rPr>
                <w:rFonts w:ascii="Times New Roman" w:hAnsi="Times New Roman" w:cs="Times New Roman"/>
                <w:sz w:val="24"/>
                <w:szCs w:val="24"/>
              </w:rPr>
            </w:pPr>
            <w:proofErr w:type="spellStart"/>
            <w:r w:rsidRPr="00411539">
              <w:rPr>
                <w:rFonts w:ascii="Times New Roman" w:hAnsi="Times New Roman" w:cs="Times New Roman"/>
                <w:sz w:val="24"/>
                <w:szCs w:val="24"/>
              </w:rPr>
              <w:t>PES</w:t>
            </w:r>
            <w:r w:rsidRPr="00411539">
              <w:rPr>
                <w:rFonts w:ascii="Times New Roman" w:hAnsi="Times New Roman" w:cs="Times New Roman"/>
                <w:sz w:val="24"/>
                <w:szCs w:val="24"/>
                <w:vertAlign w:val="subscript"/>
              </w:rPr>
              <w:t>t</w:t>
            </w:r>
            <w:proofErr w:type="spellEnd"/>
            <w:r w:rsidRPr="00411539">
              <w:rPr>
                <w:rFonts w:ascii="Times New Roman" w:hAnsi="Times New Roman" w:cs="Times New Roman"/>
                <w:sz w:val="24"/>
                <w:szCs w:val="24"/>
              </w:rPr>
              <w:t>(T)</w:t>
            </w:r>
          </w:p>
        </w:tc>
        <w:tc>
          <w:tcPr>
            <w:tcW w:w="76" w:type="dxa"/>
            <w:hideMark/>
          </w:tcPr>
          <w:p w14:paraId="733F4F62"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w:t>
            </w:r>
          </w:p>
        </w:tc>
        <w:tc>
          <w:tcPr>
            <w:tcW w:w="8526" w:type="dxa"/>
            <w:hideMark/>
          </w:tcPr>
          <w:p w14:paraId="5ED544D5" w14:textId="380516ED"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 xml:space="preserve">măsura valorii la risc condiționată parțială determinată prin aplicarea scenariilor unor șocuri viitoare cu un orizont de timp de 10 zile numai setului specific de factori de risc modelabili aferenți pozițiilor din portofoliu prevăzut la </w:t>
            </w:r>
            <w:r w:rsidR="004340D9">
              <w:rPr>
                <w:rFonts w:ascii="Times New Roman" w:hAnsi="Times New Roman" w:cs="Times New Roman"/>
                <w:sz w:val="24"/>
                <w:szCs w:val="24"/>
              </w:rPr>
              <w:t>pct.349, 350 și 351</w:t>
            </w:r>
            <w:r w:rsidRPr="00411539">
              <w:rPr>
                <w:rFonts w:ascii="Times New Roman" w:hAnsi="Times New Roman" w:cs="Times New Roman"/>
                <w:sz w:val="24"/>
                <w:szCs w:val="24"/>
              </w:rPr>
              <w:t xml:space="preserve"> pentru fiecare măsură a valorii la risc condiționată parțială menționată la</w:t>
            </w:r>
            <w:r w:rsidR="0007030A">
              <w:rPr>
                <w:rFonts w:ascii="Times New Roman" w:hAnsi="Times New Roman" w:cs="Times New Roman"/>
                <w:sz w:val="24"/>
                <w:szCs w:val="24"/>
              </w:rPr>
              <w:t xml:space="preserve"> </w:t>
            </w:r>
            <w:r w:rsidRPr="00411539">
              <w:rPr>
                <w:rFonts w:ascii="Times New Roman" w:hAnsi="Times New Roman" w:cs="Times New Roman"/>
                <w:sz w:val="24"/>
                <w:szCs w:val="24"/>
              </w:rPr>
              <w:t>pct.344; și</w:t>
            </w:r>
          </w:p>
        </w:tc>
      </w:tr>
    </w:tbl>
    <w:p w14:paraId="4500A239" w14:textId="77777777" w:rsidR="00411539" w:rsidRPr="00411539" w:rsidRDefault="00411539" w:rsidP="00411539">
      <w:pPr>
        <w:rPr>
          <w:rFonts w:ascii="Times New Roman" w:hAnsi="Times New Roman" w:cs="Times New Roman"/>
          <w:vanish/>
          <w:sz w:val="24"/>
          <w:szCs w:val="24"/>
        </w:rPr>
      </w:pPr>
    </w:p>
    <w:tbl>
      <w:tblPr>
        <w:tblW w:w="9452" w:type="dxa"/>
        <w:tblLayout w:type="fixed"/>
        <w:tblCellMar>
          <w:left w:w="0" w:type="dxa"/>
          <w:right w:w="0" w:type="dxa"/>
        </w:tblCellMar>
        <w:tblLook w:val="04A0" w:firstRow="1" w:lastRow="0" w:firstColumn="1" w:lastColumn="0" w:noHBand="0" w:noVBand="1"/>
      </w:tblPr>
      <w:tblGrid>
        <w:gridCol w:w="1134"/>
        <w:gridCol w:w="76"/>
        <w:gridCol w:w="8242"/>
      </w:tblGrid>
      <w:tr w:rsidR="00411539" w:rsidRPr="00411539" w14:paraId="58579C37" w14:textId="77777777" w:rsidTr="00411539">
        <w:tc>
          <w:tcPr>
            <w:tcW w:w="1134" w:type="dxa"/>
            <w:hideMark/>
          </w:tcPr>
          <w:p w14:paraId="445C3268" w14:textId="77777777" w:rsidR="00411539" w:rsidRPr="00411539" w:rsidRDefault="00411539" w:rsidP="00411539">
            <w:pPr>
              <w:rPr>
                <w:rFonts w:ascii="Times New Roman" w:hAnsi="Times New Roman" w:cs="Times New Roman"/>
                <w:sz w:val="24"/>
                <w:szCs w:val="24"/>
              </w:rPr>
            </w:pPr>
            <w:proofErr w:type="spellStart"/>
            <w:r w:rsidRPr="00411539">
              <w:rPr>
                <w:rFonts w:ascii="Times New Roman" w:hAnsi="Times New Roman" w:cs="Times New Roman"/>
                <w:sz w:val="24"/>
                <w:szCs w:val="24"/>
              </w:rPr>
              <w:t>PES</w:t>
            </w:r>
            <w:r w:rsidRPr="00411539">
              <w:rPr>
                <w:rFonts w:ascii="Times New Roman" w:hAnsi="Times New Roman" w:cs="Times New Roman"/>
                <w:sz w:val="24"/>
                <w:szCs w:val="24"/>
                <w:vertAlign w:val="subscript"/>
              </w:rPr>
              <w:t>t</w:t>
            </w:r>
            <w:proofErr w:type="spellEnd"/>
            <w:r w:rsidRPr="00411539">
              <w:rPr>
                <w:rFonts w:ascii="Times New Roman" w:hAnsi="Times New Roman" w:cs="Times New Roman"/>
                <w:sz w:val="24"/>
                <w:szCs w:val="24"/>
              </w:rPr>
              <w:t>(T, j)</w:t>
            </w:r>
          </w:p>
        </w:tc>
        <w:tc>
          <w:tcPr>
            <w:tcW w:w="76" w:type="dxa"/>
            <w:hideMark/>
          </w:tcPr>
          <w:p w14:paraId="2006A77C"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w:t>
            </w:r>
          </w:p>
        </w:tc>
        <w:tc>
          <w:tcPr>
            <w:tcW w:w="8242" w:type="dxa"/>
            <w:hideMark/>
          </w:tcPr>
          <w:p w14:paraId="3A540282" w14:textId="614F4ED6"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 xml:space="preserve">măsura valorii la risc condiționată parțială determinată prin aplicarea scenariilor unor șocuri viitoare cu un orizont de timp de 10 zile numai setului specific de factori de risc modelabili aferenți pozițiilor din portofoliu prevăzut la </w:t>
            </w:r>
            <w:r w:rsidR="004340D9" w:rsidRPr="004340D9">
              <w:rPr>
                <w:rFonts w:ascii="Times New Roman" w:hAnsi="Times New Roman" w:cs="Times New Roman"/>
                <w:sz w:val="24"/>
                <w:szCs w:val="24"/>
              </w:rPr>
              <w:t>pct.349, 350 și 351</w:t>
            </w:r>
            <w:r w:rsidR="004340D9" w:rsidRPr="00411539">
              <w:rPr>
                <w:rFonts w:ascii="Times New Roman" w:hAnsi="Times New Roman" w:cs="Times New Roman"/>
                <w:sz w:val="24"/>
                <w:szCs w:val="24"/>
              </w:rPr>
              <w:t xml:space="preserve"> </w:t>
            </w:r>
            <w:r w:rsidRPr="00411539">
              <w:rPr>
                <w:rFonts w:ascii="Times New Roman" w:hAnsi="Times New Roman" w:cs="Times New Roman"/>
                <w:sz w:val="24"/>
                <w:szCs w:val="24"/>
              </w:rPr>
              <w:t xml:space="preserve">pentru fiecare măsură a valorii la risc condiționată parțială menționată la pct.344 și pentru care orizontul de lichiditate efectiv, determinat în conformitate cu </w:t>
            </w:r>
            <w:r w:rsidR="00796822" w:rsidRPr="00796822">
              <w:rPr>
                <w:rFonts w:ascii="Times New Roman" w:hAnsi="Times New Roman" w:cs="Times New Roman"/>
                <w:sz w:val="24"/>
                <w:szCs w:val="24"/>
              </w:rPr>
              <w:t>pct.354</w:t>
            </w:r>
            <w:r w:rsidRPr="00796822">
              <w:rPr>
                <w:rFonts w:ascii="Times New Roman" w:hAnsi="Times New Roman" w:cs="Times New Roman"/>
                <w:sz w:val="24"/>
                <w:szCs w:val="24"/>
              </w:rPr>
              <w:t xml:space="preserve"> este mai mare sau egal cu </w:t>
            </w:r>
            <w:proofErr w:type="spellStart"/>
            <w:r w:rsidRPr="00796822">
              <w:rPr>
                <w:rFonts w:ascii="Times New Roman" w:hAnsi="Times New Roman" w:cs="Times New Roman"/>
                <w:sz w:val="24"/>
                <w:szCs w:val="24"/>
              </w:rPr>
              <w:t>LH</w:t>
            </w:r>
            <w:r w:rsidRPr="00796822">
              <w:rPr>
                <w:rFonts w:ascii="Times New Roman" w:hAnsi="Times New Roman" w:cs="Times New Roman"/>
                <w:sz w:val="24"/>
                <w:szCs w:val="24"/>
                <w:vertAlign w:val="subscript"/>
              </w:rPr>
              <w:t>j</w:t>
            </w:r>
            <w:proofErr w:type="spellEnd"/>
            <w:r w:rsidRPr="00796822">
              <w:rPr>
                <w:rFonts w:ascii="Times New Roman" w:hAnsi="Times New Roman" w:cs="Times New Roman"/>
                <w:sz w:val="24"/>
                <w:szCs w:val="24"/>
                <w:vertAlign w:val="subscript"/>
              </w:rPr>
              <w:t>.</w:t>
            </w:r>
            <w:r w:rsidRPr="00796822">
              <w:rPr>
                <w:rFonts w:ascii="Times New Roman" w:hAnsi="Times New Roman" w:cs="Times New Roman"/>
                <w:sz w:val="24"/>
                <w:szCs w:val="24"/>
              </w:rPr>
              <w:t>.</w:t>
            </w:r>
          </w:p>
          <w:tbl>
            <w:tblPr>
              <w:tblpPr w:leftFromText="180" w:rightFromText="180" w:vertAnchor="text" w:horzAnchor="page" w:tblpX="-1283" w:tblpY="463"/>
              <w:tblOverlap w:val="never"/>
              <w:tblW w:w="360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575"/>
              <w:gridCol w:w="2025"/>
            </w:tblGrid>
            <w:tr w:rsidR="00411539" w:rsidRPr="00411539" w14:paraId="4398AD1D" w14:textId="77777777" w:rsidTr="00411539">
              <w:tc>
                <w:tcPr>
                  <w:tcW w:w="1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035641" w14:textId="77777777" w:rsidR="00411539" w:rsidRPr="00411539" w:rsidRDefault="00411539" w:rsidP="00411539">
                  <w:pPr>
                    <w:rPr>
                      <w:rFonts w:ascii="Times New Roman" w:hAnsi="Times New Roman" w:cs="Times New Roman"/>
                      <w:b/>
                      <w:bCs/>
                      <w:sz w:val="24"/>
                      <w:szCs w:val="24"/>
                    </w:rPr>
                  </w:pPr>
                  <w:r w:rsidRPr="00411539">
                    <w:rPr>
                      <w:rFonts w:ascii="Times New Roman" w:hAnsi="Times New Roman" w:cs="Times New Roman"/>
                      <w:b/>
                      <w:bCs/>
                      <w:sz w:val="24"/>
                      <w:szCs w:val="24"/>
                    </w:rPr>
                    <w:t>Orizontul de lichiditate j</w:t>
                  </w:r>
                </w:p>
              </w:tc>
              <w:tc>
                <w:tcPr>
                  <w:tcW w:w="20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10E8A2" w14:textId="77777777" w:rsidR="00411539" w:rsidRPr="00411539" w:rsidRDefault="00411539" w:rsidP="00411539">
                  <w:pPr>
                    <w:rPr>
                      <w:rFonts w:ascii="Times New Roman" w:hAnsi="Times New Roman" w:cs="Times New Roman"/>
                      <w:b/>
                      <w:bCs/>
                      <w:sz w:val="24"/>
                      <w:szCs w:val="24"/>
                    </w:rPr>
                  </w:pPr>
                  <w:r w:rsidRPr="00411539">
                    <w:rPr>
                      <w:rFonts w:ascii="Times New Roman" w:hAnsi="Times New Roman" w:cs="Times New Roman"/>
                      <w:b/>
                      <w:bCs/>
                      <w:sz w:val="24"/>
                      <w:szCs w:val="24"/>
                    </w:rPr>
                    <w:t>Lungimea orizontului de lichiditate j</w:t>
                  </w:r>
                </w:p>
                <w:p w14:paraId="76B973B4" w14:textId="77777777" w:rsidR="00411539" w:rsidRPr="00411539" w:rsidRDefault="00411539" w:rsidP="00411539">
                  <w:pPr>
                    <w:rPr>
                      <w:rFonts w:ascii="Times New Roman" w:hAnsi="Times New Roman" w:cs="Times New Roman"/>
                      <w:b/>
                      <w:bCs/>
                      <w:sz w:val="24"/>
                      <w:szCs w:val="24"/>
                    </w:rPr>
                  </w:pPr>
                  <w:r w:rsidRPr="00411539">
                    <w:rPr>
                      <w:rFonts w:ascii="Times New Roman" w:hAnsi="Times New Roman" w:cs="Times New Roman"/>
                      <w:b/>
                      <w:bCs/>
                      <w:sz w:val="24"/>
                      <w:szCs w:val="24"/>
                    </w:rPr>
                    <w:t>(în zile)</w:t>
                  </w:r>
                </w:p>
              </w:tc>
            </w:tr>
            <w:tr w:rsidR="00411539" w:rsidRPr="00411539" w14:paraId="70ACB3BD" w14:textId="77777777" w:rsidTr="00411539">
              <w:tc>
                <w:tcPr>
                  <w:tcW w:w="1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35FA97"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1</w:t>
                  </w:r>
                </w:p>
              </w:tc>
              <w:tc>
                <w:tcPr>
                  <w:tcW w:w="20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DB5084"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10</w:t>
                  </w:r>
                </w:p>
              </w:tc>
            </w:tr>
            <w:tr w:rsidR="00411539" w:rsidRPr="00411539" w14:paraId="588471D6" w14:textId="77777777" w:rsidTr="00411539">
              <w:tc>
                <w:tcPr>
                  <w:tcW w:w="1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78470F"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lastRenderedPageBreak/>
                    <w:t>2</w:t>
                  </w:r>
                </w:p>
              </w:tc>
              <w:tc>
                <w:tcPr>
                  <w:tcW w:w="20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4AC56C"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20</w:t>
                  </w:r>
                </w:p>
              </w:tc>
            </w:tr>
            <w:tr w:rsidR="00411539" w:rsidRPr="00411539" w14:paraId="1FB7D917" w14:textId="77777777" w:rsidTr="00411539">
              <w:tc>
                <w:tcPr>
                  <w:tcW w:w="1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100205"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3</w:t>
                  </w:r>
                </w:p>
              </w:tc>
              <w:tc>
                <w:tcPr>
                  <w:tcW w:w="20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2A6D82"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40</w:t>
                  </w:r>
                </w:p>
              </w:tc>
            </w:tr>
            <w:tr w:rsidR="00411539" w:rsidRPr="00411539" w14:paraId="0F4D713C" w14:textId="77777777" w:rsidTr="00411539">
              <w:tc>
                <w:tcPr>
                  <w:tcW w:w="1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0FF80E"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4</w:t>
                  </w:r>
                </w:p>
              </w:tc>
              <w:tc>
                <w:tcPr>
                  <w:tcW w:w="20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AC33D6"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60</w:t>
                  </w:r>
                </w:p>
              </w:tc>
            </w:tr>
            <w:tr w:rsidR="00411539" w:rsidRPr="00411539" w14:paraId="55A63CDC" w14:textId="77777777" w:rsidTr="00411539">
              <w:tc>
                <w:tcPr>
                  <w:tcW w:w="15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FDD221"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5</w:t>
                  </w:r>
                </w:p>
              </w:tc>
              <w:tc>
                <w:tcPr>
                  <w:tcW w:w="20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7312D5"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120</w:t>
                  </w:r>
                </w:p>
              </w:tc>
            </w:tr>
          </w:tbl>
          <w:p w14:paraId="43F1137D" w14:textId="77777777" w:rsidR="00411539" w:rsidRPr="00411539" w:rsidRDefault="00411539" w:rsidP="00CC1E9B">
            <w:pPr>
              <w:jc w:val="both"/>
              <w:rPr>
                <w:rFonts w:ascii="Times New Roman" w:hAnsi="Times New Roman" w:cs="Times New Roman"/>
                <w:b/>
                <w:bCs/>
                <w:sz w:val="24"/>
                <w:szCs w:val="24"/>
              </w:rPr>
            </w:pPr>
            <w:r w:rsidRPr="00411539">
              <w:rPr>
                <w:rFonts w:ascii="Times New Roman" w:hAnsi="Times New Roman" w:cs="Times New Roman"/>
                <w:b/>
                <w:bCs/>
                <w:i/>
                <w:iCs/>
                <w:sz w:val="24"/>
                <w:szCs w:val="24"/>
              </w:rPr>
              <w:t>Tabelul 1</w:t>
            </w:r>
          </w:p>
          <w:p w14:paraId="59E59A26" w14:textId="77777777" w:rsidR="00411539" w:rsidRPr="00411539" w:rsidRDefault="00411539" w:rsidP="00411539">
            <w:pPr>
              <w:rPr>
                <w:rFonts w:ascii="Times New Roman" w:hAnsi="Times New Roman" w:cs="Times New Roman"/>
                <w:sz w:val="24"/>
                <w:szCs w:val="24"/>
              </w:rPr>
            </w:pPr>
          </w:p>
        </w:tc>
      </w:tr>
    </w:tbl>
    <w:p w14:paraId="48B7117A" w14:textId="77777777" w:rsidR="00411539" w:rsidRDefault="00411539" w:rsidP="00411539">
      <w:pPr>
        <w:rPr>
          <w:rFonts w:ascii="Times New Roman" w:hAnsi="Times New Roman" w:cs="Times New Roman"/>
          <w:sz w:val="24"/>
          <w:szCs w:val="24"/>
        </w:rPr>
      </w:pPr>
    </w:p>
    <w:p w14:paraId="1D25AAA9" w14:textId="1F4C3125"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349.   În scopul calculării măsurilor valorilor la risc condiționate parțiale</w:t>
      </w:r>
      <w:r w:rsidRPr="00411539">
        <w:rPr>
          <w:rFonts w:ascii="Times New Roman" w:hAnsi="Times New Roman" w:cs="Times New Roman"/>
          <w:noProof/>
          <w:sz w:val="24"/>
          <w:szCs w:val="24"/>
        </w:rPr>
        <w:drawing>
          <wp:inline distT="0" distB="0" distL="0" distR="0" wp14:anchorId="1BE71F7D" wp14:editId="0CAFB975">
            <wp:extent cx="755650" cy="381000"/>
            <wp:effectExtent l="0" t="0" r="6350" b="0"/>
            <wp:docPr id="195" name="Picture 19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755650" cy="381000"/>
                    </a:xfrm>
                    <a:prstGeom prst="rect">
                      <a:avLst/>
                    </a:prstGeom>
                    <a:noFill/>
                    <a:ln>
                      <a:noFill/>
                    </a:ln>
                  </pic:spPr>
                </pic:pic>
              </a:graphicData>
            </a:graphic>
          </wp:inline>
        </w:drawing>
      </w:r>
      <w:r w:rsidRPr="00411539">
        <w:rPr>
          <w:rFonts w:ascii="Times New Roman" w:hAnsi="Times New Roman" w:cs="Times New Roman"/>
          <w:sz w:val="24"/>
          <w:szCs w:val="24"/>
        </w:rPr>
        <w:t>și</w:t>
      </w:r>
    </w:p>
    <w:p w14:paraId="255B54A6" w14:textId="4906270A"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noProof/>
          <w:sz w:val="24"/>
          <w:szCs w:val="24"/>
        </w:rPr>
        <w:drawing>
          <wp:inline distT="0" distB="0" distL="0" distR="0" wp14:anchorId="4C6A7613" wp14:editId="2B409610">
            <wp:extent cx="850900" cy="393700"/>
            <wp:effectExtent l="0" t="0" r="6350" b="6350"/>
            <wp:docPr id="196" name="Picture 19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mage"/>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50900" cy="393700"/>
                    </a:xfrm>
                    <a:prstGeom prst="rect">
                      <a:avLst/>
                    </a:prstGeom>
                    <a:noFill/>
                    <a:ln>
                      <a:noFill/>
                    </a:ln>
                  </pic:spPr>
                </pic:pic>
              </a:graphicData>
            </a:graphic>
          </wp:inline>
        </w:drawing>
      </w:r>
      <w:r w:rsidRPr="00411539">
        <w:rPr>
          <w:rFonts w:ascii="Times New Roman" w:hAnsi="Times New Roman" w:cs="Times New Roman"/>
          <w:sz w:val="24"/>
          <w:szCs w:val="24"/>
        </w:rPr>
        <w:t>menționate la pct.344, băncile îndeplinesc, în plus față de cerințele stabilite la pct.348, următoarele cerințe:</w:t>
      </w:r>
    </w:p>
    <w:p w14:paraId="31225783" w14:textId="0D4723CF"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349.1. la calcularea</w:t>
      </w:r>
      <w:r w:rsidRPr="00411539">
        <w:rPr>
          <w:rFonts w:ascii="Times New Roman" w:hAnsi="Times New Roman" w:cs="Times New Roman"/>
          <w:noProof/>
          <w:sz w:val="24"/>
          <w:szCs w:val="24"/>
        </w:rPr>
        <w:drawing>
          <wp:inline distT="0" distB="0" distL="0" distR="0" wp14:anchorId="67C9B183" wp14:editId="3FABD64A">
            <wp:extent cx="755650" cy="381000"/>
            <wp:effectExtent l="0" t="0" r="6350" b="0"/>
            <wp:docPr id="197" name="Picture 19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mage"/>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755650" cy="381000"/>
                    </a:xfrm>
                    <a:prstGeom prst="rect">
                      <a:avLst/>
                    </a:prstGeom>
                    <a:noFill/>
                    <a:ln>
                      <a:noFill/>
                    </a:ln>
                  </pic:spPr>
                </pic:pic>
              </a:graphicData>
            </a:graphic>
          </wp:inline>
        </w:drawing>
      </w:r>
      <w:r w:rsidRPr="00411539">
        <w:rPr>
          <w:rFonts w:ascii="Times New Roman" w:hAnsi="Times New Roman" w:cs="Times New Roman"/>
          <w:sz w:val="24"/>
          <w:szCs w:val="24"/>
        </w:rPr>
        <w:t>, băncile aplică scenarii ale unor șocuri viitoare numai unui subset de factori de risc modelabili aferenți pozițiilor din portofoliu care a fost ales de bănci, într-un mod pe care BNM îl consideră satisfăcător, astfel încât următoarea condiție să fie îndeplinită, suma fiind preluată din cele 60 de zile lucrătoare anterioare:</w:t>
      </w:r>
    </w:p>
    <w:p w14:paraId="0D8417EE"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noProof/>
          <w:sz w:val="24"/>
          <w:szCs w:val="24"/>
        </w:rPr>
        <w:drawing>
          <wp:inline distT="0" distB="0" distL="0" distR="0" wp14:anchorId="3E48BDB5" wp14:editId="07A2A704">
            <wp:extent cx="2413000" cy="762000"/>
            <wp:effectExtent l="0" t="0" r="6350" b="0"/>
            <wp:docPr id="198" name="Picture 19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image"/>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413000" cy="762000"/>
                    </a:xfrm>
                    <a:prstGeom prst="rect">
                      <a:avLst/>
                    </a:prstGeom>
                    <a:noFill/>
                    <a:ln>
                      <a:noFill/>
                    </a:ln>
                  </pic:spPr>
                </pic:pic>
              </a:graphicData>
            </a:graphic>
          </wp:inline>
        </w:drawing>
      </w:r>
    </w:p>
    <w:p w14:paraId="1F96C90C" w14:textId="77777777"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349.1.1. O bancă care nu mai îndeplinește cerința prevăzută la subpct.349.1 notifică imediat acest fapt BNM și actualizează subsetul de factori de risc modelabili în termen de două săptămâni astfel încât să îndeplinească cerința respectivă; în cazul în care, după două săptămâni, banca nu a îndeplinit această cerință, banca revine la abordarea prevăzută în capitolul II pentru a calcula cerințele de fonduri proprii pentru riscul de piață pentru anumite birouri de tranzacționare, până în momentul în care respectiva bancă este în măsură să demonstreze BNM că îndeplinește cerința prevăzută la subpct.349.1;</w:t>
      </w:r>
    </w:p>
    <w:p w14:paraId="2781B3E2" w14:textId="47CFA426"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349.2 la calcularea</w:t>
      </w:r>
      <w:r w:rsidRPr="00411539">
        <w:rPr>
          <w:rFonts w:ascii="Times New Roman" w:hAnsi="Times New Roman" w:cs="Times New Roman"/>
          <w:noProof/>
          <w:sz w:val="24"/>
          <w:szCs w:val="24"/>
        </w:rPr>
        <w:drawing>
          <wp:inline distT="0" distB="0" distL="0" distR="0" wp14:anchorId="05EE0B44" wp14:editId="1832D5C5">
            <wp:extent cx="850900" cy="393700"/>
            <wp:effectExtent l="0" t="0" r="6350" b="6350"/>
            <wp:docPr id="199" name="Picture 19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mage"/>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50900" cy="393700"/>
                    </a:xfrm>
                    <a:prstGeom prst="rect">
                      <a:avLst/>
                    </a:prstGeom>
                    <a:noFill/>
                    <a:ln>
                      <a:noFill/>
                    </a:ln>
                  </pic:spPr>
                </pic:pic>
              </a:graphicData>
            </a:graphic>
          </wp:inline>
        </w:drawing>
      </w:r>
      <w:r w:rsidRPr="00411539">
        <w:rPr>
          <w:rFonts w:ascii="Times New Roman" w:hAnsi="Times New Roman" w:cs="Times New Roman"/>
          <w:sz w:val="24"/>
          <w:szCs w:val="24"/>
        </w:rPr>
        <w:t>, băncile aplică scenarii ale unor șocuri viitoare numai subsetului de factori de risc modelabili aferenți pozițiilor din portofoliu ales de bancă în sensul subpct.349.1 și care au fost încadrați în categoria generală de factori de risc „i” în conformitate cu subsecțiunea 3;</w:t>
      </w:r>
    </w:p>
    <w:p w14:paraId="6AEB78E4" w14:textId="70C1A0E4" w:rsidR="00411539" w:rsidRP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349.3. datele de intrare utilizate pentru a determina scenariile unor șocuri viitoare aplicate factorilor de risc modelabili menționați la</w:t>
      </w:r>
      <w:r w:rsidR="0083411F">
        <w:rPr>
          <w:rFonts w:ascii="Times New Roman" w:hAnsi="Times New Roman" w:cs="Times New Roman"/>
          <w:sz w:val="24"/>
          <w:szCs w:val="24"/>
        </w:rPr>
        <w:t xml:space="preserve"> </w:t>
      </w:r>
      <w:r w:rsidRPr="00411539">
        <w:rPr>
          <w:rFonts w:ascii="Times New Roman" w:hAnsi="Times New Roman" w:cs="Times New Roman"/>
          <w:sz w:val="24"/>
          <w:szCs w:val="24"/>
        </w:rPr>
        <w:t>subpct.349.1 și 349.2 sunt calibrate în raport cu datele istorice dintr-o perioadă continuă de 12 luni de criză financiară care este identificată de bancă pentru a maximiza valoarea</w:t>
      </w:r>
      <w:r w:rsidRPr="00411539">
        <w:rPr>
          <w:rFonts w:ascii="Times New Roman" w:hAnsi="Times New Roman" w:cs="Times New Roman"/>
          <w:noProof/>
          <w:sz w:val="24"/>
          <w:szCs w:val="24"/>
        </w:rPr>
        <w:drawing>
          <wp:inline distT="0" distB="0" distL="0" distR="0" wp14:anchorId="713FA488" wp14:editId="3197D790">
            <wp:extent cx="755650" cy="381000"/>
            <wp:effectExtent l="0" t="0" r="6350" b="0"/>
            <wp:docPr id="200" name="Picture 20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image"/>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755650" cy="381000"/>
                    </a:xfrm>
                    <a:prstGeom prst="rect">
                      <a:avLst/>
                    </a:prstGeom>
                    <a:noFill/>
                    <a:ln>
                      <a:noFill/>
                    </a:ln>
                  </pic:spPr>
                </pic:pic>
              </a:graphicData>
            </a:graphic>
          </wp:inline>
        </w:drawing>
      </w:r>
      <w:r w:rsidRPr="00411539">
        <w:rPr>
          <w:rFonts w:ascii="Times New Roman" w:hAnsi="Times New Roman" w:cs="Times New Roman"/>
          <w:sz w:val="24"/>
          <w:szCs w:val="24"/>
        </w:rPr>
        <w:t>; în scopul identificării perioadei de criză respective, băncile utilizează o perioadă de observație care începe cel târziu la 1 ianuarie 2007, într-un mod pe care BNM îl consideră satisfăcător; și</w:t>
      </w:r>
    </w:p>
    <w:p w14:paraId="098077E5" w14:textId="531E78F0" w:rsidR="00411539" w:rsidRDefault="00411539" w:rsidP="00411539">
      <w:pPr>
        <w:rPr>
          <w:rFonts w:ascii="Times New Roman" w:hAnsi="Times New Roman" w:cs="Times New Roman"/>
          <w:sz w:val="24"/>
          <w:szCs w:val="24"/>
        </w:rPr>
      </w:pPr>
      <w:r w:rsidRPr="00411539">
        <w:rPr>
          <w:rFonts w:ascii="Times New Roman" w:hAnsi="Times New Roman" w:cs="Times New Roman"/>
          <w:sz w:val="24"/>
          <w:szCs w:val="24"/>
        </w:rPr>
        <w:t>349.4. datele de intrare pentru</w:t>
      </w:r>
      <w:r w:rsidRPr="00411539">
        <w:rPr>
          <w:rFonts w:ascii="Times New Roman" w:hAnsi="Times New Roman" w:cs="Times New Roman"/>
          <w:noProof/>
          <w:sz w:val="24"/>
          <w:szCs w:val="24"/>
        </w:rPr>
        <w:drawing>
          <wp:inline distT="0" distB="0" distL="0" distR="0" wp14:anchorId="2935875B" wp14:editId="0C740941">
            <wp:extent cx="850900" cy="393700"/>
            <wp:effectExtent l="0" t="0" r="6350" b="5715"/>
            <wp:docPr id="201" name="Picture 20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image"/>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50900" cy="393700"/>
                    </a:xfrm>
                    <a:prstGeom prst="rect">
                      <a:avLst/>
                    </a:prstGeom>
                    <a:noFill/>
                    <a:ln>
                      <a:noFill/>
                    </a:ln>
                  </pic:spPr>
                </pic:pic>
              </a:graphicData>
            </a:graphic>
          </wp:inline>
        </w:drawing>
      </w:r>
      <w:r w:rsidRPr="00411539">
        <w:rPr>
          <w:rFonts w:ascii="Times New Roman" w:hAnsi="Times New Roman" w:cs="Times New Roman"/>
          <w:sz w:val="24"/>
          <w:szCs w:val="24"/>
        </w:rPr>
        <w:t>sunt calibrate în raport cu perioada de criză de 12 luni care a fost identificată de către bancă în sensulsubpct.349.3.</w:t>
      </w:r>
    </w:p>
    <w:p w14:paraId="57C4DE5E" w14:textId="18087385" w:rsidR="004340D9" w:rsidRPr="004340D9" w:rsidRDefault="004340D9" w:rsidP="004340D9">
      <w:pPr>
        <w:rPr>
          <w:rFonts w:ascii="Times New Roman" w:hAnsi="Times New Roman" w:cs="Times New Roman"/>
          <w:sz w:val="24"/>
          <w:szCs w:val="24"/>
        </w:rPr>
      </w:pPr>
      <w:r w:rsidRPr="004340D9">
        <w:rPr>
          <w:rFonts w:ascii="Times New Roman" w:hAnsi="Times New Roman" w:cs="Times New Roman"/>
          <w:sz w:val="24"/>
          <w:szCs w:val="24"/>
        </w:rPr>
        <w:t>350.   În scopul calculării măsurilor valorilor la risc condiționate parțiale</w:t>
      </w:r>
      <w:r w:rsidRPr="004340D9">
        <w:rPr>
          <w:rFonts w:ascii="Times New Roman" w:hAnsi="Times New Roman" w:cs="Times New Roman"/>
          <w:noProof/>
          <w:sz w:val="24"/>
          <w:szCs w:val="24"/>
        </w:rPr>
        <w:drawing>
          <wp:inline distT="0" distB="0" distL="0" distR="0" wp14:anchorId="09F6E64C" wp14:editId="5FEDA934">
            <wp:extent cx="774700" cy="381000"/>
            <wp:effectExtent l="0" t="0" r="6350" b="0"/>
            <wp:docPr id="202" name="Picture 20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image"/>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774700" cy="381000"/>
                    </a:xfrm>
                    <a:prstGeom prst="rect">
                      <a:avLst/>
                    </a:prstGeom>
                    <a:noFill/>
                    <a:ln>
                      <a:noFill/>
                    </a:ln>
                  </pic:spPr>
                </pic:pic>
              </a:graphicData>
            </a:graphic>
          </wp:inline>
        </w:drawing>
      </w:r>
      <w:r w:rsidRPr="004340D9">
        <w:rPr>
          <w:rFonts w:ascii="Times New Roman" w:hAnsi="Times New Roman" w:cs="Times New Roman"/>
          <w:sz w:val="24"/>
          <w:szCs w:val="24"/>
        </w:rPr>
        <w:t>și</w:t>
      </w:r>
    </w:p>
    <w:p w14:paraId="5A3256F2" w14:textId="174460ED" w:rsidR="004340D9" w:rsidRPr="004340D9" w:rsidRDefault="004340D9" w:rsidP="004340D9">
      <w:pPr>
        <w:rPr>
          <w:rFonts w:ascii="Times New Roman" w:hAnsi="Times New Roman" w:cs="Times New Roman"/>
          <w:sz w:val="24"/>
          <w:szCs w:val="24"/>
        </w:rPr>
      </w:pPr>
      <w:r w:rsidRPr="004340D9">
        <w:rPr>
          <w:rFonts w:ascii="Times New Roman" w:hAnsi="Times New Roman" w:cs="Times New Roman"/>
          <w:noProof/>
          <w:sz w:val="24"/>
          <w:szCs w:val="24"/>
        </w:rPr>
        <w:lastRenderedPageBreak/>
        <w:drawing>
          <wp:inline distT="0" distB="0" distL="0" distR="0" wp14:anchorId="3B81278D" wp14:editId="64D72922">
            <wp:extent cx="876300" cy="393700"/>
            <wp:effectExtent l="0" t="0" r="0" b="6350"/>
            <wp:docPr id="203" name="Picture 20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image"/>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76300" cy="393700"/>
                    </a:xfrm>
                    <a:prstGeom prst="rect">
                      <a:avLst/>
                    </a:prstGeom>
                    <a:noFill/>
                    <a:ln>
                      <a:noFill/>
                    </a:ln>
                  </pic:spPr>
                </pic:pic>
              </a:graphicData>
            </a:graphic>
          </wp:inline>
        </w:drawing>
      </w:r>
      <w:r w:rsidRPr="004340D9">
        <w:rPr>
          <w:rFonts w:ascii="Times New Roman" w:hAnsi="Times New Roman" w:cs="Times New Roman"/>
          <w:sz w:val="24"/>
          <w:szCs w:val="24"/>
        </w:rPr>
        <w:t>menționate la pct.344, băncile îndeplinesc, în plus față de cerințele stabilite la pct.348, următoarele cerințe:</w:t>
      </w:r>
    </w:p>
    <w:p w14:paraId="0F1F5DA1" w14:textId="077C44BF" w:rsidR="004340D9" w:rsidRPr="004340D9" w:rsidRDefault="004340D9" w:rsidP="004340D9">
      <w:pPr>
        <w:rPr>
          <w:rFonts w:ascii="Times New Roman" w:hAnsi="Times New Roman" w:cs="Times New Roman"/>
          <w:sz w:val="24"/>
          <w:szCs w:val="24"/>
        </w:rPr>
      </w:pPr>
      <w:r w:rsidRPr="004340D9">
        <w:rPr>
          <w:rFonts w:ascii="Times New Roman" w:hAnsi="Times New Roman" w:cs="Times New Roman"/>
          <w:sz w:val="24"/>
          <w:szCs w:val="24"/>
        </w:rPr>
        <w:t>350.1. la calcularea</w:t>
      </w:r>
      <w:r w:rsidRPr="004340D9">
        <w:rPr>
          <w:rFonts w:ascii="Times New Roman" w:hAnsi="Times New Roman" w:cs="Times New Roman"/>
          <w:noProof/>
          <w:sz w:val="24"/>
          <w:szCs w:val="24"/>
        </w:rPr>
        <w:drawing>
          <wp:inline distT="0" distB="0" distL="0" distR="0" wp14:anchorId="2D51E02F" wp14:editId="391234F4">
            <wp:extent cx="774700" cy="381000"/>
            <wp:effectExtent l="0" t="0" r="6350" b="0"/>
            <wp:docPr id="204" name="Picture 20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image"/>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774700" cy="381000"/>
                    </a:xfrm>
                    <a:prstGeom prst="rect">
                      <a:avLst/>
                    </a:prstGeom>
                    <a:noFill/>
                    <a:ln>
                      <a:noFill/>
                    </a:ln>
                  </pic:spPr>
                </pic:pic>
              </a:graphicData>
            </a:graphic>
          </wp:inline>
        </w:drawing>
      </w:r>
      <w:r w:rsidRPr="004340D9">
        <w:rPr>
          <w:rFonts w:ascii="Times New Roman" w:hAnsi="Times New Roman" w:cs="Times New Roman"/>
          <w:sz w:val="24"/>
          <w:szCs w:val="24"/>
        </w:rPr>
        <w:t>, băncile aplică scenarii ale unor șocuri viitoare numai subsetului de factori de risc modelabili aferenți pozițiilor din portofoliu menționat la subpct.349.1;</w:t>
      </w:r>
    </w:p>
    <w:p w14:paraId="1232F291" w14:textId="743F33AE" w:rsidR="004340D9" w:rsidRPr="004340D9" w:rsidRDefault="004340D9" w:rsidP="004340D9">
      <w:pPr>
        <w:rPr>
          <w:rFonts w:ascii="Times New Roman" w:hAnsi="Times New Roman" w:cs="Times New Roman"/>
          <w:sz w:val="24"/>
          <w:szCs w:val="24"/>
        </w:rPr>
      </w:pPr>
      <w:r w:rsidRPr="004340D9">
        <w:rPr>
          <w:rFonts w:ascii="Times New Roman" w:hAnsi="Times New Roman" w:cs="Times New Roman"/>
          <w:sz w:val="24"/>
          <w:szCs w:val="24"/>
        </w:rPr>
        <w:t>350.2. la calcularea</w:t>
      </w:r>
      <w:r w:rsidRPr="004340D9">
        <w:rPr>
          <w:rFonts w:ascii="Times New Roman" w:hAnsi="Times New Roman" w:cs="Times New Roman"/>
          <w:noProof/>
          <w:sz w:val="24"/>
          <w:szCs w:val="24"/>
        </w:rPr>
        <w:drawing>
          <wp:inline distT="0" distB="0" distL="0" distR="0" wp14:anchorId="0A86523B" wp14:editId="5E0D4FE3">
            <wp:extent cx="876300" cy="393700"/>
            <wp:effectExtent l="0" t="0" r="0" b="6350"/>
            <wp:docPr id="205" name="Picture 20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image"/>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76300" cy="393700"/>
                    </a:xfrm>
                    <a:prstGeom prst="rect">
                      <a:avLst/>
                    </a:prstGeom>
                    <a:noFill/>
                    <a:ln>
                      <a:noFill/>
                    </a:ln>
                  </pic:spPr>
                </pic:pic>
              </a:graphicData>
            </a:graphic>
          </wp:inline>
        </w:drawing>
      </w:r>
      <w:r w:rsidRPr="004340D9">
        <w:rPr>
          <w:rFonts w:ascii="Times New Roman" w:hAnsi="Times New Roman" w:cs="Times New Roman"/>
          <w:sz w:val="24"/>
          <w:szCs w:val="24"/>
        </w:rPr>
        <w:t>, băncile aplică scenarii ale unor șocuri viitoare numai subsetului de factori de risc modelabili aferenți pozițiilor din portofoliu menționat la subpct.349.2;</w:t>
      </w:r>
    </w:p>
    <w:p w14:paraId="70D4357B" w14:textId="4790681C" w:rsidR="004340D9" w:rsidRDefault="004340D9" w:rsidP="004340D9">
      <w:pPr>
        <w:rPr>
          <w:rFonts w:ascii="Times New Roman" w:hAnsi="Times New Roman" w:cs="Times New Roman"/>
          <w:sz w:val="24"/>
          <w:szCs w:val="24"/>
        </w:rPr>
      </w:pPr>
      <w:r w:rsidRPr="004340D9">
        <w:rPr>
          <w:rFonts w:ascii="Times New Roman" w:hAnsi="Times New Roman" w:cs="Times New Roman"/>
          <w:sz w:val="24"/>
          <w:szCs w:val="24"/>
        </w:rPr>
        <w:t>350.3. datele de intrare utilizate pentru a determina scenariile unor șocuri viitoare aplicate factorilor de risc modelabili menționați la subpct.350.1 și 350.2 sunt calibrate în raport cu datele istorice menționate la subpct.351.3; datele respective se actualizează cel puțin o dată pe lună.</w:t>
      </w:r>
    </w:p>
    <w:p w14:paraId="1A33EF67" w14:textId="2C767FF3" w:rsidR="004340D9" w:rsidRPr="004340D9" w:rsidRDefault="004340D9" w:rsidP="004340D9">
      <w:pPr>
        <w:rPr>
          <w:rFonts w:ascii="Times New Roman" w:hAnsi="Times New Roman" w:cs="Times New Roman"/>
          <w:sz w:val="24"/>
          <w:szCs w:val="24"/>
        </w:rPr>
      </w:pPr>
      <w:r w:rsidRPr="004340D9">
        <w:rPr>
          <w:rFonts w:ascii="Times New Roman" w:hAnsi="Times New Roman" w:cs="Times New Roman"/>
          <w:sz w:val="24"/>
          <w:szCs w:val="24"/>
        </w:rPr>
        <w:t>351.   În scopul calculării măsurilor valorilor la risc condiționate parțiale</w:t>
      </w:r>
      <w:r w:rsidRPr="004340D9">
        <w:rPr>
          <w:rFonts w:ascii="Times New Roman" w:hAnsi="Times New Roman" w:cs="Times New Roman"/>
          <w:noProof/>
          <w:sz w:val="24"/>
          <w:szCs w:val="24"/>
        </w:rPr>
        <w:drawing>
          <wp:inline distT="0" distB="0" distL="0" distR="0" wp14:anchorId="6F8D4BA3" wp14:editId="1A9BA42D">
            <wp:extent cx="762000" cy="381000"/>
            <wp:effectExtent l="0" t="0" r="0" b="0"/>
            <wp:docPr id="206" name="Picture 20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image"/>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62000" cy="381000"/>
                    </a:xfrm>
                    <a:prstGeom prst="rect">
                      <a:avLst/>
                    </a:prstGeom>
                    <a:noFill/>
                    <a:ln>
                      <a:noFill/>
                    </a:ln>
                  </pic:spPr>
                </pic:pic>
              </a:graphicData>
            </a:graphic>
          </wp:inline>
        </w:drawing>
      </w:r>
      <w:r w:rsidRPr="004340D9">
        <w:rPr>
          <w:rFonts w:ascii="Times New Roman" w:hAnsi="Times New Roman" w:cs="Times New Roman"/>
          <w:sz w:val="24"/>
          <w:szCs w:val="24"/>
        </w:rPr>
        <w:t>și</w:t>
      </w:r>
    </w:p>
    <w:p w14:paraId="5D4B3CC0" w14:textId="59174865" w:rsidR="004340D9" w:rsidRPr="004340D9" w:rsidRDefault="004340D9" w:rsidP="004340D9">
      <w:pPr>
        <w:rPr>
          <w:rFonts w:ascii="Times New Roman" w:hAnsi="Times New Roman" w:cs="Times New Roman"/>
          <w:sz w:val="24"/>
          <w:szCs w:val="24"/>
        </w:rPr>
      </w:pPr>
      <w:r w:rsidRPr="004340D9">
        <w:rPr>
          <w:rFonts w:ascii="Times New Roman" w:hAnsi="Times New Roman" w:cs="Times New Roman"/>
          <w:noProof/>
          <w:sz w:val="24"/>
          <w:szCs w:val="24"/>
        </w:rPr>
        <w:drawing>
          <wp:inline distT="0" distB="0" distL="0" distR="0" wp14:anchorId="5FF624D8" wp14:editId="00F04BCA">
            <wp:extent cx="869950" cy="393700"/>
            <wp:effectExtent l="0" t="0" r="6350" b="6350"/>
            <wp:docPr id="207" name="Picture 20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image"/>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869950" cy="393700"/>
                    </a:xfrm>
                    <a:prstGeom prst="rect">
                      <a:avLst/>
                    </a:prstGeom>
                    <a:noFill/>
                    <a:ln>
                      <a:noFill/>
                    </a:ln>
                  </pic:spPr>
                </pic:pic>
              </a:graphicData>
            </a:graphic>
          </wp:inline>
        </w:drawing>
      </w:r>
      <w:r w:rsidRPr="004340D9">
        <w:rPr>
          <w:rFonts w:ascii="Times New Roman" w:hAnsi="Times New Roman" w:cs="Times New Roman"/>
          <w:sz w:val="24"/>
          <w:szCs w:val="24"/>
        </w:rPr>
        <w:t>menționate la pct.344, băncile îndeplinesc, în plus față de cerințele stabilite la pct.348, următoarele cerințe:</w:t>
      </w:r>
    </w:p>
    <w:p w14:paraId="1F9D76F4" w14:textId="76E472C7" w:rsidR="004340D9" w:rsidRPr="004340D9" w:rsidRDefault="004340D9" w:rsidP="004340D9">
      <w:pPr>
        <w:rPr>
          <w:rFonts w:ascii="Times New Roman" w:hAnsi="Times New Roman" w:cs="Times New Roman"/>
          <w:sz w:val="24"/>
          <w:szCs w:val="24"/>
        </w:rPr>
      </w:pPr>
      <w:r w:rsidRPr="004340D9">
        <w:rPr>
          <w:rFonts w:ascii="Times New Roman" w:hAnsi="Times New Roman" w:cs="Times New Roman"/>
          <w:sz w:val="24"/>
          <w:szCs w:val="24"/>
        </w:rPr>
        <w:t>351.1. la calcularea</w:t>
      </w:r>
      <w:r w:rsidRPr="004340D9">
        <w:rPr>
          <w:rFonts w:ascii="Times New Roman" w:hAnsi="Times New Roman" w:cs="Times New Roman"/>
          <w:noProof/>
          <w:sz w:val="24"/>
          <w:szCs w:val="24"/>
        </w:rPr>
        <w:drawing>
          <wp:inline distT="0" distB="0" distL="0" distR="0" wp14:anchorId="1D982547" wp14:editId="70DAE4AA">
            <wp:extent cx="762000" cy="381000"/>
            <wp:effectExtent l="0" t="0" r="0" b="0"/>
            <wp:docPr id="208" name="Picture 20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image"/>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62000" cy="381000"/>
                    </a:xfrm>
                    <a:prstGeom prst="rect">
                      <a:avLst/>
                    </a:prstGeom>
                    <a:noFill/>
                    <a:ln>
                      <a:noFill/>
                    </a:ln>
                  </pic:spPr>
                </pic:pic>
              </a:graphicData>
            </a:graphic>
          </wp:inline>
        </w:drawing>
      </w:r>
      <w:r w:rsidRPr="004340D9">
        <w:rPr>
          <w:rFonts w:ascii="Times New Roman" w:hAnsi="Times New Roman" w:cs="Times New Roman"/>
          <w:sz w:val="24"/>
          <w:szCs w:val="24"/>
        </w:rPr>
        <w:t>, băncile aplică scenarii ale unor șocuri viitoare tuturor factorilor de risc modelabili aferenți pozițiilor din portofoliu;</w:t>
      </w:r>
    </w:p>
    <w:p w14:paraId="65332AF6" w14:textId="606AF39C" w:rsidR="004340D9" w:rsidRPr="004340D9" w:rsidRDefault="004340D9" w:rsidP="004340D9">
      <w:pPr>
        <w:rPr>
          <w:rFonts w:ascii="Times New Roman" w:hAnsi="Times New Roman" w:cs="Times New Roman"/>
          <w:sz w:val="24"/>
          <w:szCs w:val="24"/>
        </w:rPr>
      </w:pPr>
      <w:r w:rsidRPr="004340D9">
        <w:rPr>
          <w:rFonts w:ascii="Times New Roman" w:hAnsi="Times New Roman" w:cs="Times New Roman"/>
          <w:sz w:val="24"/>
          <w:szCs w:val="24"/>
        </w:rPr>
        <w:t>351.2. la calcularea</w:t>
      </w:r>
      <w:r w:rsidRPr="004340D9">
        <w:rPr>
          <w:rFonts w:ascii="Times New Roman" w:hAnsi="Times New Roman" w:cs="Times New Roman"/>
          <w:noProof/>
          <w:sz w:val="24"/>
          <w:szCs w:val="24"/>
        </w:rPr>
        <w:drawing>
          <wp:inline distT="0" distB="0" distL="0" distR="0" wp14:anchorId="18834B3A" wp14:editId="7FE9BCDE">
            <wp:extent cx="869950" cy="393700"/>
            <wp:effectExtent l="0" t="0" r="6350" b="6350"/>
            <wp:docPr id="209" name="Picture 20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image"/>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869950" cy="393700"/>
                    </a:xfrm>
                    <a:prstGeom prst="rect">
                      <a:avLst/>
                    </a:prstGeom>
                    <a:noFill/>
                    <a:ln>
                      <a:noFill/>
                    </a:ln>
                  </pic:spPr>
                </pic:pic>
              </a:graphicData>
            </a:graphic>
          </wp:inline>
        </w:drawing>
      </w:r>
      <w:r w:rsidRPr="004340D9">
        <w:rPr>
          <w:rFonts w:ascii="Times New Roman" w:hAnsi="Times New Roman" w:cs="Times New Roman"/>
          <w:sz w:val="24"/>
          <w:szCs w:val="24"/>
        </w:rPr>
        <w:t>, băncile aplică scenarii ale unor șocuri viitoare tuturor factorilor de risc modelabili aferenți pozițiilor din portofoliu care au fost încadrați în categoria generală de factori de risc i în conformitate cu subsecțiunea 3;</w:t>
      </w:r>
    </w:p>
    <w:p w14:paraId="4FD4DE49" w14:textId="5575AA18" w:rsidR="004340D9" w:rsidRDefault="004340D9" w:rsidP="004340D9">
      <w:pPr>
        <w:rPr>
          <w:rFonts w:ascii="Times New Roman" w:hAnsi="Times New Roman" w:cs="Times New Roman"/>
          <w:sz w:val="24"/>
          <w:szCs w:val="24"/>
        </w:rPr>
      </w:pPr>
      <w:r w:rsidRPr="004340D9">
        <w:rPr>
          <w:rFonts w:ascii="Times New Roman" w:hAnsi="Times New Roman" w:cs="Times New Roman"/>
          <w:sz w:val="24"/>
          <w:szCs w:val="24"/>
        </w:rPr>
        <w:t>351.3. datele de intrare utilizate pentru a determina scenariile unor șocuri viitoare aplicate factorilor de risc modelabili menționați la</w:t>
      </w:r>
      <w:r w:rsidR="000C76CD">
        <w:rPr>
          <w:rFonts w:ascii="Times New Roman" w:hAnsi="Times New Roman" w:cs="Times New Roman"/>
          <w:sz w:val="24"/>
          <w:szCs w:val="24"/>
        </w:rPr>
        <w:t xml:space="preserve"> </w:t>
      </w:r>
      <w:r w:rsidRPr="004340D9">
        <w:rPr>
          <w:rFonts w:ascii="Times New Roman" w:hAnsi="Times New Roman" w:cs="Times New Roman"/>
          <w:sz w:val="24"/>
          <w:szCs w:val="24"/>
        </w:rPr>
        <w:t xml:space="preserve">subpct.351.1 și 351.2 sunt calibrate în raport cu datele istorice din perioada de 12 luni anterioară; atunci când se produce o creștere semnificativă a volatilității prețurilor unui număr semnificativ de factori de risc modelabili aferenți portofoliului unei bănci care nu sunt incluși în subsetul de factori de risc menționat la subpct.349.1 , BNM poate impune unei bănci să utilizeze datele istorice pentru o perioadă mai scurtă decât cele 12 luni anterioare, dar această perioadă nu poate fi mai scurtă decât cele șase luni anterioare; </w:t>
      </w:r>
    </w:p>
    <w:p w14:paraId="1ADB6144" w14:textId="724BE651" w:rsidR="004340D9" w:rsidRDefault="004340D9" w:rsidP="004340D9">
      <w:pPr>
        <w:rPr>
          <w:rFonts w:ascii="Times New Roman" w:hAnsi="Times New Roman" w:cs="Times New Roman"/>
          <w:sz w:val="24"/>
          <w:szCs w:val="24"/>
        </w:rPr>
      </w:pPr>
      <w:r w:rsidRPr="00101345">
        <w:rPr>
          <w:rFonts w:ascii="Times New Roman" w:hAnsi="Times New Roman" w:cs="Times New Roman"/>
          <w:sz w:val="24"/>
          <w:szCs w:val="24"/>
        </w:rPr>
        <w:t>351.3.1. BNM notifică ABE orice decizie prin care impun</w:t>
      </w:r>
      <w:r w:rsidR="0047768A" w:rsidRPr="00101345">
        <w:rPr>
          <w:rFonts w:ascii="Times New Roman" w:hAnsi="Times New Roman" w:cs="Times New Roman"/>
          <w:sz w:val="24"/>
          <w:szCs w:val="24"/>
        </w:rPr>
        <w:t>e</w:t>
      </w:r>
      <w:r w:rsidRPr="00101345">
        <w:rPr>
          <w:rFonts w:ascii="Times New Roman" w:hAnsi="Times New Roman" w:cs="Times New Roman"/>
          <w:sz w:val="24"/>
          <w:szCs w:val="24"/>
        </w:rPr>
        <w:t xml:space="preserve"> unei bănci să utilizeze datele istorice dintr-o perioadă mai scurtă de 12 luni și își motivează decizia respectivă.</w:t>
      </w:r>
    </w:p>
    <w:p w14:paraId="21FC2A33" w14:textId="66AF9F65" w:rsidR="004340D9" w:rsidRDefault="004340D9" w:rsidP="004340D9">
      <w:pPr>
        <w:rPr>
          <w:rFonts w:ascii="Times New Roman" w:hAnsi="Times New Roman" w:cs="Times New Roman"/>
          <w:sz w:val="24"/>
          <w:szCs w:val="24"/>
        </w:rPr>
      </w:pPr>
      <w:r w:rsidRPr="004340D9">
        <w:rPr>
          <w:rFonts w:ascii="Times New Roman" w:hAnsi="Times New Roman" w:cs="Times New Roman"/>
          <w:sz w:val="24"/>
          <w:szCs w:val="24"/>
        </w:rPr>
        <w:t>352.  La calcularea unei anumite măsuri a valorii la risc condiționată parțială menționată la</w:t>
      </w:r>
      <w:r w:rsidR="00EC4769">
        <w:rPr>
          <w:rFonts w:ascii="Times New Roman" w:hAnsi="Times New Roman" w:cs="Times New Roman"/>
          <w:sz w:val="24"/>
          <w:szCs w:val="24"/>
        </w:rPr>
        <w:t xml:space="preserve"> </w:t>
      </w:r>
      <w:r w:rsidRPr="004340D9">
        <w:rPr>
          <w:rFonts w:ascii="Times New Roman" w:hAnsi="Times New Roman" w:cs="Times New Roman"/>
          <w:sz w:val="24"/>
          <w:szCs w:val="24"/>
        </w:rPr>
        <w:t>pct.344, băncile mențin valorile factorilor de risc modelabili pentru care nu au fost obligate să aplice scenarii ale unor șocuri viitoare pentru această măsură a valorii la risc condiționată parțială în conformitate cu pct.349, 350 și 351.</w:t>
      </w:r>
    </w:p>
    <w:p w14:paraId="1BEA1626" w14:textId="00DC1A57" w:rsidR="00CE7351" w:rsidRPr="00CC1E9B" w:rsidRDefault="00CE7351" w:rsidP="00CE7351">
      <w:pPr>
        <w:rPr>
          <w:rFonts w:ascii="Times New Roman" w:hAnsi="Times New Roman" w:cs="Times New Roman"/>
          <w:b/>
          <w:bCs/>
          <w:i/>
          <w:iCs/>
          <w:sz w:val="24"/>
          <w:szCs w:val="24"/>
        </w:rPr>
      </w:pPr>
      <w:bookmarkStart w:id="56" w:name="_Hlk195098752"/>
      <w:r w:rsidRPr="00CC1E9B">
        <w:rPr>
          <w:rFonts w:ascii="Times New Roman" w:hAnsi="Times New Roman" w:cs="Times New Roman"/>
          <w:b/>
          <w:bCs/>
          <w:i/>
          <w:iCs/>
          <w:sz w:val="24"/>
          <w:szCs w:val="24"/>
        </w:rPr>
        <w:t>Subsecțiunea 3. Orizonturi de lichiditate</w:t>
      </w:r>
      <w:bookmarkEnd w:id="56"/>
    </w:p>
    <w:p w14:paraId="41242B9F" w14:textId="4C2F51CE" w:rsidR="000E62FD" w:rsidRDefault="00CE7351" w:rsidP="004340D9">
      <w:pPr>
        <w:rPr>
          <w:rFonts w:ascii="Times New Roman" w:hAnsi="Times New Roman" w:cs="Times New Roman"/>
          <w:sz w:val="24"/>
          <w:szCs w:val="24"/>
        </w:rPr>
      </w:pPr>
      <w:r w:rsidRPr="00CE7351">
        <w:rPr>
          <w:rFonts w:ascii="Times New Roman" w:hAnsi="Times New Roman" w:cs="Times New Roman"/>
          <w:sz w:val="24"/>
          <w:szCs w:val="24"/>
        </w:rPr>
        <w:t>353.  Băncile încadrează în conformitate cu modul prevăzut în anexa nr.</w:t>
      </w:r>
      <w:r w:rsidR="003050FA">
        <w:rPr>
          <w:rFonts w:ascii="Times New Roman" w:hAnsi="Times New Roman" w:cs="Times New Roman"/>
          <w:sz w:val="24"/>
          <w:szCs w:val="24"/>
        </w:rPr>
        <w:t>4</w:t>
      </w:r>
      <w:r w:rsidRPr="00CE7351">
        <w:rPr>
          <w:rFonts w:ascii="Times New Roman" w:hAnsi="Times New Roman" w:cs="Times New Roman"/>
          <w:sz w:val="24"/>
          <w:szCs w:val="24"/>
        </w:rPr>
        <w:t xml:space="preserve">, secțiunea 1, fiecare factor de risc aferent pozițiilor atribuite birourilor de tranzacționare pentru care le-a fost acordată aprobarea astfel cum sunt menționate la pct.331-332 sau pentru care aprobarea este în curs de a fi acordată într-una din categoriile </w:t>
      </w:r>
      <w:r w:rsidRPr="00CE7351">
        <w:rPr>
          <w:rFonts w:ascii="Times New Roman" w:hAnsi="Times New Roman" w:cs="Times New Roman"/>
          <w:sz w:val="24"/>
          <w:szCs w:val="24"/>
        </w:rPr>
        <w:lastRenderedPageBreak/>
        <w:t>generale de factori de risc enumerate în tabelul 2 și într-una din subcategoriile generale de factori de risc enumerate în tabelul respectiv.</w:t>
      </w:r>
    </w:p>
    <w:p w14:paraId="63572738" w14:textId="7B6EC9D3" w:rsidR="00CE7351" w:rsidRDefault="00CE7351" w:rsidP="004340D9">
      <w:pPr>
        <w:rPr>
          <w:rFonts w:ascii="Times New Roman" w:hAnsi="Times New Roman" w:cs="Times New Roman"/>
          <w:sz w:val="24"/>
          <w:szCs w:val="24"/>
        </w:rPr>
      </w:pPr>
      <w:r w:rsidRPr="00CE7351">
        <w:rPr>
          <w:rFonts w:ascii="Times New Roman" w:hAnsi="Times New Roman" w:cs="Times New Roman"/>
          <w:sz w:val="24"/>
          <w:szCs w:val="24"/>
        </w:rPr>
        <w:t>354.   Orizontul de lichiditate al unui factor de risc aferent pozițiilor menționate la pct.353 este orizontul de lichiditate al subcategoriei generale corespunzătoare de factori de risc în care a fost încadrat.</w:t>
      </w:r>
    </w:p>
    <w:p w14:paraId="36805B84" w14:textId="77777777" w:rsidR="00CE7351" w:rsidRPr="00CE7351" w:rsidRDefault="00CE7351" w:rsidP="00CE7351">
      <w:pPr>
        <w:rPr>
          <w:rFonts w:ascii="Times New Roman" w:hAnsi="Times New Roman" w:cs="Times New Roman"/>
          <w:sz w:val="24"/>
          <w:szCs w:val="24"/>
        </w:rPr>
      </w:pPr>
      <w:r w:rsidRPr="00CE7351">
        <w:rPr>
          <w:rFonts w:ascii="Times New Roman" w:hAnsi="Times New Roman" w:cs="Times New Roman"/>
          <w:sz w:val="24"/>
          <w:szCs w:val="24"/>
        </w:rPr>
        <w:t>355.   Prin derogare de la pct.353, o bancă poate decide ca, pentru un anumit birou de tranzacționare, să înlocuiască orizontul de lichiditate al unei subcategorii generale de factori de risc enumerate în tabelul 2 din prezenta subsecțiune cu unul dintre orizonturile de lichiditate mai lungi enumerate în tabelul 1 de la subsecțiunea 2. În cazul în care o bancă ia o astfel de decizie, orizontul de lichiditate mai lung se aplică tuturor factorilor de risc modelabili aferenți pozițiilor atribuite biroului de tranzacționare respectiv care au fost încadrați în respectiva subcategorie generală de factori de risc în scopul calculării măsurilor valorilor la risc condiționate parțiale în conformitate cu subpct.348.3.</w:t>
      </w:r>
    </w:p>
    <w:p w14:paraId="7F04F61E" w14:textId="75439B5C" w:rsidR="00CE7351" w:rsidRDefault="00CE7351" w:rsidP="00CE7351">
      <w:pPr>
        <w:rPr>
          <w:rFonts w:ascii="Times New Roman" w:hAnsi="Times New Roman" w:cs="Times New Roman"/>
          <w:sz w:val="24"/>
          <w:szCs w:val="24"/>
        </w:rPr>
      </w:pPr>
      <w:r w:rsidRPr="00CE7351">
        <w:rPr>
          <w:rFonts w:ascii="Times New Roman" w:hAnsi="Times New Roman" w:cs="Times New Roman"/>
          <w:sz w:val="24"/>
          <w:szCs w:val="24"/>
        </w:rPr>
        <w:t>356. O bancă notifică BNM birourile de tranzacționare și subcategoriile generale de factori de risc cărora decide să le aplice tratamentul prevăzut la pct.355.</w:t>
      </w:r>
    </w:p>
    <w:p w14:paraId="585EE53C" w14:textId="77777777" w:rsidR="00CE7351" w:rsidRPr="00CE7351" w:rsidRDefault="00CE7351" w:rsidP="00CE7351">
      <w:pPr>
        <w:rPr>
          <w:rFonts w:ascii="Times New Roman" w:hAnsi="Times New Roman" w:cs="Times New Roman"/>
          <w:sz w:val="24"/>
          <w:szCs w:val="24"/>
        </w:rPr>
      </w:pPr>
      <w:r w:rsidRPr="00CE7351">
        <w:rPr>
          <w:rFonts w:ascii="Times New Roman" w:hAnsi="Times New Roman" w:cs="Times New Roman"/>
          <w:sz w:val="24"/>
          <w:szCs w:val="24"/>
        </w:rPr>
        <w:t>357.  În scopul calculării măsurilor valorilor la risc condiționate parțiale în conformitate cu subpct.348.3, orizontul de lichiditate efectiv al unui anumit factor de risc modelabil aferent unei anumite poziții din portofoliul de tranzacționare sau unei poziții din afara portofoliului de tranzacționare care prezintă un risc valutar sau un risc de marfă se calculează după cum urmează:</w:t>
      </w:r>
    </w:p>
    <w:tbl>
      <w:tblPr>
        <w:tblW w:w="6655" w:type="dxa"/>
        <w:jc w:val="center"/>
        <w:tblLayout w:type="fixed"/>
        <w:tblCellMar>
          <w:top w:w="30" w:type="dxa"/>
          <w:left w:w="30" w:type="dxa"/>
          <w:bottom w:w="30" w:type="dxa"/>
          <w:right w:w="30" w:type="dxa"/>
        </w:tblCellMar>
        <w:tblLook w:val="04A0" w:firstRow="1" w:lastRow="0" w:firstColumn="1" w:lastColumn="0" w:noHBand="0" w:noVBand="1"/>
      </w:tblPr>
      <w:tblGrid>
        <w:gridCol w:w="1552"/>
        <w:gridCol w:w="256"/>
        <w:gridCol w:w="4847"/>
      </w:tblGrid>
      <w:tr w:rsidR="00CE7351" w:rsidRPr="00CE7351" w14:paraId="2FCB5A39" w14:textId="77777777" w:rsidTr="006640B5">
        <w:trPr>
          <w:jc w:val="center"/>
        </w:trPr>
        <w:tc>
          <w:tcPr>
            <w:tcW w:w="1552" w:type="dxa"/>
            <w:vMerge w:val="restart"/>
            <w:tcMar>
              <w:top w:w="0" w:type="dxa"/>
              <w:left w:w="0" w:type="dxa"/>
              <w:bottom w:w="0" w:type="dxa"/>
              <w:right w:w="0" w:type="dxa"/>
            </w:tcMar>
            <w:vAlign w:val="center"/>
            <w:hideMark/>
          </w:tcPr>
          <w:p w14:paraId="1C45E22C" w14:textId="77777777" w:rsidR="00CE7351" w:rsidRPr="00CE7351" w:rsidRDefault="00CE7351" w:rsidP="00CE7351">
            <w:pPr>
              <w:rPr>
                <w:rFonts w:ascii="Times New Roman" w:hAnsi="Times New Roman" w:cs="Times New Roman"/>
                <w:sz w:val="24"/>
                <w:szCs w:val="24"/>
              </w:rPr>
            </w:pPr>
            <w:proofErr w:type="spellStart"/>
            <w:r w:rsidRPr="00CE7351">
              <w:rPr>
                <w:rFonts w:ascii="Times New Roman" w:hAnsi="Times New Roman" w:cs="Times New Roman"/>
                <w:sz w:val="24"/>
                <w:szCs w:val="24"/>
              </w:rPr>
              <w:t>LHefectiv</w:t>
            </w:r>
            <w:proofErr w:type="spellEnd"/>
            <w:r w:rsidRPr="00CE7351">
              <w:rPr>
                <w:rFonts w:ascii="Times New Roman" w:hAnsi="Times New Roman" w:cs="Times New Roman"/>
                <w:sz w:val="24"/>
                <w:szCs w:val="24"/>
              </w:rPr>
              <w:t xml:space="preserve"> =</w:t>
            </w:r>
          </w:p>
        </w:tc>
        <w:tc>
          <w:tcPr>
            <w:tcW w:w="256" w:type="dxa"/>
            <w:vMerge w:val="restart"/>
            <w:tcMar>
              <w:top w:w="0" w:type="dxa"/>
              <w:left w:w="0" w:type="dxa"/>
              <w:bottom w:w="0" w:type="dxa"/>
              <w:right w:w="0" w:type="dxa"/>
            </w:tcMar>
            <w:vAlign w:val="center"/>
            <w:hideMark/>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56"/>
            </w:tblGrid>
            <w:tr w:rsidR="00CE7351" w:rsidRPr="00CE7351" w14:paraId="3A9BA7C4" w14:textId="77777777" w:rsidTr="000B71C4">
              <w:tc>
                <w:tcPr>
                  <w:tcW w:w="241" w:type="dxa"/>
                  <w:tcMar>
                    <w:top w:w="0" w:type="dxa"/>
                    <w:left w:w="0" w:type="dxa"/>
                    <w:bottom w:w="0" w:type="dxa"/>
                    <w:right w:w="0" w:type="dxa"/>
                  </w:tcMar>
                  <w:vAlign w:val="center"/>
                  <w:hideMark/>
                </w:tcPr>
                <w:p w14:paraId="40027DAA" w14:textId="77777777" w:rsidR="00CE7351" w:rsidRPr="00CE7351" w:rsidRDefault="00CE7351" w:rsidP="00CE7351">
                  <w:pPr>
                    <w:rPr>
                      <w:rFonts w:ascii="Times New Roman" w:hAnsi="Times New Roman" w:cs="Times New Roman"/>
                      <w:sz w:val="24"/>
                      <w:szCs w:val="24"/>
                    </w:rPr>
                  </w:pPr>
                  <w:r w:rsidRPr="00CE7351">
                    <w:rPr>
                      <w:rFonts w:ascii="Times New Roman" w:hAnsi="Times New Roman" w:cs="Times New Roman"/>
                      <w:noProof/>
                      <w:sz w:val="24"/>
                      <w:szCs w:val="24"/>
                    </w:rPr>
                    <w:drawing>
                      <wp:inline distT="0" distB="0" distL="0" distR="0" wp14:anchorId="6BCBA47F" wp14:editId="7E7290DF">
                        <wp:extent cx="152400" cy="1143000"/>
                        <wp:effectExtent l="0" t="0" r="0" b="0"/>
                        <wp:docPr id="210" name="Picture 210" descr="left accol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left accolade"/>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52400" cy="1143000"/>
                                </a:xfrm>
                                <a:prstGeom prst="rect">
                                  <a:avLst/>
                                </a:prstGeom>
                                <a:noFill/>
                                <a:ln>
                                  <a:noFill/>
                                </a:ln>
                              </pic:spPr>
                            </pic:pic>
                          </a:graphicData>
                        </a:graphic>
                      </wp:inline>
                    </w:drawing>
                  </w:r>
                </w:p>
              </w:tc>
            </w:tr>
          </w:tbl>
          <w:p w14:paraId="007FEF36" w14:textId="77777777" w:rsidR="00CE7351" w:rsidRPr="00CE7351" w:rsidRDefault="00CE7351" w:rsidP="00CE7351">
            <w:pPr>
              <w:rPr>
                <w:rFonts w:ascii="Times New Roman" w:hAnsi="Times New Roman" w:cs="Times New Roman"/>
                <w:sz w:val="24"/>
                <w:szCs w:val="24"/>
              </w:rPr>
            </w:pPr>
          </w:p>
        </w:tc>
        <w:tc>
          <w:tcPr>
            <w:tcW w:w="4847" w:type="dxa"/>
            <w:tcMar>
              <w:top w:w="0" w:type="dxa"/>
              <w:left w:w="0" w:type="dxa"/>
              <w:bottom w:w="0" w:type="dxa"/>
              <w:right w:w="0" w:type="dxa"/>
            </w:tcMar>
            <w:hideMark/>
          </w:tcPr>
          <w:p w14:paraId="47089866" w14:textId="77777777" w:rsidR="00CE7351" w:rsidRPr="00CE7351" w:rsidRDefault="00CE7351" w:rsidP="00CE7351">
            <w:pPr>
              <w:rPr>
                <w:rFonts w:ascii="Times New Roman" w:hAnsi="Times New Roman" w:cs="Times New Roman"/>
                <w:sz w:val="24"/>
                <w:szCs w:val="24"/>
              </w:rPr>
            </w:pPr>
            <w:proofErr w:type="spellStart"/>
            <w:r w:rsidRPr="00CE7351">
              <w:rPr>
                <w:rFonts w:ascii="Times New Roman" w:hAnsi="Times New Roman" w:cs="Times New Roman"/>
                <w:sz w:val="24"/>
                <w:szCs w:val="24"/>
              </w:rPr>
              <w:t>SubCatLH</w:t>
            </w:r>
            <w:proofErr w:type="spellEnd"/>
            <w:r w:rsidRPr="00CE7351">
              <w:rPr>
                <w:rFonts w:ascii="Times New Roman" w:hAnsi="Times New Roman" w:cs="Times New Roman"/>
                <w:sz w:val="24"/>
                <w:szCs w:val="24"/>
              </w:rPr>
              <w:t xml:space="preserve"> dacă Mat &gt; LH</w:t>
            </w:r>
            <w:r w:rsidRPr="00CE7351">
              <w:rPr>
                <w:rFonts w:ascii="Times New Roman" w:hAnsi="Times New Roman" w:cs="Times New Roman"/>
                <w:sz w:val="24"/>
                <w:szCs w:val="24"/>
                <w:vertAlign w:val="subscript"/>
              </w:rPr>
              <w:t>5</w:t>
            </w:r>
          </w:p>
        </w:tc>
      </w:tr>
      <w:tr w:rsidR="00CE7351" w:rsidRPr="00CE7351" w14:paraId="7B00035B" w14:textId="77777777" w:rsidTr="006640B5">
        <w:trPr>
          <w:jc w:val="center"/>
        </w:trPr>
        <w:tc>
          <w:tcPr>
            <w:tcW w:w="1552" w:type="dxa"/>
            <w:vMerge/>
            <w:vAlign w:val="center"/>
            <w:hideMark/>
          </w:tcPr>
          <w:p w14:paraId="2751017E" w14:textId="77777777" w:rsidR="00CE7351" w:rsidRPr="00CE7351" w:rsidRDefault="00CE7351" w:rsidP="00CE7351">
            <w:pPr>
              <w:rPr>
                <w:rFonts w:ascii="Times New Roman" w:hAnsi="Times New Roman" w:cs="Times New Roman"/>
                <w:sz w:val="24"/>
                <w:szCs w:val="24"/>
              </w:rPr>
            </w:pPr>
          </w:p>
        </w:tc>
        <w:tc>
          <w:tcPr>
            <w:tcW w:w="256" w:type="dxa"/>
            <w:vMerge/>
            <w:vAlign w:val="center"/>
            <w:hideMark/>
          </w:tcPr>
          <w:p w14:paraId="69B30EDF" w14:textId="77777777" w:rsidR="00CE7351" w:rsidRPr="00CE7351" w:rsidRDefault="00CE7351" w:rsidP="00CE7351">
            <w:pPr>
              <w:rPr>
                <w:rFonts w:ascii="Times New Roman" w:hAnsi="Times New Roman" w:cs="Times New Roman"/>
                <w:sz w:val="24"/>
                <w:szCs w:val="24"/>
              </w:rPr>
            </w:pPr>
          </w:p>
        </w:tc>
        <w:tc>
          <w:tcPr>
            <w:tcW w:w="4847" w:type="dxa"/>
            <w:tcMar>
              <w:top w:w="0" w:type="dxa"/>
              <w:left w:w="0" w:type="dxa"/>
              <w:bottom w:w="0" w:type="dxa"/>
              <w:right w:w="0" w:type="dxa"/>
            </w:tcMar>
            <w:hideMark/>
          </w:tcPr>
          <w:p w14:paraId="154E6186" w14:textId="77777777" w:rsidR="00CE7351" w:rsidRPr="00CE7351" w:rsidRDefault="00CE7351" w:rsidP="00CE7351">
            <w:pPr>
              <w:rPr>
                <w:rFonts w:ascii="Times New Roman" w:hAnsi="Times New Roman" w:cs="Times New Roman"/>
                <w:sz w:val="24"/>
                <w:szCs w:val="24"/>
              </w:rPr>
            </w:pPr>
            <w:r w:rsidRPr="00CE7351">
              <w:rPr>
                <w:rFonts w:ascii="Times New Roman" w:hAnsi="Times New Roman" w:cs="Times New Roman"/>
                <w:sz w:val="24"/>
                <w:szCs w:val="24"/>
              </w:rPr>
              <w:t>min (</w:t>
            </w:r>
            <w:proofErr w:type="spellStart"/>
            <w:r w:rsidRPr="00CE7351">
              <w:rPr>
                <w:rFonts w:ascii="Times New Roman" w:hAnsi="Times New Roman" w:cs="Times New Roman"/>
                <w:sz w:val="24"/>
                <w:szCs w:val="24"/>
              </w:rPr>
              <w:t>SubCatLH</w:t>
            </w:r>
            <w:proofErr w:type="spellEnd"/>
            <w:r w:rsidRPr="00CE7351">
              <w:rPr>
                <w:rFonts w:ascii="Times New Roman" w:hAnsi="Times New Roman" w:cs="Times New Roman"/>
                <w:sz w:val="24"/>
                <w:szCs w:val="24"/>
              </w:rPr>
              <w:t xml:space="preserve">, </w:t>
            </w:r>
            <w:proofErr w:type="spellStart"/>
            <w:r w:rsidRPr="00CE7351">
              <w:rPr>
                <w:rFonts w:ascii="Times New Roman" w:hAnsi="Times New Roman" w:cs="Times New Roman"/>
                <w:sz w:val="24"/>
                <w:szCs w:val="24"/>
              </w:rPr>
              <w:t>min</w:t>
            </w:r>
            <w:r w:rsidRPr="00CE7351">
              <w:rPr>
                <w:rFonts w:ascii="Times New Roman" w:hAnsi="Times New Roman" w:cs="Times New Roman"/>
                <w:sz w:val="24"/>
                <w:szCs w:val="24"/>
                <w:vertAlign w:val="subscript"/>
              </w:rPr>
              <w:t>j</w:t>
            </w:r>
            <w:proofErr w:type="spellEnd"/>
            <w:r w:rsidRPr="00CE7351">
              <w:rPr>
                <w:rFonts w:ascii="Times New Roman" w:hAnsi="Times New Roman" w:cs="Times New Roman"/>
                <w:sz w:val="24"/>
                <w:szCs w:val="24"/>
              </w:rPr>
              <w:t>{</w:t>
            </w:r>
            <w:proofErr w:type="spellStart"/>
            <w:r w:rsidRPr="00CE7351">
              <w:rPr>
                <w:rFonts w:ascii="Times New Roman" w:hAnsi="Times New Roman" w:cs="Times New Roman"/>
                <w:sz w:val="24"/>
                <w:szCs w:val="24"/>
              </w:rPr>
              <w:t>LH</w:t>
            </w:r>
            <w:r w:rsidRPr="00CE7351">
              <w:rPr>
                <w:rFonts w:ascii="Times New Roman" w:hAnsi="Times New Roman" w:cs="Times New Roman"/>
                <w:sz w:val="24"/>
                <w:szCs w:val="24"/>
                <w:vertAlign w:val="subscript"/>
              </w:rPr>
              <w:t>j</w:t>
            </w:r>
            <w:proofErr w:type="spellEnd"/>
            <w:r w:rsidRPr="00CE7351">
              <w:rPr>
                <w:rFonts w:ascii="Times New Roman" w:hAnsi="Times New Roman" w:cs="Times New Roman"/>
                <w:sz w:val="24"/>
                <w:szCs w:val="24"/>
              </w:rPr>
              <w:t>/</w:t>
            </w:r>
            <w:proofErr w:type="spellStart"/>
            <w:r w:rsidRPr="00CE7351">
              <w:rPr>
                <w:rFonts w:ascii="Times New Roman" w:hAnsi="Times New Roman" w:cs="Times New Roman"/>
                <w:sz w:val="24"/>
                <w:szCs w:val="24"/>
              </w:rPr>
              <w:t>LH</w:t>
            </w:r>
            <w:r w:rsidRPr="00CE7351">
              <w:rPr>
                <w:rFonts w:ascii="Times New Roman" w:hAnsi="Times New Roman" w:cs="Times New Roman"/>
                <w:sz w:val="24"/>
                <w:szCs w:val="24"/>
                <w:vertAlign w:val="subscript"/>
              </w:rPr>
              <w:t>j</w:t>
            </w:r>
            <w:proofErr w:type="spellEnd"/>
            <w:r w:rsidRPr="00CE7351">
              <w:rPr>
                <w:rFonts w:ascii="Times New Roman" w:hAnsi="Times New Roman" w:cs="Times New Roman"/>
                <w:sz w:val="24"/>
                <w:szCs w:val="24"/>
              </w:rPr>
              <w:t> ≥ Mat}) dacă LH</w:t>
            </w:r>
            <w:r w:rsidRPr="00CE7351">
              <w:rPr>
                <w:rFonts w:ascii="Times New Roman" w:hAnsi="Times New Roman" w:cs="Times New Roman"/>
                <w:sz w:val="24"/>
                <w:szCs w:val="24"/>
                <w:vertAlign w:val="subscript"/>
              </w:rPr>
              <w:t>1</w:t>
            </w:r>
            <w:r w:rsidRPr="00CE7351">
              <w:rPr>
                <w:rFonts w:ascii="Times New Roman" w:hAnsi="Times New Roman" w:cs="Times New Roman"/>
                <w:sz w:val="24"/>
                <w:szCs w:val="24"/>
              </w:rPr>
              <w:t> ≤ Mat ≤ LH</w:t>
            </w:r>
            <w:r w:rsidRPr="00CE7351">
              <w:rPr>
                <w:rFonts w:ascii="Times New Roman" w:hAnsi="Times New Roman" w:cs="Times New Roman"/>
                <w:sz w:val="24"/>
                <w:szCs w:val="24"/>
                <w:vertAlign w:val="subscript"/>
              </w:rPr>
              <w:t>5</w:t>
            </w:r>
          </w:p>
        </w:tc>
      </w:tr>
      <w:tr w:rsidR="00CE7351" w:rsidRPr="00CE7351" w14:paraId="43E43F48" w14:textId="77777777" w:rsidTr="006640B5">
        <w:trPr>
          <w:jc w:val="center"/>
        </w:trPr>
        <w:tc>
          <w:tcPr>
            <w:tcW w:w="1552" w:type="dxa"/>
            <w:vMerge/>
            <w:vAlign w:val="center"/>
            <w:hideMark/>
          </w:tcPr>
          <w:p w14:paraId="4A8DA44E" w14:textId="77777777" w:rsidR="00CE7351" w:rsidRPr="00CE7351" w:rsidRDefault="00CE7351" w:rsidP="00CE7351">
            <w:pPr>
              <w:rPr>
                <w:rFonts w:ascii="Times New Roman" w:hAnsi="Times New Roman" w:cs="Times New Roman"/>
                <w:sz w:val="24"/>
                <w:szCs w:val="24"/>
              </w:rPr>
            </w:pPr>
          </w:p>
        </w:tc>
        <w:tc>
          <w:tcPr>
            <w:tcW w:w="256" w:type="dxa"/>
            <w:vMerge/>
            <w:vAlign w:val="center"/>
            <w:hideMark/>
          </w:tcPr>
          <w:p w14:paraId="36E5340E" w14:textId="77777777" w:rsidR="00CE7351" w:rsidRPr="00CE7351" w:rsidRDefault="00CE7351" w:rsidP="00CE7351">
            <w:pPr>
              <w:rPr>
                <w:rFonts w:ascii="Times New Roman" w:hAnsi="Times New Roman" w:cs="Times New Roman"/>
                <w:sz w:val="24"/>
                <w:szCs w:val="24"/>
              </w:rPr>
            </w:pPr>
          </w:p>
        </w:tc>
        <w:tc>
          <w:tcPr>
            <w:tcW w:w="4847" w:type="dxa"/>
            <w:tcMar>
              <w:top w:w="0" w:type="dxa"/>
              <w:left w:w="0" w:type="dxa"/>
              <w:bottom w:w="0" w:type="dxa"/>
              <w:right w:w="0" w:type="dxa"/>
            </w:tcMar>
            <w:hideMark/>
          </w:tcPr>
          <w:p w14:paraId="120AD042" w14:textId="77777777" w:rsidR="00CE7351" w:rsidRPr="00CE7351" w:rsidRDefault="00CE7351" w:rsidP="00CE7351">
            <w:pPr>
              <w:rPr>
                <w:rFonts w:ascii="Times New Roman" w:hAnsi="Times New Roman" w:cs="Times New Roman"/>
                <w:sz w:val="24"/>
                <w:szCs w:val="24"/>
              </w:rPr>
            </w:pPr>
            <w:r w:rsidRPr="00CE7351">
              <w:rPr>
                <w:rFonts w:ascii="Times New Roman" w:hAnsi="Times New Roman" w:cs="Times New Roman"/>
                <w:sz w:val="24"/>
                <w:szCs w:val="24"/>
              </w:rPr>
              <w:t>LH</w:t>
            </w:r>
            <w:r w:rsidRPr="00CE7351">
              <w:rPr>
                <w:rFonts w:ascii="Times New Roman" w:hAnsi="Times New Roman" w:cs="Times New Roman"/>
                <w:sz w:val="24"/>
                <w:szCs w:val="24"/>
                <w:vertAlign w:val="subscript"/>
              </w:rPr>
              <w:t>1</w:t>
            </w:r>
            <w:r w:rsidRPr="00CE7351">
              <w:rPr>
                <w:rFonts w:ascii="Times New Roman" w:hAnsi="Times New Roman" w:cs="Times New Roman"/>
                <w:sz w:val="24"/>
                <w:szCs w:val="24"/>
              </w:rPr>
              <w:t> dacă Mat &lt; LH</w:t>
            </w:r>
            <w:r w:rsidRPr="00CE7351">
              <w:rPr>
                <w:rFonts w:ascii="Times New Roman" w:hAnsi="Times New Roman" w:cs="Times New Roman"/>
                <w:sz w:val="24"/>
                <w:szCs w:val="24"/>
                <w:vertAlign w:val="subscript"/>
              </w:rPr>
              <w:t>1</w:t>
            </w:r>
          </w:p>
        </w:tc>
      </w:tr>
    </w:tbl>
    <w:p w14:paraId="265C75B0" w14:textId="77777777" w:rsidR="00CE7351" w:rsidRPr="00CE7351" w:rsidRDefault="00CE7351" w:rsidP="00CE7351">
      <w:pPr>
        <w:rPr>
          <w:rFonts w:ascii="Times New Roman" w:hAnsi="Times New Roman" w:cs="Times New Roman"/>
          <w:sz w:val="24"/>
          <w:szCs w:val="24"/>
        </w:rPr>
      </w:pPr>
      <w:r w:rsidRPr="00CE7351">
        <w:rPr>
          <w:rFonts w:ascii="Times New Roman" w:hAnsi="Times New Roman" w:cs="Times New Roman"/>
          <w:sz w:val="24"/>
          <w:szCs w:val="24"/>
        </w:rPr>
        <w:t>unde:</w:t>
      </w:r>
    </w:p>
    <w:tbl>
      <w:tblPr>
        <w:tblW w:w="4455" w:type="pct"/>
        <w:tblLayout w:type="fixed"/>
        <w:tblCellMar>
          <w:left w:w="0" w:type="dxa"/>
          <w:right w:w="0" w:type="dxa"/>
        </w:tblCellMar>
        <w:tblLook w:val="04A0" w:firstRow="1" w:lastRow="0" w:firstColumn="1" w:lastColumn="0" w:noHBand="0" w:noVBand="1"/>
      </w:tblPr>
      <w:tblGrid>
        <w:gridCol w:w="1268"/>
        <w:gridCol w:w="329"/>
        <w:gridCol w:w="7728"/>
      </w:tblGrid>
      <w:tr w:rsidR="00CE7351" w:rsidRPr="00CE7351" w14:paraId="786CC7B7" w14:textId="77777777" w:rsidTr="00CE7351">
        <w:tc>
          <w:tcPr>
            <w:tcW w:w="1134" w:type="dxa"/>
            <w:hideMark/>
          </w:tcPr>
          <w:p w14:paraId="441BB42F" w14:textId="77777777" w:rsidR="00CE7351" w:rsidRPr="00CE7351" w:rsidRDefault="00CE7351" w:rsidP="00CE7351">
            <w:pPr>
              <w:rPr>
                <w:rFonts w:ascii="Times New Roman" w:hAnsi="Times New Roman" w:cs="Times New Roman"/>
                <w:sz w:val="24"/>
                <w:szCs w:val="24"/>
              </w:rPr>
            </w:pPr>
            <w:proofErr w:type="spellStart"/>
            <w:r w:rsidRPr="00CE7351">
              <w:rPr>
                <w:rFonts w:ascii="Times New Roman" w:hAnsi="Times New Roman" w:cs="Times New Roman"/>
                <w:sz w:val="24"/>
                <w:szCs w:val="24"/>
              </w:rPr>
              <w:t>LHefectiv</w:t>
            </w:r>
            <w:proofErr w:type="spellEnd"/>
          </w:p>
        </w:tc>
        <w:tc>
          <w:tcPr>
            <w:tcW w:w="294" w:type="dxa"/>
            <w:hideMark/>
          </w:tcPr>
          <w:p w14:paraId="75DC4158" w14:textId="77777777" w:rsidR="00CE7351" w:rsidRPr="00CE7351" w:rsidRDefault="00CE7351" w:rsidP="00CE7351">
            <w:pPr>
              <w:rPr>
                <w:rFonts w:ascii="Times New Roman" w:hAnsi="Times New Roman" w:cs="Times New Roman"/>
                <w:sz w:val="24"/>
                <w:szCs w:val="24"/>
              </w:rPr>
            </w:pPr>
            <w:r w:rsidRPr="00CE7351">
              <w:rPr>
                <w:rFonts w:ascii="Times New Roman" w:hAnsi="Times New Roman" w:cs="Times New Roman"/>
                <w:sz w:val="24"/>
                <w:szCs w:val="24"/>
              </w:rPr>
              <w:t>=</w:t>
            </w:r>
          </w:p>
        </w:tc>
        <w:tc>
          <w:tcPr>
            <w:tcW w:w="6908" w:type="dxa"/>
            <w:hideMark/>
          </w:tcPr>
          <w:p w14:paraId="1DC3B7BE" w14:textId="77777777" w:rsidR="00CE7351" w:rsidRPr="00CE7351" w:rsidRDefault="00CE7351" w:rsidP="00CE7351">
            <w:pPr>
              <w:rPr>
                <w:rFonts w:ascii="Times New Roman" w:hAnsi="Times New Roman" w:cs="Times New Roman"/>
                <w:sz w:val="24"/>
                <w:szCs w:val="24"/>
              </w:rPr>
            </w:pPr>
            <w:r w:rsidRPr="00CE7351">
              <w:rPr>
                <w:rFonts w:ascii="Times New Roman" w:hAnsi="Times New Roman" w:cs="Times New Roman"/>
                <w:sz w:val="24"/>
                <w:szCs w:val="24"/>
              </w:rPr>
              <w:t>orizontul de lichiditate efectiv;</w:t>
            </w:r>
          </w:p>
        </w:tc>
      </w:tr>
    </w:tbl>
    <w:p w14:paraId="0036B391" w14:textId="77777777" w:rsidR="00CE7351" w:rsidRPr="00CE7351" w:rsidRDefault="00CE7351" w:rsidP="00CE7351">
      <w:pPr>
        <w:rPr>
          <w:rFonts w:ascii="Times New Roman" w:hAnsi="Times New Roman" w:cs="Times New Roman"/>
          <w:vanish/>
          <w:sz w:val="24"/>
          <w:szCs w:val="24"/>
        </w:rPr>
      </w:pPr>
    </w:p>
    <w:tbl>
      <w:tblPr>
        <w:tblW w:w="9072" w:type="dxa"/>
        <w:tblLayout w:type="fixed"/>
        <w:tblCellMar>
          <w:left w:w="0" w:type="dxa"/>
          <w:right w:w="0" w:type="dxa"/>
        </w:tblCellMar>
        <w:tblLook w:val="04A0" w:firstRow="1" w:lastRow="0" w:firstColumn="1" w:lastColumn="0" w:noHBand="0" w:noVBand="1"/>
      </w:tblPr>
      <w:tblGrid>
        <w:gridCol w:w="470"/>
        <w:gridCol w:w="121"/>
        <w:gridCol w:w="8481"/>
      </w:tblGrid>
      <w:tr w:rsidR="00CE7351" w:rsidRPr="00CE7351" w14:paraId="1BE14F72" w14:textId="77777777" w:rsidTr="00CE7351">
        <w:tc>
          <w:tcPr>
            <w:tcW w:w="470" w:type="dxa"/>
            <w:hideMark/>
          </w:tcPr>
          <w:p w14:paraId="4D936D5C" w14:textId="77777777" w:rsidR="00CE7351" w:rsidRPr="00CE7351" w:rsidRDefault="00CE7351" w:rsidP="00CE7351">
            <w:pPr>
              <w:rPr>
                <w:rFonts w:ascii="Times New Roman" w:hAnsi="Times New Roman" w:cs="Times New Roman"/>
                <w:sz w:val="24"/>
                <w:szCs w:val="24"/>
              </w:rPr>
            </w:pPr>
            <w:r w:rsidRPr="00CE7351">
              <w:rPr>
                <w:rFonts w:ascii="Times New Roman" w:hAnsi="Times New Roman" w:cs="Times New Roman"/>
                <w:sz w:val="24"/>
                <w:szCs w:val="24"/>
              </w:rPr>
              <w:t>Mat</w:t>
            </w:r>
          </w:p>
        </w:tc>
        <w:tc>
          <w:tcPr>
            <w:tcW w:w="121" w:type="dxa"/>
            <w:hideMark/>
          </w:tcPr>
          <w:p w14:paraId="2BD7384B" w14:textId="77777777" w:rsidR="00CE7351" w:rsidRPr="00CE7351" w:rsidRDefault="00CE7351" w:rsidP="00CE7351">
            <w:pPr>
              <w:rPr>
                <w:rFonts w:ascii="Times New Roman" w:hAnsi="Times New Roman" w:cs="Times New Roman"/>
                <w:sz w:val="24"/>
                <w:szCs w:val="24"/>
              </w:rPr>
            </w:pPr>
            <w:r w:rsidRPr="00CE7351">
              <w:rPr>
                <w:rFonts w:ascii="Times New Roman" w:hAnsi="Times New Roman" w:cs="Times New Roman"/>
                <w:sz w:val="24"/>
                <w:szCs w:val="24"/>
              </w:rPr>
              <w:t>=</w:t>
            </w:r>
          </w:p>
        </w:tc>
        <w:tc>
          <w:tcPr>
            <w:tcW w:w="8481" w:type="dxa"/>
            <w:hideMark/>
          </w:tcPr>
          <w:p w14:paraId="7A975D40" w14:textId="4939E81B" w:rsidR="00CE7351" w:rsidRPr="00CE7351" w:rsidRDefault="006640B5" w:rsidP="00CE7351">
            <w:pPr>
              <w:rPr>
                <w:rFonts w:ascii="Times New Roman" w:hAnsi="Times New Roman" w:cs="Times New Roman"/>
                <w:sz w:val="24"/>
                <w:szCs w:val="24"/>
              </w:rPr>
            </w:pPr>
            <w:r>
              <w:rPr>
                <w:rFonts w:ascii="Times New Roman" w:hAnsi="Times New Roman" w:cs="Times New Roman"/>
                <w:sz w:val="24"/>
                <w:szCs w:val="24"/>
              </w:rPr>
              <w:t xml:space="preserve"> </w:t>
            </w:r>
            <w:r w:rsidR="00CE7351" w:rsidRPr="00CE7351">
              <w:rPr>
                <w:rFonts w:ascii="Times New Roman" w:hAnsi="Times New Roman" w:cs="Times New Roman"/>
                <w:sz w:val="24"/>
                <w:szCs w:val="24"/>
              </w:rPr>
              <w:t>scadența poziției din portofoliul de tranzacționare;</w:t>
            </w:r>
          </w:p>
        </w:tc>
      </w:tr>
    </w:tbl>
    <w:p w14:paraId="2DB1912C" w14:textId="77777777" w:rsidR="00CE7351" w:rsidRPr="00CE7351" w:rsidRDefault="00CE7351" w:rsidP="00CE7351">
      <w:pPr>
        <w:rPr>
          <w:rFonts w:ascii="Times New Roman" w:hAnsi="Times New Roman" w:cs="Times New Roman"/>
          <w:vanish/>
          <w:sz w:val="24"/>
          <w:szCs w:val="24"/>
        </w:rPr>
      </w:pPr>
    </w:p>
    <w:tbl>
      <w:tblPr>
        <w:tblW w:w="9072" w:type="dxa"/>
        <w:tblLayout w:type="fixed"/>
        <w:tblCellMar>
          <w:left w:w="0" w:type="dxa"/>
          <w:right w:w="0" w:type="dxa"/>
        </w:tblCellMar>
        <w:tblLook w:val="04A0" w:firstRow="1" w:lastRow="0" w:firstColumn="1" w:lastColumn="0" w:noHBand="0" w:noVBand="1"/>
      </w:tblPr>
      <w:tblGrid>
        <w:gridCol w:w="1037"/>
        <w:gridCol w:w="76"/>
        <w:gridCol w:w="7959"/>
      </w:tblGrid>
      <w:tr w:rsidR="00CE7351" w:rsidRPr="00CE7351" w14:paraId="00021CA3" w14:textId="77777777" w:rsidTr="00CE7351">
        <w:tc>
          <w:tcPr>
            <w:tcW w:w="1037" w:type="dxa"/>
            <w:hideMark/>
          </w:tcPr>
          <w:p w14:paraId="101B06C6" w14:textId="77777777" w:rsidR="00CE7351" w:rsidRPr="00CE7351" w:rsidRDefault="00CE7351" w:rsidP="00CE7351">
            <w:pPr>
              <w:rPr>
                <w:rFonts w:ascii="Times New Roman" w:hAnsi="Times New Roman" w:cs="Times New Roman"/>
                <w:sz w:val="24"/>
                <w:szCs w:val="24"/>
              </w:rPr>
            </w:pPr>
            <w:proofErr w:type="spellStart"/>
            <w:r w:rsidRPr="00CE7351">
              <w:rPr>
                <w:rFonts w:ascii="Times New Roman" w:hAnsi="Times New Roman" w:cs="Times New Roman"/>
                <w:sz w:val="24"/>
                <w:szCs w:val="24"/>
              </w:rPr>
              <w:t>SubCatLH</w:t>
            </w:r>
            <w:proofErr w:type="spellEnd"/>
          </w:p>
        </w:tc>
        <w:tc>
          <w:tcPr>
            <w:tcW w:w="76" w:type="dxa"/>
            <w:hideMark/>
          </w:tcPr>
          <w:p w14:paraId="77DF9FD6" w14:textId="77777777" w:rsidR="00CE7351" w:rsidRPr="00CE7351" w:rsidRDefault="00CE7351" w:rsidP="00CE7351">
            <w:pPr>
              <w:rPr>
                <w:rFonts w:ascii="Times New Roman" w:hAnsi="Times New Roman" w:cs="Times New Roman"/>
                <w:sz w:val="24"/>
                <w:szCs w:val="24"/>
              </w:rPr>
            </w:pPr>
            <w:r w:rsidRPr="00CE7351">
              <w:rPr>
                <w:rFonts w:ascii="Times New Roman" w:hAnsi="Times New Roman" w:cs="Times New Roman"/>
                <w:sz w:val="24"/>
                <w:szCs w:val="24"/>
              </w:rPr>
              <w:t>=</w:t>
            </w:r>
          </w:p>
        </w:tc>
        <w:tc>
          <w:tcPr>
            <w:tcW w:w="7959" w:type="dxa"/>
            <w:hideMark/>
          </w:tcPr>
          <w:p w14:paraId="5903C0A3" w14:textId="77777777" w:rsidR="00CE7351" w:rsidRPr="00CE7351" w:rsidRDefault="00CE7351" w:rsidP="00CE7351">
            <w:pPr>
              <w:rPr>
                <w:rFonts w:ascii="Times New Roman" w:hAnsi="Times New Roman" w:cs="Times New Roman"/>
                <w:sz w:val="24"/>
                <w:szCs w:val="24"/>
              </w:rPr>
            </w:pPr>
            <w:r w:rsidRPr="00CE7351">
              <w:rPr>
                <w:rFonts w:ascii="Times New Roman" w:hAnsi="Times New Roman" w:cs="Times New Roman"/>
                <w:sz w:val="24"/>
                <w:szCs w:val="24"/>
              </w:rPr>
              <w:t>lungimea orizontului de lichiditate al factorului de risc modelabil, determinată în conformitate cu pct.353; și</w:t>
            </w:r>
          </w:p>
        </w:tc>
      </w:tr>
    </w:tbl>
    <w:p w14:paraId="6C115082" w14:textId="77777777" w:rsidR="00CE7351" w:rsidRPr="00CE7351" w:rsidRDefault="00CE7351" w:rsidP="00CE7351">
      <w:pPr>
        <w:rPr>
          <w:rFonts w:ascii="Times New Roman" w:hAnsi="Times New Roman" w:cs="Times New Roman"/>
          <w:vanish/>
          <w:sz w:val="24"/>
          <w:szCs w:val="24"/>
        </w:rPr>
      </w:pPr>
    </w:p>
    <w:tbl>
      <w:tblPr>
        <w:tblW w:w="5001" w:type="pct"/>
        <w:tblLayout w:type="fixed"/>
        <w:tblCellMar>
          <w:left w:w="0" w:type="dxa"/>
          <w:right w:w="0" w:type="dxa"/>
        </w:tblCellMar>
        <w:tblLook w:val="04A0" w:firstRow="1" w:lastRow="0" w:firstColumn="1" w:lastColumn="0" w:noHBand="0" w:noVBand="1"/>
      </w:tblPr>
      <w:tblGrid>
        <w:gridCol w:w="2538"/>
        <w:gridCol w:w="144"/>
        <w:gridCol w:w="7786"/>
      </w:tblGrid>
      <w:tr w:rsidR="00CE7351" w:rsidRPr="00CE7351" w14:paraId="59DF6FAA" w14:textId="77777777" w:rsidTr="006640B5">
        <w:tc>
          <w:tcPr>
            <w:tcW w:w="2268" w:type="dxa"/>
            <w:hideMark/>
          </w:tcPr>
          <w:p w14:paraId="6F4A8D60" w14:textId="77777777" w:rsidR="00CE7351" w:rsidRPr="00CE7351" w:rsidRDefault="00CE7351" w:rsidP="00CE7351">
            <w:pPr>
              <w:rPr>
                <w:rFonts w:ascii="Times New Roman" w:hAnsi="Times New Roman" w:cs="Times New Roman"/>
                <w:sz w:val="24"/>
                <w:szCs w:val="24"/>
              </w:rPr>
            </w:pPr>
            <w:proofErr w:type="spellStart"/>
            <w:r w:rsidRPr="00CE7351">
              <w:rPr>
                <w:rFonts w:ascii="Times New Roman" w:hAnsi="Times New Roman" w:cs="Times New Roman"/>
                <w:sz w:val="24"/>
                <w:szCs w:val="24"/>
              </w:rPr>
              <w:t>min</w:t>
            </w:r>
            <w:r w:rsidRPr="00CE7351">
              <w:rPr>
                <w:rFonts w:ascii="Times New Roman" w:hAnsi="Times New Roman" w:cs="Times New Roman"/>
                <w:sz w:val="24"/>
                <w:szCs w:val="24"/>
                <w:vertAlign w:val="subscript"/>
              </w:rPr>
              <w:t>j</w:t>
            </w:r>
            <w:proofErr w:type="spellEnd"/>
            <w:r w:rsidRPr="00CE7351">
              <w:rPr>
                <w:rFonts w:ascii="Times New Roman" w:hAnsi="Times New Roman" w:cs="Times New Roman"/>
                <w:sz w:val="24"/>
                <w:szCs w:val="24"/>
              </w:rPr>
              <w:t> {</w:t>
            </w:r>
            <w:proofErr w:type="spellStart"/>
            <w:r w:rsidRPr="00CE7351">
              <w:rPr>
                <w:rFonts w:ascii="Times New Roman" w:hAnsi="Times New Roman" w:cs="Times New Roman"/>
                <w:sz w:val="24"/>
                <w:szCs w:val="24"/>
              </w:rPr>
              <w:t>LH</w:t>
            </w:r>
            <w:r w:rsidRPr="00CE7351">
              <w:rPr>
                <w:rFonts w:ascii="Times New Roman" w:hAnsi="Times New Roman" w:cs="Times New Roman"/>
                <w:sz w:val="24"/>
                <w:szCs w:val="24"/>
                <w:vertAlign w:val="subscript"/>
              </w:rPr>
              <w:t>j</w:t>
            </w:r>
            <w:proofErr w:type="spellEnd"/>
            <w:r w:rsidRPr="00CE7351">
              <w:rPr>
                <w:rFonts w:ascii="Times New Roman" w:hAnsi="Times New Roman" w:cs="Times New Roman"/>
                <w:sz w:val="24"/>
                <w:szCs w:val="24"/>
              </w:rPr>
              <w:t>/</w:t>
            </w:r>
            <w:proofErr w:type="spellStart"/>
            <w:r w:rsidRPr="00CE7351">
              <w:rPr>
                <w:rFonts w:ascii="Times New Roman" w:hAnsi="Times New Roman" w:cs="Times New Roman"/>
                <w:sz w:val="24"/>
                <w:szCs w:val="24"/>
              </w:rPr>
              <w:t>LH</w:t>
            </w:r>
            <w:r w:rsidRPr="00CE7351">
              <w:rPr>
                <w:rFonts w:ascii="Times New Roman" w:hAnsi="Times New Roman" w:cs="Times New Roman"/>
                <w:sz w:val="24"/>
                <w:szCs w:val="24"/>
                <w:vertAlign w:val="subscript"/>
              </w:rPr>
              <w:t>j</w:t>
            </w:r>
            <w:proofErr w:type="spellEnd"/>
            <w:r w:rsidRPr="00CE7351">
              <w:rPr>
                <w:rFonts w:ascii="Times New Roman" w:hAnsi="Times New Roman" w:cs="Times New Roman"/>
                <w:sz w:val="24"/>
                <w:szCs w:val="24"/>
              </w:rPr>
              <w:t> ≥ Mat}</w:t>
            </w:r>
          </w:p>
        </w:tc>
        <w:tc>
          <w:tcPr>
            <w:tcW w:w="129" w:type="dxa"/>
            <w:hideMark/>
          </w:tcPr>
          <w:p w14:paraId="1A1E9722" w14:textId="77777777" w:rsidR="00CE7351" w:rsidRPr="00CE7351" w:rsidRDefault="00CE7351" w:rsidP="00CE7351">
            <w:pPr>
              <w:rPr>
                <w:rFonts w:ascii="Times New Roman" w:hAnsi="Times New Roman" w:cs="Times New Roman"/>
                <w:sz w:val="24"/>
                <w:szCs w:val="24"/>
              </w:rPr>
            </w:pPr>
            <w:r w:rsidRPr="00CE7351">
              <w:rPr>
                <w:rFonts w:ascii="Times New Roman" w:hAnsi="Times New Roman" w:cs="Times New Roman"/>
                <w:sz w:val="24"/>
                <w:szCs w:val="24"/>
              </w:rPr>
              <w:t>=</w:t>
            </w:r>
          </w:p>
        </w:tc>
        <w:tc>
          <w:tcPr>
            <w:tcW w:w="6960" w:type="dxa"/>
            <w:hideMark/>
          </w:tcPr>
          <w:p w14:paraId="2298C58D" w14:textId="77777777" w:rsidR="00CE7351" w:rsidRPr="00CE7351" w:rsidRDefault="00CE7351" w:rsidP="00CE7351">
            <w:pPr>
              <w:rPr>
                <w:rFonts w:ascii="Times New Roman" w:hAnsi="Times New Roman" w:cs="Times New Roman"/>
                <w:sz w:val="24"/>
                <w:szCs w:val="24"/>
              </w:rPr>
            </w:pPr>
            <w:r w:rsidRPr="00CE7351">
              <w:rPr>
                <w:rFonts w:ascii="Times New Roman" w:hAnsi="Times New Roman" w:cs="Times New Roman"/>
                <w:sz w:val="24"/>
                <w:szCs w:val="24"/>
              </w:rPr>
              <w:t>lungimea unuia dintre orizonturile de lichiditate enumerate în tabelul 1 de la subsecțiunea 2 care este primul orizont de lichiditate situat peste nivelul scadenței poziției din portofoliul de tranzacționare.</w:t>
            </w:r>
          </w:p>
        </w:tc>
      </w:tr>
    </w:tbl>
    <w:p w14:paraId="4C600FAB" w14:textId="077AD0B4" w:rsidR="00CE7351" w:rsidRDefault="006640B5" w:rsidP="00CE7351">
      <w:pPr>
        <w:rPr>
          <w:rFonts w:ascii="Times New Roman" w:hAnsi="Times New Roman" w:cs="Times New Roman"/>
          <w:sz w:val="24"/>
          <w:szCs w:val="24"/>
        </w:rPr>
      </w:pPr>
      <w:r w:rsidRPr="006640B5">
        <w:rPr>
          <w:rFonts w:ascii="Times New Roman" w:hAnsi="Times New Roman" w:cs="Times New Roman"/>
          <w:sz w:val="24"/>
          <w:szCs w:val="24"/>
        </w:rPr>
        <w:t>358. Perechile de monede care sunt formate din euro și moneda unui stat membru, alta decât moneda euro, care participă la MCS II sunt incluse în subcategoria celor mai lichide perechi de monede din categoria generală de factori de risc „Schimb valutar” din tabelul 2.</w:t>
      </w:r>
    </w:p>
    <w:p w14:paraId="154F4D7D" w14:textId="1E5C7B4B" w:rsidR="006640B5" w:rsidRDefault="006640B5" w:rsidP="00CE7351">
      <w:pPr>
        <w:rPr>
          <w:rFonts w:ascii="Times New Roman" w:hAnsi="Times New Roman" w:cs="Times New Roman"/>
          <w:sz w:val="24"/>
          <w:szCs w:val="24"/>
        </w:rPr>
      </w:pPr>
      <w:r w:rsidRPr="006640B5">
        <w:rPr>
          <w:rFonts w:ascii="Times New Roman" w:hAnsi="Times New Roman" w:cs="Times New Roman"/>
          <w:sz w:val="24"/>
          <w:szCs w:val="24"/>
        </w:rPr>
        <w:t>359.   Monedele statelor membre care participă la MCS II sunt incluse în subcategoria celor mai lichide monede și monedei naționale din categoria generală de factori de risc „Rata dobânzii” din tabelul 2.</w:t>
      </w:r>
    </w:p>
    <w:p w14:paraId="5532BF6F" w14:textId="16E6F6B2" w:rsidR="006640B5" w:rsidRDefault="006640B5" w:rsidP="00CE7351">
      <w:pPr>
        <w:rPr>
          <w:rFonts w:ascii="Times New Roman" w:hAnsi="Times New Roman" w:cs="Times New Roman"/>
          <w:sz w:val="24"/>
          <w:szCs w:val="24"/>
        </w:rPr>
      </w:pPr>
      <w:r w:rsidRPr="006640B5">
        <w:rPr>
          <w:rFonts w:ascii="Times New Roman" w:hAnsi="Times New Roman" w:cs="Times New Roman"/>
          <w:sz w:val="24"/>
          <w:szCs w:val="24"/>
        </w:rPr>
        <w:t>360.   O bancă verifică cel puțin o dată pe lună dacă încadrarea menționată la pct.353 este adecvată.</w:t>
      </w:r>
    </w:p>
    <w:p w14:paraId="7F35552B" w14:textId="221FAF56" w:rsidR="006640B5" w:rsidRPr="006640B5" w:rsidRDefault="006640B5" w:rsidP="006640B5">
      <w:pPr>
        <w:rPr>
          <w:rFonts w:ascii="Times New Roman" w:hAnsi="Times New Roman" w:cs="Times New Roman"/>
          <w:sz w:val="24"/>
          <w:szCs w:val="24"/>
        </w:rPr>
      </w:pPr>
      <w:r w:rsidRPr="006640B5">
        <w:rPr>
          <w:rFonts w:ascii="Times New Roman" w:hAnsi="Times New Roman" w:cs="Times New Roman"/>
          <w:sz w:val="24"/>
          <w:szCs w:val="24"/>
        </w:rPr>
        <w:t>361.   Anexa nr.</w:t>
      </w:r>
      <w:r w:rsidR="003050FA">
        <w:rPr>
          <w:rFonts w:ascii="Times New Roman" w:hAnsi="Times New Roman" w:cs="Times New Roman"/>
          <w:sz w:val="24"/>
          <w:szCs w:val="24"/>
        </w:rPr>
        <w:t>4</w:t>
      </w:r>
      <w:r w:rsidRPr="006640B5">
        <w:rPr>
          <w:rFonts w:ascii="Times New Roman" w:hAnsi="Times New Roman" w:cs="Times New Roman"/>
          <w:sz w:val="24"/>
          <w:szCs w:val="24"/>
        </w:rPr>
        <w:t xml:space="preserve"> stabilește:</w:t>
      </w:r>
    </w:p>
    <w:p w14:paraId="3C113E4B" w14:textId="79CAD8BD" w:rsidR="006640B5" w:rsidRPr="006640B5" w:rsidRDefault="006640B5" w:rsidP="006640B5">
      <w:pPr>
        <w:rPr>
          <w:rFonts w:ascii="Times New Roman" w:hAnsi="Times New Roman" w:cs="Times New Roman"/>
          <w:sz w:val="24"/>
          <w:szCs w:val="24"/>
        </w:rPr>
      </w:pPr>
      <w:r w:rsidRPr="006640B5">
        <w:rPr>
          <w:rFonts w:ascii="Times New Roman" w:hAnsi="Times New Roman" w:cs="Times New Roman"/>
          <w:sz w:val="24"/>
          <w:szCs w:val="24"/>
        </w:rPr>
        <w:t>361.1. modul în care băncile încadrează factorii de risc ai pozițiilor menționate la</w:t>
      </w:r>
      <w:r w:rsidR="00704537">
        <w:rPr>
          <w:rFonts w:ascii="Times New Roman" w:hAnsi="Times New Roman" w:cs="Times New Roman"/>
          <w:sz w:val="24"/>
          <w:szCs w:val="24"/>
        </w:rPr>
        <w:t xml:space="preserve"> </w:t>
      </w:r>
      <w:r w:rsidRPr="006640B5">
        <w:rPr>
          <w:rFonts w:ascii="Times New Roman" w:hAnsi="Times New Roman" w:cs="Times New Roman"/>
          <w:sz w:val="24"/>
          <w:szCs w:val="24"/>
        </w:rPr>
        <w:t>pct.353 în categoriile generale de factori de risc și în subcategoriile generale de factori de risc în sensulpct.353;</w:t>
      </w:r>
    </w:p>
    <w:p w14:paraId="7C8F9DD5" w14:textId="77777777" w:rsidR="006640B5" w:rsidRPr="006640B5" w:rsidRDefault="006640B5" w:rsidP="006640B5">
      <w:pPr>
        <w:rPr>
          <w:rFonts w:ascii="Times New Roman" w:hAnsi="Times New Roman" w:cs="Times New Roman"/>
          <w:sz w:val="24"/>
          <w:szCs w:val="24"/>
        </w:rPr>
      </w:pPr>
      <w:r w:rsidRPr="006640B5">
        <w:rPr>
          <w:rFonts w:ascii="Times New Roman" w:hAnsi="Times New Roman" w:cs="Times New Roman"/>
          <w:sz w:val="24"/>
          <w:szCs w:val="24"/>
        </w:rPr>
        <w:lastRenderedPageBreak/>
        <w:t>361.2. ce monede constituie subcategoria „Cele mai lichide monede” din categoria generală de factori de risc „Rata dobânzii” din tabelul 2;</w:t>
      </w:r>
    </w:p>
    <w:p w14:paraId="2CA6E55F" w14:textId="77777777" w:rsidR="006640B5" w:rsidRPr="006640B5" w:rsidRDefault="006640B5" w:rsidP="006640B5">
      <w:pPr>
        <w:rPr>
          <w:rFonts w:ascii="Times New Roman" w:hAnsi="Times New Roman" w:cs="Times New Roman"/>
          <w:sz w:val="24"/>
          <w:szCs w:val="24"/>
        </w:rPr>
      </w:pPr>
      <w:r w:rsidRPr="006640B5">
        <w:rPr>
          <w:rFonts w:ascii="Times New Roman" w:hAnsi="Times New Roman" w:cs="Times New Roman"/>
          <w:sz w:val="24"/>
          <w:szCs w:val="24"/>
        </w:rPr>
        <w:t>361.3. ce perechi de monede constituie subcategoria „Cele mai lichide perechi de monede” a categoriei generale de factori de risc „Schimb valutar” din tabelul 2;</w:t>
      </w:r>
    </w:p>
    <w:p w14:paraId="19BA440E" w14:textId="77777777" w:rsidR="006640B5" w:rsidRPr="006640B5" w:rsidRDefault="006640B5" w:rsidP="006640B5">
      <w:pPr>
        <w:rPr>
          <w:rFonts w:ascii="Times New Roman" w:hAnsi="Times New Roman" w:cs="Times New Roman"/>
          <w:sz w:val="24"/>
          <w:szCs w:val="24"/>
        </w:rPr>
      </w:pPr>
      <w:r w:rsidRPr="006640B5">
        <w:rPr>
          <w:rFonts w:ascii="Times New Roman" w:hAnsi="Times New Roman" w:cs="Times New Roman"/>
          <w:sz w:val="24"/>
          <w:szCs w:val="24"/>
        </w:rPr>
        <w:t>361.4. definițiile capitalizării de piață scăzute și a capitalizării de piață ridicate în scopul subcategoriei „Prețul titlurilor de capital” și „Volatilitate” a categoriei de factori de risc de devalorizare pentru „Titluri de capital” din tabelul 2.</w:t>
      </w:r>
    </w:p>
    <w:p w14:paraId="19D19F0F" w14:textId="77777777" w:rsidR="006640B5" w:rsidRPr="006640B5" w:rsidRDefault="006640B5" w:rsidP="006640B5">
      <w:pPr>
        <w:rPr>
          <w:rFonts w:ascii="Times New Roman" w:hAnsi="Times New Roman" w:cs="Times New Roman"/>
          <w:sz w:val="24"/>
          <w:szCs w:val="24"/>
        </w:rPr>
      </w:pPr>
      <w:r w:rsidRPr="006640B5">
        <w:rPr>
          <w:rFonts w:ascii="Times New Roman" w:hAnsi="Times New Roman" w:cs="Times New Roman"/>
          <w:sz w:val="24"/>
          <w:szCs w:val="24"/>
        </w:rPr>
        <w:t>Băncile încadrează factorii de risc în orizonturi de lichiditate din tabelul 2 în conformitate cu prevederile prezentei subsecțiuni.</w:t>
      </w:r>
    </w:p>
    <w:p w14:paraId="19CFD15A" w14:textId="77777777" w:rsidR="006640B5" w:rsidRPr="006640B5" w:rsidRDefault="006640B5" w:rsidP="006640B5">
      <w:pPr>
        <w:rPr>
          <w:rFonts w:ascii="Times New Roman" w:hAnsi="Times New Roman" w:cs="Times New Roman"/>
          <w:b/>
          <w:bCs/>
          <w:sz w:val="24"/>
          <w:szCs w:val="24"/>
        </w:rPr>
      </w:pPr>
      <w:r w:rsidRPr="006640B5">
        <w:rPr>
          <w:rFonts w:ascii="Times New Roman" w:hAnsi="Times New Roman" w:cs="Times New Roman"/>
          <w:b/>
          <w:bCs/>
          <w:i/>
          <w:iCs/>
          <w:sz w:val="24"/>
          <w:szCs w:val="24"/>
        </w:rPr>
        <w:t>Tabelul 2</w:t>
      </w:r>
    </w:p>
    <w:tbl>
      <w:tblPr>
        <w:tblW w:w="863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85"/>
        <w:gridCol w:w="4961"/>
        <w:gridCol w:w="1415"/>
        <w:gridCol w:w="1275"/>
      </w:tblGrid>
      <w:tr w:rsidR="006640B5" w:rsidRPr="006640B5" w14:paraId="5DCBB42D" w14:textId="77777777" w:rsidTr="000B71C4">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91E2DD" w14:textId="77777777" w:rsidR="006640B5" w:rsidRPr="006640B5" w:rsidRDefault="006640B5" w:rsidP="006640B5">
            <w:pPr>
              <w:spacing w:after="0" w:line="276" w:lineRule="auto"/>
              <w:jc w:val="both"/>
              <w:rPr>
                <w:rFonts w:ascii="Times New Roman" w:hAnsi="Times New Roman" w:cs="Times New Roman"/>
                <w:b/>
                <w:bCs/>
                <w:color w:val="000000" w:themeColor="text1"/>
                <w:kern w:val="0"/>
                <w14:ligatures w14:val="none"/>
              </w:rPr>
            </w:pPr>
            <w:r w:rsidRPr="006640B5">
              <w:rPr>
                <w:rFonts w:ascii="Times New Roman" w:hAnsi="Times New Roman" w:cs="Times New Roman"/>
                <w:b/>
                <w:bCs/>
                <w:color w:val="000000" w:themeColor="text1"/>
                <w:kern w:val="0"/>
                <w14:ligatures w14:val="none"/>
              </w:rPr>
              <w:t>Categorii generale de factori de risc</w:t>
            </w: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B90B76" w14:textId="77777777" w:rsidR="006640B5" w:rsidRPr="006640B5" w:rsidRDefault="006640B5" w:rsidP="006640B5">
            <w:pPr>
              <w:spacing w:after="0" w:line="276" w:lineRule="auto"/>
              <w:jc w:val="both"/>
              <w:rPr>
                <w:rFonts w:ascii="Times New Roman" w:hAnsi="Times New Roman" w:cs="Times New Roman"/>
                <w:b/>
                <w:bCs/>
                <w:color w:val="000000" w:themeColor="text1"/>
                <w:kern w:val="0"/>
                <w14:ligatures w14:val="none"/>
              </w:rPr>
            </w:pPr>
            <w:r w:rsidRPr="006640B5">
              <w:rPr>
                <w:rFonts w:ascii="Times New Roman" w:hAnsi="Times New Roman" w:cs="Times New Roman"/>
                <w:b/>
                <w:bCs/>
                <w:color w:val="000000" w:themeColor="text1"/>
                <w:kern w:val="0"/>
                <w14:ligatures w14:val="none"/>
              </w:rPr>
              <w:t>Subcategorii generale de factori de risc</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F952CE" w14:textId="77777777" w:rsidR="006640B5" w:rsidRPr="006640B5" w:rsidRDefault="006640B5" w:rsidP="006640B5">
            <w:pPr>
              <w:spacing w:after="0" w:line="276" w:lineRule="auto"/>
              <w:ind w:hanging="7"/>
              <w:jc w:val="both"/>
              <w:rPr>
                <w:rFonts w:ascii="Times New Roman" w:hAnsi="Times New Roman" w:cs="Times New Roman"/>
                <w:b/>
                <w:bCs/>
                <w:color w:val="000000" w:themeColor="text1"/>
                <w:kern w:val="0"/>
                <w14:ligatures w14:val="none"/>
              </w:rPr>
            </w:pPr>
            <w:r w:rsidRPr="006640B5">
              <w:rPr>
                <w:rFonts w:ascii="Times New Roman" w:hAnsi="Times New Roman" w:cs="Times New Roman"/>
                <w:b/>
                <w:bCs/>
                <w:color w:val="000000" w:themeColor="text1"/>
                <w:kern w:val="0"/>
                <w14:ligatures w14:val="none"/>
              </w:rPr>
              <w:t>Orizonturi de lichiditate</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EA97BB" w14:textId="77777777" w:rsidR="006640B5" w:rsidRPr="006640B5" w:rsidRDefault="006640B5" w:rsidP="006640B5">
            <w:pPr>
              <w:spacing w:after="0" w:line="276" w:lineRule="auto"/>
              <w:jc w:val="both"/>
              <w:rPr>
                <w:rFonts w:ascii="Times New Roman" w:hAnsi="Times New Roman" w:cs="Times New Roman"/>
                <w:b/>
                <w:bCs/>
                <w:color w:val="000000" w:themeColor="text1"/>
                <w:kern w:val="0"/>
                <w14:ligatures w14:val="none"/>
              </w:rPr>
            </w:pPr>
            <w:r w:rsidRPr="006640B5">
              <w:rPr>
                <w:rFonts w:ascii="Times New Roman" w:hAnsi="Times New Roman" w:cs="Times New Roman"/>
                <w:b/>
                <w:bCs/>
                <w:color w:val="000000" w:themeColor="text1"/>
                <w:kern w:val="0"/>
                <w14:ligatures w14:val="none"/>
              </w:rPr>
              <w:t>Lungimea orizontului de lichiditate (în zile)</w:t>
            </w:r>
          </w:p>
        </w:tc>
      </w:tr>
      <w:tr w:rsidR="006640B5" w:rsidRPr="006640B5" w14:paraId="13D4B070" w14:textId="77777777" w:rsidTr="000B71C4">
        <w:trPr>
          <w:jc w:val="center"/>
        </w:trPr>
        <w:tc>
          <w:tcPr>
            <w:tcW w:w="98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CC1AFB"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Rata dobânzii</w:t>
            </w: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33F9F5"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Cele mai lichide monede și moneda națională</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08FFB2"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1</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464BBF"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10</w:t>
            </w:r>
          </w:p>
        </w:tc>
      </w:tr>
      <w:tr w:rsidR="006640B5" w:rsidRPr="006640B5" w14:paraId="7875EC6D"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61816831"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86FFC9"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Alte monede (excluzând monedele cele mai lichide)</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0F8FA6"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2</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068DAC"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20</w:t>
            </w:r>
          </w:p>
        </w:tc>
      </w:tr>
      <w:tr w:rsidR="006640B5" w:rsidRPr="006640B5" w14:paraId="58A21030"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5EFC15D8"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DEF03D"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Volatilitate</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B315CD"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4</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581173"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60</w:t>
            </w:r>
          </w:p>
        </w:tc>
      </w:tr>
      <w:tr w:rsidR="006640B5" w:rsidRPr="006640B5" w14:paraId="250DC565"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5C53F01B"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2F2084"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Alte tipuri</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FF2039"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4</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84145B"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60</w:t>
            </w:r>
          </w:p>
        </w:tc>
      </w:tr>
      <w:tr w:rsidR="006640B5" w:rsidRPr="006640B5" w14:paraId="3F0C2052" w14:textId="77777777" w:rsidTr="000B71C4">
        <w:trPr>
          <w:jc w:val="center"/>
        </w:trPr>
        <w:tc>
          <w:tcPr>
            <w:tcW w:w="98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5A8178"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Marjă de credit</w:t>
            </w: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25A0E6"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Administrația centrală a statelor membre, inclusiv băncile centrale</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9A7C42"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2</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9DCE9D"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20</w:t>
            </w:r>
          </w:p>
        </w:tc>
      </w:tr>
      <w:tr w:rsidR="006640B5" w:rsidRPr="006640B5" w14:paraId="3FFAAE9F"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4F40C7F9"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4481AA"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Obligațiuni garantate emise de instituțiile de credit din statele membre (categoria „</w:t>
            </w:r>
            <w:proofErr w:type="spellStart"/>
            <w:r w:rsidRPr="006640B5">
              <w:rPr>
                <w:rFonts w:ascii="Times New Roman" w:hAnsi="Times New Roman" w:cs="Times New Roman"/>
                <w:color w:val="000000" w:themeColor="text1"/>
                <w:kern w:val="0"/>
                <w14:ligatures w14:val="none"/>
              </w:rPr>
              <w:t>investment</w:t>
            </w:r>
            <w:proofErr w:type="spellEnd"/>
            <w:r w:rsidRPr="006640B5">
              <w:rPr>
                <w:rFonts w:ascii="Times New Roman" w:hAnsi="Times New Roman" w:cs="Times New Roman"/>
                <w:color w:val="000000" w:themeColor="text1"/>
                <w:kern w:val="0"/>
                <w14:ligatures w14:val="none"/>
              </w:rPr>
              <w:t xml:space="preserve"> grade”)</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2F00F1"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2</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440183"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20</w:t>
            </w:r>
          </w:p>
        </w:tc>
      </w:tr>
      <w:tr w:rsidR="006640B5" w:rsidRPr="006640B5" w14:paraId="0965450D"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0F09CDCD"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28E241"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Entități suverane (categoria „</w:t>
            </w:r>
            <w:proofErr w:type="spellStart"/>
            <w:r w:rsidRPr="006640B5">
              <w:rPr>
                <w:rFonts w:ascii="Times New Roman" w:hAnsi="Times New Roman" w:cs="Times New Roman"/>
                <w:color w:val="000000" w:themeColor="text1"/>
                <w:kern w:val="0"/>
                <w14:ligatures w14:val="none"/>
              </w:rPr>
              <w:t>investment</w:t>
            </w:r>
            <w:proofErr w:type="spellEnd"/>
            <w:r w:rsidRPr="006640B5">
              <w:rPr>
                <w:rFonts w:ascii="Times New Roman" w:hAnsi="Times New Roman" w:cs="Times New Roman"/>
                <w:color w:val="000000" w:themeColor="text1"/>
                <w:kern w:val="0"/>
                <w14:ligatures w14:val="none"/>
              </w:rPr>
              <w:t xml:space="preserve"> grade”)</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7C949A"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2</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5DD29A"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20</w:t>
            </w:r>
          </w:p>
        </w:tc>
      </w:tr>
      <w:tr w:rsidR="006640B5" w:rsidRPr="006640B5" w14:paraId="675A7886"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0D16B4CE"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22F557"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Entități suverane (categoria „</w:t>
            </w:r>
            <w:proofErr w:type="spellStart"/>
            <w:r w:rsidRPr="006640B5">
              <w:rPr>
                <w:rFonts w:ascii="Times New Roman" w:hAnsi="Times New Roman" w:cs="Times New Roman"/>
                <w:color w:val="000000" w:themeColor="text1"/>
                <w:kern w:val="0"/>
                <w14:ligatures w14:val="none"/>
              </w:rPr>
              <w:t>high</w:t>
            </w:r>
            <w:proofErr w:type="spellEnd"/>
            <w:r w:rsidRPr="006640B5">
              <w:rPr>
                <w:rFonts w:ascii="Times New Roman" w:hAnsi="Times New Roman" w:cs="Times New Roman"/>
                <w:color w:val="000000" w:themeColor="text1"/>
                <w:kern w:val="0"/>
                <w14:ligatures w14:val="none"/>
              </w:rPr>
              <w:t xml:space="preserve"> </w:t>
            </w:r>
            <w:proofErr w:type="spellStart"/>
            <w:r w:rsidRPr="006640B5">
              <w:rPr>
                <w:rFonts w:ascii="Times New Roman" w:hAnsi="Times New Roman" w:cs="Times New Roman"/>
                <w:color w:val="000000" w:themeColor="text1"/>
                <w:kern w:val="0"/>
                <w14:ligatures w14:val="none"/>
              </w:rPr>
              <w:t>yield</w:t>
            </w:r>
            <w:proofErr w:type="spellEnd"/>
            <w:r w:rsidRPr="006640B5">
              <w:rPr>
                <w:rFonts w:ascii="Times New Roman" w:hAnsi="Times New Roman" w:cs="Times New Roman"/>
                <w:color w:val="000000" w:themeColor="text1"/>
                <w:kern w:val="0"/>
                <w14:ligatures w14:val="none"/>
              </w:rPr>
              <w:t>”)</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2ACE6A"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3</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3DA11B"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40</w:t>
            </w:r>
          </w:p>
        </w:tc>
      </w:tr>
      <w:tr w:rsidR="006640B5" w:rsidRPr="006640B5" w14:paraId="33F3815E"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14CEA637"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CB5748"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Societăți (categoria „</w:t>
            </w:r>
            <w:proofErr w:type="spellStart"/>
            <w:r w:rsidRPr="006640B5">
              <w:rPr>
                <w:rFonts w:ascii="Times New Roman" w:hAnsi="Times New Roman" w:cs="Times New Roman"/>
                <w:color w:val="000000" w:themeColor="text1"/>
                <w:kern w:val="0"/>
                <w14:ligatures w14:val="none"/>
              </w:rPr>
              <w:t>investment</w:t>
            </w:r>
            <w:proofErr w:type="spellEnd"/>
            <w:r w:rsidRPr="006640B5">
              <w:rPr>
                <w:rFonts w:ascii="Times New Roman" w:hAnsi="Times New Roman" w:cs="Times New Roman"/>
                <w:color w:val="000000" w:themeColor="text1"/>
                <w:kern w:val="0"/>
                <w14:ligatures w14:val="none"/>
              </w:rPr>
              <w:t xml:space="preserve"> grade”)</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E0540D"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3</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0549F8"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40</w:t>
            </w:r>
          </w:p>
        </w:tc>
      </w:tr>
      <w:tr w:rsidR="006640B5" w:rsidRPr="006640B5" w14:paraId="7F7AD8B6"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1FB6B78F"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ACBC92"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Societăți (categoria „</w:t>
            </w:r>
            <w:proofErr w:type="spellStart"/>
            <w:r w:rsidRPr="006640B5">
              <w:rPr>
                <w:rFonts w:ascii="Times New Roman" w:hAnsi="Times New Roman" w:cs="Times New Roman"/>
                <w:color w:val="000000" w:themeColor="text1"/>
                <w:kern w:val="0"/>
                <w14:ligatures w14:val="none"/>
              </w:rPr>
              <w:t>high</w:t>
            </w:r>
            <w:proofErr w:type="spellEnd"/>
            <w:r w:rsidRPr="006640B5">
              <w:rPr>
                <w:rFonts w:ascii="Times New Roman" w:hAnsi="Times New Roman" w:cs="Times New Roman"/>
                <w:color w:val="000000" w:themeColor="text1"/>
                <w:kern w:val="0"/>
                <w14:ligatures w14:val="none"/>
              </w:rPr>
              <w:t xml:space="preserve"> </w:t>
            </w:r>
            <w:proofErr w:type="spellStart"/>
            <w:r w:rsidRPr="006640B5">
              <w:rPr>
                <w:rFonts w:ascii="Times New Roman" w:hAnsi="Times New Roman" w:cs="Times New Roman"/>
                <w:color w:val="000000" w:themeColor="text1"/>
                <w:kern w:val="0"/>
                <w14:ligatures w14:val="none"/>
              </w:rPr>
              <w:t>yield</w:t>
            </w:r>
            <w:proofErr w:type="spellEnd"/>
            <w:r w:rsidRPr="006640B5">
              <w:rPr>
                <w:rFonts w:ascii="Times New Roman" w:hAnsi="Times New Roman" w:cs="Times New Roman"/>
                <w:color w:val="000000" w:themeColor="text1"/>
                <w:kern w:val="0"/>
                <w14:ligatures w14:val="none"/>
              </w:rPr>
              <w:t>”)</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CAFBC9"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4</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2A4A8C"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60</w:t>
            </w:r>
          </w:p>
        </w:tc>
      </w:tr>
      <w:tr w:rsidR="006640B5" w:rsidRPr="006640B5" w14:paraId="0627343F"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26D8C7FD"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7CF0C7"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Volatilitate</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2DE128"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5</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236D5C"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120</w:t>
            </w:r>
          </w:p>
        </w:tc>
      </w:tr>
      <w:tr w:rsidR="006640B5" w:rsidRPr="006640B5" w14:paraId="15BBFC0C"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290C15DA"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AF122D"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Alte tipuri</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593B37"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5</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4171EB"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120</w:t>
            </w:r>
          </w:p>
        </w:tc>
      </w:tr>
      <w:tr w:rsidR="006640B5" w:rsidRPr="006640B5" w14:paraId="6B4067A8" w14:textId="77777777" w:rsidTr="000B71C4">
        <w:trPr>
          <w:jc w:val="center"/>
        </w:trPr>
        <w:tc>
          <w:tcPr>
            <w:tcW w:w="98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C10A42"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Titluri de capital</w:t>
            </w: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B38521"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Prețul titlurilor de capital (capitalizare de piață ridicată)</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072631"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1</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511286"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10</w:t>
            </w:r>
          </w:p>
        </w:tc>
      </w:tr>
      <w:tr w:rsidR="006640B5" w:rsidRPr="006640B5" w14:paraId="115EB677"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20D59517"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C54CFA"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Prețul titlurilor de capital (capitalizare de piață scăzută)</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26E071"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2</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7D5626"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20</w:t>
            </w:r>
          </w:p>
        </w:tc>
      </w:tr>
      <w:tr w:rsidR="006640B5" w:rsidRPr="006640B5" w14:paraId="095B509B"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798AB1B8"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D0CC6A"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Volatilitate (capitalizare de piață ridicată)</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3EDFFD"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2</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23D2D0"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20</w:t>
            </w:r>
          </w:p>
        </w:tc>
      </w:tr>
      <w:tr w:rsidR="006640B5" w:rsidRPr="006640B5" w14:paraId="3A9A49DD"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0F2FF206"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648DFF"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Volatilitate (capitalizare de piață scăzută)</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A843DB"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4</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4008B1"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60</w:t>
            </w:r>
          </w:p>
        </w:tc>
      </w:tr>
      <w:tr w:rsidR="006640B5" w:rsidRPr="006640B5" w14:paraId="18D33155"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4C107BC6"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6948A0"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Alte tipuri</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13F8F7"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4</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430994"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60</w:t>
            </w:r>
          </w:p>
        </w:tc>
      </w:tr>
      <w:tr w:rsidR="006640B5" w:rsidRPr="006640B5" w14:paraId="6E74FC72" w14:textId="77777777" w:rsidTr="000B71C4">
        <w:trPr>
          <w:jc w:val="center"/>
        </w:trPr>
        <w:tc>
          <w:tcPr>
            <w:tcW w:w="98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18570D"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Schimb valutar</w:t>
            </w: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D0915F"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Cele mai lichide perechi de monede</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65C8E6"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1</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D8DBCC"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10</w:t>
            </w:r>
          </w:p>
        </w:tc>
      </w:tr>
      <w:tr w:rsidR="006640B5" w:rsidRPr="006640B5" w14:paraId="7AB29680"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19058B5E"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C042A2"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Alte perechi de monede (excluzând cele mai lichide perechi de monede)</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C8FE24"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2</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CA9B3F"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20</w:t>
            </w:r>
          </w:p>
        </w:tc>
      </w:tr>
      <w:tr w:rsidR="006640B5" w:rsidRPr="006640B5" w14:paraId="2E23F16D"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3044ABCE"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7FC8B0"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Volatilitate</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42F363"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3</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7FE292"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40</w:t>
            </w:r>
          </w:p>
        </w:tc>
      </w:tr>
      <w:tr w:rsidR="006640B5" w:rsidRPr="006640B5" w14:paraId="76FCD8A8"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33F1BC23"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CB66E0"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Alte tipuri</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368940"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3</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3C28FA"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40</w:t>
            </w:r>
          </w:p>
        </w:tc>
      </w:tr>
      <w:tr w:rsidR="006640B5" w:rsidRPr="006640B5" w14:paraId="670345DD" w14:textId="77777777" w:rsidTr="000B71C4">
        <w:trPr>
          <w:jc w:val="center"/>
        </w:trPr>
        <w:tc>
          <w:tcPr>
            <w:tcW w:w="98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109D11"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Marfă</w:t>
            </w: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666EB7"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Prețul energiei și prețul emisiilor de dioxid de carbon</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B23EA5"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2</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1A0374"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20</w:t>
            </w:r>
          </w:p>
        </w:tc>
      </w:tr>
      <w:tr w:rsidR="006640B5" w:rsidRPr="006640B5" w14:paraId="50125EBF"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039C2F7E"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D6A016"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Prețul metalelor prețioase și prețul metalelor neferoase</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C81F04"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2</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5AD10A"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20</w:t>
            </w:r>
          </w:p>
        </w:tc>
      </w:tr>
      <w:tr w:rsidR="006640B5" w:rsidRPr="006640B5" w14:paraId="0DE067DD"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6BC9B7CD"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9D1B53"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Prețurile altor mărfuri (excluzând prețul energiei, prețul emisiilor de dioxid de carbon, prețul metalelor prețioase și prețul metalelor neferoase)</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2E0FB4"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4</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1D29FC"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60</w:t>
            </w:r>
          </w:p>
        </w:tc>
      </w:tr>
      <w:tr w:rsidR="006640B5" w:rsidRPr="006640B5" w14:paraId="291D43AB"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74FD4F6A"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DC9650"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Volatilitatea energiei și volatilitatea emisiilor de dioxid de carbon</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7F37D5"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4</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8DA5C4"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60</w:t>
            </w:r>
          </w:p>
        </w:tc>
      </w:tr>
      <w:tr w:rsidR="006640B5" w:rsidRPr="006640B5" w14:paraId="6F535743"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62B9CD70"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0B251F"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Volatilitatea metalelor prețioase și volatilitatea metalelor neferoase</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9BCB28"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4</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CDC6E1"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60</w:t>
            </w:r>
          </w:p>
        </w:tc>
      </w:tr>
      <w:tr w:rsidR="006640B5" w:rsidRPr="006640B5" w14:paraId="514F8F3F"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6B47A803"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0572E7"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Volatilitatea altor mărfuri (excluzând volatilitatea energiei, volatilitatea emisiilor de dioxid de carbon, volatilitatea metalelor prețioase și volatilitatea metalelor neferoase)</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15CC7A"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5</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5245E0"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120</w:t>
            </w:r>
          </w:p>
        </w:tc>
      </w:tr>
      <w:tr w:rsidR="006640B5" w:rsidRPr="006640B5" w14:paraId="2B49240D" w14:textId="77777777" w:rsidTr="000B71C4">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74373ACD"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p>
        </w:tc>
        <w:tc>
          <w:tcPr>
            <w:tcW w:w="496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D7BF4A"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Alte tipuri</w:t>
            </w:r>
          </w:p>
        </w:tc>
        <w:tc>
          <w:tcPr>
            <w:tcW w:w="14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D23441"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5</w:t>
            </w:r>
          </w:p>
        </w:tc>
        <w:tc>
          <w:tcPr>
            <w:tcW w:w="127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2B6832" w14:textId="77777777" w:rsidR="006640B5" w:rsidRPr="006640B5" w:rsidRDefault="006640B5" w:rsidP="006640B5">
            <w:pPr>
              <w:spacing w:after="0" w:line="276" w:lineRule="auto"/>
              <w:jc w:val="both"/>
              <w:rPr>
                <w:rFonts w:ascii="Times New Roman" w:hAnsi="Times New Roman" w:cs="Times New Roman"/>
                <w:color w:val="000000" w:themeColor="text1"/>
                <w:kern w:val="0"/>
                <w14:ligatures w14:val="none"/>
              </w:rPr>
            </w:pPr>
            <w:r w:rsidRPr="006640B5">
              <w:rPr>
                <w:rFonts w:ascii="Times New Roman" w:hAnsi="Times New Roman" w:cs="Times New Roman"/>
                <w:color w:val="000000" w:themeColor="text1"/>
                <w:kern w:val="0"/>
                <w14:ligatures w14:val="none"/>
              </w:rPr>
              <w:t>120</w:t>
            </w:r>
          </w:p>
        </w:tc>
      </w:tr>
    </w:tbl>
    <w:p w14:paraId="770013AA" w14:textId="77777777" w:rsidR="006640B5" w:rsidRDefault="006640B5" w:rsidP="00CE7351">
      <w:pPr>
        <w:rPr>
          <w:rFonts w:ascii="Times New Roman" w:hAnsi="Times New Roman" w:cs="Times New Roman"/>
          <w:sz w:val="24"/>
          <w:szCs w:val="24"/>
        </w:rPr>
      </w:pPr>
    </w:p>
    <w:p w14:paraId="5469A2B9" w14:textId="6CB36945" w:rsidR="000E62FD" w:rsidRPr="00CC1E9B" w:rsidRDefault="000B44B0" w:rsidP="004340D9">
      <w:pPr>
        <w:rPr>
          <w:rFonts w:ascii="Times New Roman" w:hAnsi="Times New Roman" w:cs="Times New Roman"/>
          <w:b/>
          <w:bCs/>
          <w:i/>
          <w:iCs/>
          <w:sz w:val="24"/>
          <w:szCs w:val="24"/>
          <w:lang w:val="ro-RO"/>
        </w:rPr>
      </w:pPr>
      <w:bookmarkStart w:id="57" w:name="_Hlk195098792"/>
      <w:r w:rsidRPr="00CC1E9B">
        <w:rPr>
          <w:rFonts w:ascii="Times New Roman" w:hAnsi="Times New Roman" w:cs="Times New Roman"/>
          <w:b/>
          <w:bCs/>
          <w:i/>
          <w:iCs/>
          <w:sz w:val="24"/>
          <w:szCs w:val="24"/>
        </w:rPr>
        <w:t>Subsecțiunea 4. Evaluarea gradului în care factorii de risc pot fi modelați</w:t>
      </w:r>
      <w:bookmarkEnd w:id="57"/>
    </w:p>
    <w:p w14:paraId="4DAADB3D" w14:textId="0D10C1E8" w:rsidR="000B44B0" w:rsidRDefault="000B44B0" w:rsidP="000B44B0">
      <w:pPr>
        <w:rPr>
          <w:rFonts w:ascii="Times New Roman" w:hAnsi="Times New Roman" w:cs="Times New Roman"/>
          <w:sz w:val="24"/>
          <w:szCs w:val="24"/>
        </w:rPr>
      </w:pPr>
      <w:r w:rsidRPr="000B44B0">
        <w:rPr>
          <w:rFonts w:ascii="Times New Roman" w:hAnsi="Times New Roman" w:cs="Times New Roman"/>
          <w:sz w:val="24"/>
          <w:szCs w:val="24"/>
        </w:rPr>
        <w:t>362.   Băncile evaluează gradul în care pot fi modelați toți factorii de risc aferenți pozițiilor atribuite birourilor de tranzacționare pentru care au primit aprobarea astfel cum se menționează la</w:t>
      </w:r>
      <w:r w:rsidR="0009113F">
        <w:rPr>
          <w:rFonts w:ascii="Times New Roman" w:hAnsi="Times New Roman" w:cs="Times New Roman"/>
          <w:sz w:val="24"/>
          <w:szCs w:val="24"/>
        </w:rPr>
        <w:t xml:space="preserve"> </w:t>
      </w:r>
      <w:r w:rsidR="00796822">
        <w:rPr>
          <w:rFonts w:ascii="Times New Roman" w:hAnsi="Times New Roman" w:cs="Times New Roman"/>
          <w:sz w:val="24"/>
          <w:szCs w:val="24"/>
        </w:rPr>
        <w:t>pct.331</w:t>
      </w:r>
      <w:r w:rsidRPr="000B44B0">
        <w:rPr>
          <w:rFonts w:ascii="Times New Roman" w:hAnsi="Times New Roman" w:cs="Times New Roman"/>
          <w:sz w:val="24"/>
          <w:szCs w:val="24"/>
        </w:rPr>
        <w:t xml:space="preserve"> sau pentru care aprobarea respectivă este în curs de a fi acordată.</w:t>
      </w:r>
    </w:p>
    <w:p w14:paraId="4B80FC84" w14:textId="6883DF40" w:rsidR="000B44B0" w:rsidRDefault="000B44B0" w:rsidP="000B44B0">
      <w:pPr>
        <w:rPr>
          <w:rFonts w:ascii="Times New Roman" w:hAnsi="Times New Roman" w:cs="Times New Roman"/>
          <w:sz w:val="24"/>
          <w:szCs w:val="24"/>
        </w:rPr>
      </w:pPr>
      <w:r w:rsidRPr="000B44B0">
        <w:rPr>
          <w:rFonts w:ascii="Times New Roman" w:hAnsi="Times New Roman" w:cs="Times New Roman"/>
          <w:sz w:val="24"/>
          <w:szCs w:val="24"/>
        </w:rPr>
        <w:t>363. În scopul evaluării menționate la pct.362, BNM poate autoriza băncile să utilizeze date de piață puse la dispoziție de furnizori terți.</w:t>
      </w:r>
    </w:p>
    <w:p w14:paraId="23ADEB88" w14:textId="175B004F" w:rsidR="000B44B0" w:rsidRPr="000B44B0" w:rsidRDefault="000B44B0" w:rsidP="000B44B0">
      <w:pPr>
        <w:rPr>
          <w:rFonts w:ascii="Times New Roman" w:hAnsi="Times New Roman" w:cs="Times New Roman"/>
          <w:sz w:val="24"/>
          <w:szCs w:val="24"/>
        </w:rPr>
      </w:pPr>
      <w:r w:rsidRPr="00A665D9">
        <w:rPr>
          <w:rFonts w:ascii="Times New Roman" w:hAnsi="Times New Roman" w:cs="Times New Roman"/>
          <w:sz w:val="24"/>
          <w:szCs w:val="24"/>
        </w:rPr>
        <w:t>364.</w:t>
      </w:r>
      <w:r w:rsidRPr="000B44B0">
        <w:rPr>
          <w:rFonts w:ascii="Times New Roman" w:hAnsi="Times New Roman" w:cs="Times New Roman"/>
          <w:sz w:val="24"/>
          <w:szCs w:val="24"/>
        </w:rPr>
        <w:t xml:space="preserve"> BNM pot impune unei bănci să considere nemodelabil un factor de risc care a fost evaluat ca modelabil de bancă în conformitate cu pct.362, în cazul în care datele de intrare utilizate pentru a determina scenariile unor șocuri viitoare aplicate factorului de risc nu îndeplinesc, într-un mod considerat satisfăcător de BNM, </w:t>
      </w:r>
      <w:r w:rsidR="00486623" w:rsidRPr="00486623">
        <w:rPr>
          <w:rFonts w:ascii="Times New Roman" w:hAnsi="Times New Roman" w:cs="Times New Roman"/>
          <w:sz w:val="24"/>
          <w:szCs w:val="24"/>
        </w:rPr>
        <w:t>criteriile de utilizare a datelor de intrare în modelul de măsurare a </w:t>
      </w:r>
      <w:r w:rsidR="00486623" w:rsidRPr="00101345">
        <w:rPr>
          <w:rFonts w:ascii="Times New Roman" w:hAnsi="Times New Roman" w:cs="Times New Roman"/>
          <w:sz w:val="24"/>
          <w:szCs w:val="24"/>
        </w:rPr>
        <w:t>riscurilor</w:t>
      </w:r>
      <w:r w:rsidRPr="00101345">
        <w:rPr>
          <w:rFonts w:ascii="Times New Roman" w:hAnsi="Times New Roman" w:cs="Times New Roman"/>
          <w:sz w:val="24"/>
          <w:szCs w:val="24"/>
        </w:rPr>
        <w:t>.</w:t>
      </w:r>
    </w:p>
    <w:p w14:paraId="22F6D6B4" w14:textId="18D18813" w:rsidR="000E62FD" w:rsidRDefault="000B44B0" w:rsidP="004340D9">
      <w:pPr>
        <w:rPr>
          <w:rFonts w:ascii="Times New Roman" w:hAnsi="Times New Roman" w:cs="Times New Roman"/>
          <w:sz w:val="24"/>
          <w:szCs w:val="24"/>
        </w:rPr>
      </w:pPr>
      <w:r w:rsidRPr="000B44B0">
        <w:rPr>
          <w:rFonts w:ascii="Times New Roman" w:hAnsi="Times New Roman" w:cs="Times New Roman"/>
          <w:sz w:val="24"/>
          <w:szCs w:val="24"/>
        </w:rPr>
        <w:t>365.   În cadrul evaluării menționate la pct.362, băncile calculează cerințele de fonduri proprii pentru riscul de piață în conformitate cu subsecțiunea 10 pentru factorii de risc care nu sunt modelabili.</w:t>
      </w:r>
    </w:p>
    <w:p w14:paraId="74C02567" w14:textId="77777777" w:rsidR="000B44B0" w:rsidRPr="000B44B0" w:rsidRDefault="000B44B0" w:rsidP="000B44B0">
      <w:pPr>
        <w:rPr>
          <w:rFonts w:ascii="Times New Roman" w:hAnsi="Times New Roman" w:cs="Times New Roman"/>
          <w:sz w:val="24"/>
          <w:szCs w:val="24"/>
        </w:rPr>
      </w:pPr>
      <w:r w:rsidRPr="000B44B0">
        <w:rPr>
          <w:rFonts w:ascii="Times New Roman" w:hAnsi="Times New Roman" w:cs="Times New Roman"/>
          <w:sz w:val="24"/>
          <w:szCs w:val="24"/>
        </w:rPr>
        <w:t>366.  În circumstanțe extraordinare, care apar în perioade de reducere semnificativă a anumitor activități de tranzacționare de pe piețele financiare, BNM poate permite băncilor care utilizează abordarea prevăzută în prezentul capitol să considere modelabili factori de risc care au fost evaluați ca nemodelabili de către băncile respective în conformitate cu pct.362, cu condiția să fie îndeplinite următoarele condiții:</w:t>
      </w:r>
    </w:p>
    <w:p w14:paraId="0A67E32C" w14:textId="77777777" w:rsidR="000B44B0" w:rsidRPr="000B44B0" w:rsidRDefault="000B44B0" w:rsidP="000B44B0">
      <w:pPr>
        <w:rPr>
          <w:rFonts w:ascii="Times New Roman" w:hAnsi="Times New Roman" w:cs="Times New Roman"/>
          <w:sz w:val="24"/>
          <w:szCs w:val="24"/>
        </w:rPr>
      </w:pPr>
      <w:r w:rsidRPr="000B44B0">
        <w:rPr>
          <w:rFonts w:ascii="Times New Roman" w:hAnsi="Times New Roman" w:cs="Times New Roman"/>
          <w:sz w:val="24"/>
          <w:szCs w:val="24"/>
        </w:rPr>
        <w:t>366.1. factorii de risc care fac obiectul tratamentului corespund activităților de tranzacționare care sunt reduse în mod semnificativ pe piețele financiare;</w:t>
      </w:r>
    </w:p>
    <w:p w14:paraId="4E82C11C" w14:textId="77777777" w:rsidR="000B44B0" w:rsidRPr="000B44B0" w:rsidRDefault="000B44B0" w:rsidP="000B44B0">
      <w:pPr>
        <w:rPr>
          <w:rFonts w:ascii="Times New Roman" w:hAnsi="Times New Roman" w:cs="Times New Roman"/>
          <w:sz w:val="24"/>
          <w:szCs w:val="24"/>
        </w:rPr>
      </w:pPr>
      <w:r w:rsidRPr="000B44B0">
        <w:rPr>
          <w:rFonts w:ascii="Times New Roman" w:hAnsi="Times New Roman" w:cs="Times New Roman"/>
          <w:sz w:val="24"/>
          <w:szCs w:val="24"/>
        </w:rPr>
        <w:t>366.2. tratamentul este aplicat temporar și nu mai mult de șase luni în cursul unui exercițiu financiar;</w:t>
      </w:r>
    </w:p>
    <w:p w14:paraId="09373CDF" w14:textId="77777777" w:rsidR="000B44B0" w:rsidRPr="000B44B0" w:rsidRDefault="000B44B0" w:rsidP="000B44B0">
      <w:pPr>
        <w:rPr>
          <w:rFonts w:ascii="Times New Roman" w:hAnsi="Times New Roman" w:cs="Times New Roman"/>
          <w:sz w:val="24"/>
          <w:szCs w:val="24"/>
        </w:rPr>
      </w:pPr>
      <w:r w:rsidRPr="000B44B0">
        <w:rPr>
          <w:rFonts w:ascii="Times New Roman" w:hAnsi="Times New Roman" w:cs="Times New Roman"/>
          <w:sz w:val="24"/>
          <w:szCs w:val="24"/>
        </w:rPr>
        <w:t>366.3. tratamentul nu reduce în mod semnificativ cerințele de fonduri proprii totale pentru riscul de piață ale băncilor care îl aplică;</w:t>
      </w:r>
    </w:p>
    <w:p w14:paraId="36AF0F87" w14:textId="2726E77E" w:rsidR="000E62FD" w:rsidRDefault="000B44B0" w:rsidP="000B44B0">
      <w:pPr>
        <w:rPr>
          <w:rFonts w:ascii="Times New Roman" w:hAnsi="Times New Roman" w:cs="Times New Roman"/>
          <w:sz w:val="24"/>
          <w:szCs w:val="24"/>
        </w:rPr>
      </w:pPr>
      <w:r w:rsidRPr="00101345">
        <w:rPr>
          <w:rFonts w:ascii="Times New Roman" w:hAnsi="Times New Roman" w:cs="Times New Roman"/>
          <w:sz w:val="24"/>
          <w:szCs w:val="24"/>
        </w:rPr>
        <w:t>366.4. BNM notifică imediat ABE orice decizie prin care se permite băncilor să aplice abordarea prevăzută în prezentul capitol pentru a considera modelabili unii factori de risc care au fost evaluați ca fiind nemodelabili, precum și activitățile de tranzacționare în cauză, și își motivează decizia.</w:t>
      </w:r>
    </w:p>
    <w:p w14:paraId="60B25C8C" w14:textId="08A707D2" w:rsidR="000B44B0" w:rsidRPr="00CC1E9B" w:rsidRDefault="000B44B0" w:rsidP="000B44B0">
      <w:pPr>
        <w:rPr>
          <w:rFonts w:ascii="Times New Roman" w:hAnsi="Times New Roman" w:cs="Times New Roman"/>
          <w:b/>
          <w:bCs/>
          <w:i/>
          <w:iCs/>
          <w:sz w:val="24"/>
          <w:szCs w:val="24"/>
        </w:rPr>
      </w:pPr>
      <w:bookmarkStart w:id="58" w:name="_Hlk195098820"/>
      <w:r w:rsidRPr="00CC1E9B">
        <w:rPr>
          <w:rFonts w:ascii="Times New Roman" w:hAnsi="Times New Roman" w:cs="Times New Roman"/>
          <w:b/>
          <w:bCs/>
          <w:i/>
          <w:iCs/>
          <w:sz w:val="24"/>
          <w:szCs w:val="24"/>
        </w:rPr>
        <w:t>Subsecțiunea 5. Cerințe de reglementare privind testarea ex post și factori de multiplicare</w:t>
      </w:r>
      <w:bookmarkEnd w:id="58"/>
    </w:p>
    <w:p w14:paraId="7A7FDFAB" w14:textId="77777777" w:rsidR="000B44B0" w:rsidRPr="000B44B0" w:rsidRDefault="000B44B0" w:rsidP="000B44B0">
      <w:pPr>
        <w:rPr>
          <w:rFonts w:ascii="Times New Roman" w:hAnsi="Times New Roman" w:cs="Times New Roman"/>
          <w:sz w:val="24"/>
          <w:szCs w:val="24"/>
        </w:rPr>
      </w:pPr>
      <w:r w:rsidRPr="000B44B0">
        <w:rPr>
          <w:rFonts w:ascii="Times New Roman" w:hAnsi="Times New Roman" w:cs="Times New Roman"/>
          <w:sz w:val="24"/>
          <w:szCs w:val="24"/>
        </w:rPr>
        <w:t>367.   În sensul prezentei subsecțiuni, „depășire” înseamnă o variație de o zi în valoarea unui portofoliu alcătuit din toate pozițiile atribuite biroului de tranzacționare care depășește nivelul valorii la risc aferente, calculat pe baza modelului intern alternativ al băncii în conformitate cu următoarele cerințe:</w:t>
      </w:r>
    </w:p>
    <w:p w14:paraId="16B48A14" w14:textId="77777777" w:rsidR="000B44B0" w:rsidRPr="000B44B0" w:rsidRDefault="000B44B0" w:rsidP="000B44B0">
      <w:pPr>
        <w:rPr>
          <w:rFonts w:ascii="Times New Roman" w:hAnsi="Times New Roman" w:cs="Times New Roman"/>
          <w:sz w:val="24"/>
          <w:szCs w:val="24"/>
        </w:rPr>
      </w:pPr>
      <w:r w:rsidRPr="000B44B0">
        <w:rPr>
          <w:rFonts w:ascii="Times New Roman" w:hAnsi="Times New Roman" w:cs="Times New Roman"/>
          <w:sz w:val="24"/>
          <w:szCs w:val="24"/>
        </w:rPr>
        <w:lastRenderedPageBreak/>
        <w:t>367.1. calculul valorii la risc este supus unei perioade de deținere de o zi;</w:t>
      </w:r>
    </w:p>
    <w:p w14:paraId="2721DB7D" w14:textId="43D7E5F7" w:rsidR="000B44B0" w:rsidRPr="000B44B0" w:rsidRDefault="000B44B0" w:rsidP="000B44B0">
      <w:pPr>
        <w:rPr>
          <w:rFonts w:ascii="Times New Roman" w:hAnsi="Times New Roman" w:cs="Times New Roman"/>
          <w:sz w:val="24"/>
          <w:szCs w:val="24"/>
        </w:rPr>
      </w:pPr>
      <w:r w:rsidRPr="000B44B0">
        <w:rPr>
          <w:rFonts w:ascii="Times New Roman" w:hAnsi="Times New Roman" w:cs="Times New Roman"/>
          <w:sz w:val="24"/>
          <w:szCs w:val="24"/>
        </w:rPr>
        <w:t xml:space="preserve">367.2. factorilor de risc aferenți pozițiilor biroului de tranzacționare menționați </w:t>
      </w:r>
      <w:r w:rsidRPr="00B1181D">
        <w:rPr>
          <w:rFonts w:ascii="Times New Roman" w:hAnsi="Times New Roman" w:cs="Times New Roman"/>
          <w:sz w:val="24"/>
          <w:szCs w:val="24"/>
        </w:rPr>
        <w:t xml:space="preserve">la </w:t>
      </w:r>
      <w:r w:rsidR="00B1181D" w:rsidRPr="00B1181D">
        <w:rPr>
          <w:rFonts w:ascii="Times New Roman" w:hAnsi="Times New Roman" w:cs="Times New Roman"/>
          <w:sz w:val="24"/>
          <w:szCs w:val="24"/>
        </w:rPr>
        <w:t>pct.379</w:t>
      </w:r>
      <w:r w:rsidRPr="00B1181D">
        <w:rPr>
          <w:rFonts w:ascii="Times New Roman" w:hAnsi="Times New Roman" w:cs="Times New Roman"/>
          <w:sz w:val="24"/>
          <w:szCs w:val="24"/>
        </w:rPr>
        <w:t xml:space="preserve"> care se consideră că sunt modelabili în conformitate cu subsecțiunea</w:t>
      </w:r>
      <w:r w:rsidRPr="000B44B0">
        <w:rPr>
          <w:rFonts w:ascii="Times New Roman" w:hAnsi="Times New Roman" w:cs="Times New Roman"/>
          <w:sz w:val="24"/>
          <w:szCs w:val="24"/>
        </w:rPr>
        <w:t xml:space="preserve"> 4 li se aplică scenarii ale unor șocuri viitoare;</w:t>
      </w:r>
    </w:p>
    <w:p w14:paraId="58EE030E" w14:textId="0C6D5DB1" w:rsidR="000B44B0" w:rsidRPr="000B44B0" w:rsidRDefault="000B44B0" w:rsidP="000B44B0">
      <w:pPr>
        <w:rPr>
          <w:rFonts w:ascii="Times New Roman" w:hAnsi="Times New Roman" w:cs="Times New Roman"/>
          <w:sz w:val="24"/>
          <w:szCs w:val="24"/>
        </w:rPr>
      </w:pPr>
      <w:r w:rsidRPr="000B44B0">
        <w:rPr>
          <w:rFonts w:ascii="Times New Roman" w:hAnsi="Times New Roman" w:cs="Times New Roman"/>
          <w:sz w:val="24"/>
          <w:szCs w:val="24"/>
        </w:rPr>
        <w:t>367.3. datele de intrare utilizate pentru a determina scenariile unor șocuri viitoare aplicate factorilor de risc modelabili sunt calibrate în raport cu datele istorice menționate la</w:t>
      </w:r>
      <w:r w:rsidR="0083411F">
        <w:rPr>
          <w:rFonts w:ascii="Times New Roman" w:hAnsi="Times New Roman" w:cs="Times New Roman"/>
          <w:sz w:val="24"/>
          <w:szCs w:val="24"/>
        </w:rPr>
        <w:t xml:space="preserve"> </w:t>
      </w:r>
      <w:r w:rsidR="00B1181D" w:rsidRPr="00CC1E9B">
        <w:rPr>
          <w:rFonts w:ascii="Times New Roman" w:hAnsi="Times New Roman" w:cs="Times New Roman"/>
          <w:sz w:val="24"/>
          <w:szCs w:val="24"/>
        </w:rPr>
        <w:t>subpct.351.3</w:t>
      </w:r>
      <w:r w:rsidRPr="00CC1E9B">
        <w:rPr>
          <w:rFonts w:ascii="Times New Roman" w:hAnsi="Times New Roman" w:cs="Times New Roman"/>
          <w:sz w:val="24"/>
          <w:szCs w:val="24"/>
        </w:rPr>
        <w:t>;</w:t>
      </w:r>
    </w:p>
    <w:p w14:paraId="77DD473F" w14:textId="5E1B5330" w:rsidR="000B44B0" w:rsidRPr="000B44B0" w:rsidRDefault="000B44B0" w:rsidP="000B44B0">
      <w:pPr>
        <w:rPr>
          <w:rFonts w:ascii="Times New Roman" w:hAnsi="Times New Roman" w:cs="Times New Roman"/>
          <w:sz w:val="24"/>
          <w:szCs w:val="24"/>
        </w:rPr>
      </w:pPr>
      <w:r w:rsidRPr="00D15258">
        <w:rPr>
          <w:rFonts w:ascii="Times New Roman" w:hAnsi="Times New Roman" w:cs="Times New Roman"/>
          <w:sz w:val="24"/>
          <w:szCs w:val="24"/>
        </w:rPr>
        <w:t>367.4. cu excepția cazului în care în prezenta subsecțiune se prevede altfel, modelul intern alternativ al băncii se bazează pe aceleași ipoteze de modelare ca și cele utilizate pentru calcularea măsurii valorii la risc condiționate menționate</w:t>
      </w:r>
      <w:r w:rsidRPr="000B44B0">
        <w:rPr>
          <w:rFonts w:ascii="Times New Roman" w:hAnsi="Times New Roman" w:cs="Times New Roman"/>
          <w:sz w:val="24"/>
          <w:szCs w:val="24"/>
        </w:rPr>
        <w:t xml:space="preserve"> la </w:t>
      </w:r>
      <w:r w:rsidR="00D15258" w:rsidRPr="00D15258">
        <w:rPr>
          <w:rFonts w:ascii="Times New Roman" w:hAnsi="Times New Roman" w:cs="Times New Roman"/>
          <w:sz w:val="24"/>
          <w:szCs w:val="24"/>
        </w:rPr>
        <w:t>subpct.339.1</w:t>
      </w:r>
      <w:r w:rsidRPr="00D15258">
        <w:rPr>
          <w:rFonts w:ascii="Times New Roman" w:hAnsi="Times New Roman" w:cs="Times New Roman"/>
          <w:sz w:val="24"/>
          <w:szCs w:val="24"/>
        </w:rPr>
        <w:t>.</w:t>
      </w:r>
    </w:p>
    <w:p w14:paraId="3BE4CF77" w14:textId="699D0926" w:rsidR="000E62FD" w:rsidRDefault="000B44B0" w:rsidP="004340D9">
      <w:pPr>
        <w:rPr>
          <w:rFonts w:ascii="Times New Roman" w:hAnsi="Times New Roman" w:cs="Times New Roman"/>
          <w:sz w:val="24"/>
          <w:szCs w:val="24"/>
        </w:rPr>
      </w:pPr>
      <w:r w:rsidRPr="000B44B0">
        <w:rPr>
          <w:rFonts w:ascii="Times New Roman" w:hAnsi="Times New Roman" w:cs="Times New Roman"/>
          <w:sz w:val="24"/>
          <w:szCs w:val="24"/>
        </w:rPr>
        <w:t>368.   Băncile contabilizează depășirile zilnice pe baza testării </w:t>
      </w:r>
      <w:r w:rsidRPr="000B44B0">
        <w:rPr>
          <w:rFonts w:ascii="Times New Roman" w:hAnsi="Times New Roman" w:cs="Times New Roman"/>
          <w:i/>
          <w:iCs/>
          <w:sz w:val="24"/>
          <w:szCs w:val="24"/>
        </w:rPr>
        <w:t>ex post</w:t>
      </w:r>
      <w:r w:rsidRPr="000B44B0">
        <w:rPr>
          <w:rFonts w:ascii="Times New Roman" w:hAnsi="Times New Roman" w:cs="Times New Roman"/>
          <w:sz w:val="24"/>
          <w:szCs w:val="24"/>
        </w:rPr>
        <w:t> a modificărilor ipotetice și efective ale valorii portofoliului alcătuit din toate pozițiile atribuite biroului de tranzacționare.</w:t>
      </w:r>
    </w:p>
    <w:p w14:paraId="7EA6C3FB" w14:textId="77777777" w:rsidR="000B44B0" w:rsidRPr="000B44B0" w:rsidRDefault="000B44B0" w:rsidP="000B44B0">
      <w:pPr>
        <w:rPr>
          <w:rFonts w:ascii="Times New Roman" w:hAnsi="Times New Roman" w:cs="Times New Roman"/>
          <w:sz w:val="24"/>
          <w:szCs w:val="24"/>
        </w:rPr>
      </w:pPr>
      <w:r w:rsidRPr="000B44B0">
        <w:rPr>
          <w:rFonts w:ascii="Times New Roman" w:hAnsi="Times New Roman" w:cs="Times New Roman"/>
          <w:sz w:val="24"/>
          <w:szCs w:val="24"/>
        </w:rPr>
        <w:t>369.   Se consideră că biroul de tranzacționare al unei bănci îndeplinește cerințele testării </w:t>
      </w:r>
      <w:r w:rsidRPr="000B44B0">
        <w:rPr>
          <w:rFonts w:ascii="Times New Roman" w:hAnsi="Times New Roman" w:cs="Times New Roman"/>
          <w:i/>
          <w:iCs/>
          <w:sz w:val="24"/>
          <w:szCs w:val="24"/>
        </w:rPr>
        <w:t>ex post</w:t>
      </w:r>
      <w:r w:rsidRPr="000B44B0">
        <w:rPr>
          <w:rFonts w:ascii="Times New Roman" w:hAnsi="Times New Roman" w:cs="Times New Roman"/>
          <w:sz w:val="24"/>
          <w:szCs w:val="24"/>
        </w:rPr>
        <w:t> atunci când numărul de depășiri pentru biroul de tranzacționare respectiv care au avut loc în ultimele 250 de zile lucrătoare nu depășește niciuna dintre următoarele:</w:t>
      </w:r>
    </w:p>
    <w:p w14:paraId="5EB9615A" w14:textId="77777777" w:rsidR="000B44B0" w:rsidRPr="000B44B0" w:rsidRDefault="000B44B0" w:rsidP="000B44B0">
      <w:pPr>
        <w:rPr>
          <w:rFonts w:ascii="Times New Roman" w:hAnsi="Times New Roman" w:cs="Times New Roman"/>
          <w:sz w:val="24"/>
          <w:szCs w:val="24"/>
        </w:rPr>
      </w:pPr>
      <w:r w:rsidRPr="000B44B0">
        <w:rPr>
          <w:rFonts w:ascii="Times New Roman" w:hAnsi="Times New Roman" w:cs="Times New Roman"/>
          <w:sz w:val="24"/>
          <w:szCs w:val="24"/>
        </w:rPr>
        <w:t>369.1. 12 depășiri pentru nivelul valorii la risc, calculat la un interval de încredere unilateral de 99 de centile pe baza testării </w:t>
      </w:r>
      <w:r w:rsidRPr="000B44B0">
        <w:rPr>
          <w:rFonts w:ascii="Times New Roman" w:hAnsi="Times New Roman" w:cs="Times New Roman"/>
          <w:i/>
          <w:iCs/>
          <w:sz w:val="24"/>
          <w:szCs w:val="24"/>
        </w:rPr>
        <w:t>ex post</w:t>
      </w:r>
      <w:r w:rsidRPr="000B44B0">
        <w:rPr>
          <w:rFonts w:ascii="Times New Roman" w:hAnsi="Times New Roman" w:cs="Times New Roman"/>
          <w:sz w:val="24"/>
          <w:szCs w:val="24"/>
        </w:rPr>
        <w:t> a modificărilor ipotetice ale valorii portofoliului;</w:t>
      </w:r>
    </w:p>
    <w:p w14:paraId="08D8AC90" w14:textId="77777777" w:rsidR="000B44B0" w:rsidRPr="000B44B0" w:rsidRDefault="000B44B0" w:rsidP="000B44B0">
      <w:pPr>
        <w:rPr>
          <w:rFonts w:ascii="Times New Roman" w:hAnsi="Times New Roman" w:cs="Times New Roman"/>
          <w:sz w:val="24"/>
          <w:szCs w:val="24"/>
        </w:rPr>
      </w:pPr>
      <w:r w:rsidRPr="000B44B0">
        <w:rPr>
          <w:rFonts w:ascii="Times New Roman" w:hAnsi="Times New Roman" w:cs="Times New Roman"/>
          <w:sz w:val="24"/>
          <w:szCs w:val="24"/>
        </w:rPr>
        <w:t>369.2. 12 depășiri pentru nivelul valorii la risc, calculat la un interval de încredere unilateral de 99 de centile pe baza testării </w:t>
      </w:r>
      <w:r w:rsidRPr="000B44B0">
        <w:rPr>
          <w:rFonts w:ascii="Times New Roman" w:hAnsi="Times New Roman" w:cs="Times New Roman"/>
          <w:i/>
          <w:iCs/>
          <w:sz w:val="24"/>
          <w:szCs w:val="24"/>
        </w:rPr>
        <w:t>ex post</w:t>
      </w:r>
      <w:r w:rsidRPr="000B44B0">
        <w:rPr>
          <w:rFonts w:ascii="Times New Roman" w:hAnsi="Times New Roman" w:cs="Times New Roman"/>
          <w:sz w:val="24"/>
          <w:szCs w:val="24"/>
        </w:rPr>
        <w:t> a modificărilor efective ale valorii portofoliului;</w:t>
      </w:r>
    </w:p>
    <w:p w14:paraId="7B60D53E" w14:textId="77777777" w:rsidR="000B44B0" w:rsidRPr="000B44B0" w:rsidRDefault="000B44B0" w:rsidP="000B44B0">
      <w:pPr>
        <w:rPr>
          <w:rFonts w:ascii="Times New Roman" w:hAnsi="Times New Roman" w:cs="Times New Roman"/>
          <w:sz w:val="24"/>
          <w:szCs w:val="24"/>
        </w:rPr>
      </w:pPr>
      <w:r w:rsidRPr="000B44B0">
        <w:rPr>
          <w:rFonts w:ascii="Times New Roman" w:hAnsi="Times New Roman" w:cs="Times New Roman"/>
          <w:sz w:val="24"/>
          <w:szCs w:val="24"/>
        </w:rPr>
        <w:t>369.3. 30 de depășiri pentru nivelul valorii la risc, calculat la un interval de încredere unilateral de 97,5 centile pe baza testării </w:t>
      </w:r>
      <w:r w:rsidRPr="000B44B0">
        <w:rPr>
          <w:rFonts w:ascii="Times New Roman" w:hAnsi="Times New Roman" w:cs="Times New Roman"/>
          <w:i/>
          <w:iCs/>
          <w:sz w:val="24"/>
          <w:szCs w:val="24"/>
        </w:rPr>
        <w:t>ex post</w:t>
      </w:r>
      <w:r w:rsidRPr="000B44B0">
        <w:rPr>
          <w:rFonts w:ascii="Times New Roman" w:hAnsi="Times New Roman" w:cs="Times New Roman"/>
          <w:sz w:val="24"/>
          <w:szCs w:val="24"/>
        </w:rPr>
        <w:t> a modificărilor ipotetice ale valorii portofoliului;</w:t>
      </w:r>
    </w:p>
    <w:p w14:paraId="0849FD6C" w14:textId="4CE1AFEC" w:rsidR="000B44B0" w:rsidRDefault="000B44B0" w:rsidP="000B44B0">
      <w:pPr>
        <w:rPr>
          <w:rFonts w:ascii="Times New Roman" w:hAnsi="Times New Roman" w:cs="Times New Roman"/>
          <w:sz w:val="24"/>
          <w:szCs w:val="24"/>
        </w:rPr>
      </w:pPr>
      <w:r w:rsidRPr="000B44B0">
        <w:rPr>
          <w:rFonts w:ascii="Times New Roman" w:hAnsi="Times New Roman" w:cs="Times New Roman"/>
          <w:sz w:val="24"/>
          <w:szCs w:val="24"/>
        </w:rPr>
        <w:t>369.4. 30 de depășiri pentru nivelul valorii la risc, calculat la un interval de încredere unilateral de 97,5 centile pe baza testării </w:t>
      </w:r>
      <w:r w:rsidRPr="000B44B0">
        <w:rPr>
          <w:rFonts w:ascii="Times New Roman" w:hAnsi="Times New Roman" w:cs="Times New Roman"/>
          <w:i/>
          <w:iCs/>
          <w:sz w:val="24"/>
          <w:szCs w:val="24"/>
        </w:rPr>
        <w:t>ex post</w:t>
      </w:r>
      <w:r w:rsidRPr="000B44B0">
        <w:rPr>
          <w:rFonts w:ascii="Times New Roman" w:hAnsi="Times New Roman" w:cs="Times New Roman"/>
          <w:sz w:val="24"/>
          <w:szCs w:val="24"/>
        </w:rPr>
        <w:t> a modificărilor efective ale valorii portofoliului.</w:t>
      </w:r>
    </w:p>
    <w:p w14:paraId="4D82CD18" w14:textId="77777777" w:rsidR="00453F35" w:rsidRPr="00453F35" w:rsidRDefault="00453F35" w:rsidP="00453F35">
      <w:pPr>
        <w:rPr>
          <w:rFonts w:ascii="Times New Roman" w:hAnsi="Times New Roman" w:cs="Times New Roman"/>
          <w:sz w:val="24"/>
          <w:szCs w:val="24"/>
        </w:rPr>
      </w:pPr>
      <w:r w:rsidRPr="00453F35">
        <w:rPr>
          <w:rFonts w:ascii="Times New Roman" w:hAnsi="Times New Roman" w:cs="Times New Roman"/>
          <w:sz w:val="24"/>
          <w:szCs w:val="24"/>
        </w:rPr>
        <w:t>370.  Băncile contabilizează depășirile zilnice în conformitate cu următoarele:</w:t>
      </w:r>
    </w:p>
    <w:p w14:paraId="2E02F05B" w14:textId="77777777" w:rsidR="00453F35" w:rsidRPr="00453F35" w:rsidRDefault="00453F35" w:rsidP="00453F35">
      <w:pPr>
        <w:rPr>
          <w:rFonts w:ascii="Times New Roman" w:hAnsi="Times New Roman" w:cs="Times New Roman"/>
          <w:sz w:val="24"/>
          <w:szCs w:val="24"/>
        </w:rPr>
      </w:pPr>
      <w:r w:rsidRPr="00453F35">
        <w:rPr>
          <w:rFonts w:ascii="Times New Roman" w:hAnsi="Times New Roman" w:cs="Times New Roman"/>
          <w:sz w:val="24"/>
          <w:szCs w:val="24"/>
        </w:rPr>
        <w:t>370.1. testarea </w:t>
      </w:r>
      <w:r w:rsidRPr="00453F35">
        <w:rPr>
          <w:rFonts w:ascii="Times New Roman" w:hAnsi="Times New Roman" w:cs="Times New Roman"/>
          <w:i/>
          <w:iCs/>
          <w:sz w:val="24"/>
          <w:szCs w:val="24"/>
        </w:rPr>
        <w:t>ex post</w:t>
      </w:r>
      <w:r w:rsidRPr="00453F35">
        <w:rPr>
          <w:rFonts w:ascii="Times New Roman" w:hAnsi="Times New Roman" w:cs="Times New Roman"/>
          <w:sz w:val="24"/>
          <w:szCs w:val="24"/>
        </w:rPr>
        <w:t> a modificărilor ipotetice ale valorii portofoliului se bazează pe o comparație între valoarea portofoliului la sfârșitul zilei și, presupunând că pozițiile rămân neschimbate, valoarea portofoliului la sfârșitul zilei următoare;</w:t>
      </w:r>
    </w:p>
    <w:p w14:paraId="41CB9658" w14:textId="77777777" w:rsidR="00453F35" w:rsidRPr="00453F35" w:rsidRDefault="00453F35" w:rsidP="00453F35">
      <w:pPr>
        <w:rPr>
          <w:rFonts w:ascii="Times New Roman" w:hAnsi="Times New Roman" w:cs="Times New Roman"/>
          <w:sz w:val="24"/>
          <w:szCs w:val="24"/>
        </w:rPr>
      </w:pPr>
      <w:r w:rsidRPr="00453F35">
        <w:rPr>
          <w:rFonts w:ascii="Times New Roman" w:hAnsi="Times New Roman" w:cs="Times New Roman"/>
          <w:sz w:val="24"/>
          <w:szCs w:val="24"/>
        </w:rPr>
        <w:t>370.2. testarea </w:t>
      </w:r>
      <w:r w:rsidRPr="00453F35">
        <w:rPr>
          <w:rFonts w:ascii="Times New Roman" w:hAnsi="Times New Roman" w:cs="Times New Roman"/>
          <w:i/>
          <w:iCs/>
          <w:sz w:val="24"/>
          <w:szCs w:val="24"/>
        </w:rPr>
        <w:t>ex post</w:t>
      </w:r>
      <w:r w:rsidRPr="00453F35">
        <w:rPr>
          <w:rFonts w:ascii="Times New Roman" w:hAnsi="Times New Roman" w:cs="Times New Roman"/>
          <w:sz w:val="24"/>
          <w:szCs w:val="24"/>
        </w:rPr>
        <w:t> a modificărilor efective ale valorii portofoliului se bazează pe o comparație între valoarea portofoliului la sfârșitul zilei și valoarea efectivă a portofoliului la sfârșitul zilei următoare, excluzând taxele și comisioanele;</w:t>
      </w:r>
    </w:p>
    <w:p w14:paraId="557D056E" w14:textId="50E2DB85" w:rsidR="000B44B0" w:rsidRDefault="00453F35" w:rsidP="00453F35">
      <w:pPr>
        <w:rPr>
          <w:rFonts w:ascii="Times New Roman" w:hAnsi="Times New Roman" w:cs="Times New Roman"/>
          <w:sz w:val="24"/>
          <w:szCs w:val="24"/>
        </w:rPr>
      </w:pPr>
      <w:r w:rsidRPr="00453F35">
        <w:rPr>
          <w:rFonts w:ascii="Times New Roman" w:hAnsi="Times New Roman" w:cs="Times New Roman"/>
          <w:sz w:val="24"/>
          <w:szCs w:val="24"/>
        </w:rPr>
        <w:t>370.3. o depășire se calculează pentru fiecare zi lucrătoare în care banca nu este în măsură să evalueze valoarea portofoliului sau să calculeze nivelul valorii la risc menționat la</w:t>
      </w:r>
      <w:r w:rsidR="0083411F">
        <w:rPr>
          <w:rFonts w:ascii="Times New Roman" w:hAnsi="Times New Roman" w:cs="Times New Roman"/>
          <w:sz w:val="24"/>
          <w:szCs w:val="24"/>
        </w:rPr>
        <w:t xml:space="preserve"> </w:t>
      </w:r>
      <w:r w:rsidRPr="00453F35">
        <w:rPr>
          <w:rFonts w:ascii="Times New Roman" w:hAnsi="Times New Roman" w:cs="Times New Roman"/>
          <w:sz w:val="24"/>
          <w:szCs w:val="24"/>
        </w:rPr>
        <w:t>pct.369.</w:t>
      </w:r>
    </w:p>
    <w:p w14:paraId="22E81B5A" w14:textId="17912932" w:rsidR="00E32770" w:rsidRDefault="00E32770" w:rsidP="00453F35">
      <w:pPr>
        <w:rPr>
          <w:rFonts w:ascii="Times New Roman" w:hAnsi="Times New Roman" w:cs="Times New Roman"/>
          <w:sz w:val="24"/>
          <w:szCs w:val="24"/>
        </w:rPr>
      </w:pPr>
      <w:r w:rsidRPr="00E32770">
        <w:rPr>
          <w:rFonts w:ascii="Times New Roman" w:hAnsi="Times New Roman" w:cs="Times New Roman"/>
          <w:sz w:val="24"/>
          <w:szCs w:val="24"/>
        </w:rPr>
        <w:t>371.  O bancă calculează, în conformitate cu pct.372-374 și 375, factorul de multiplicare (m</w:t>
      </w:r>
      <w:r w:rsidRPr="00E32770">
        <w:rPr>
          <w:rFonts w:ascii="Times New Roman" w:hAnsi="Times New Roman" w:cs="Times New Roman"/>
          <w:sz w:val="24"/>
          <w:szCs w:val="24"/>
          <w:vertAlign w:val="subscript"/>
        </w:rPr>
        <w:t>c</w:t>
      </w:r>
      <w:r w:rsidRPr="00E32770">
        <w:rPr>
          <w:rFonts w:ascii="Times New Roman" w:hAnsi="Times New Roman" w:cs="Times New Roman"/>
          <w:sz w:val="24"/>
          <w:szCs w:val="24"/>
        </w:rPr>
        <w:t xml:space="preserve">) menționat la secțiunea 1, subsecțiunea 2 pentru portofoliul format din toate pozițiile atribuite birourilor de tranzacționare pentru care a primit aprobarea de a utiliza modele interne alternative, astfel cum se menționează </w:t>
      </w:r>
      <w:r w:rsidRPr="00D15258">
        <w:rPr>
          <w:rFonts w:ascii="Times New Roman" w:hAnsi="Times New Roman" w:cs="Times New Roman"/>
          <w:sz w:val="24"/>
          <w:szCs w:val="24"/>
        </w:rPr>
        <w:t>la</w:t>
      </w:r>
      <w:r w:rsidR="00A25EDF">
        <w:rPr>
          <w:rFonts w:ascii="Times New Roman" w:hAnsi="Times New Roman" w:cs="Times New Roman"/>
          <w:sz w:val="24"/>
          <w:szCs w:val="24"/>
        </w:rPr>
        <w:t xml:space="preserve"> </w:t>
      </w:r>
      <w:r w:rsidR="00D15258" w:rsidRPr="00D15258">
        <w:rPr>
          <w:rFonts w:ascii="Times New Roman" w:hAnsi="Times New Roman" w:cs="Times New Roman"/>
          <w:sz w:val="24"/>
          <w:szCs w:val="24"/>
        </w:rPr>
        <w:t>pct.331</w:t>
      </w:r>
      <w:r w:rsidRPr="00D15258">
        <w:rPr>
          <w:rFonts w:ascii="Times New Roman" w:hAnsi="Times New Roman" w:cs="Times New Roman"/>
          <w:sz w:val="24"/>
          <w:szCs w:val="24"/>
        </w:rPr>
        <w:t>.</w:t>
      </w:r>
    </w:p>
    <w:p w14:paraId="0A31B3F5" w14:textId="2EF59AE8"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372.  Factorul de multiplicare (m</w:t>
      </w:r>
      <w:r w:rsidRPr="00E32770">
        <w:rPr>
          <w:rFonts w:ascii="Times New Roman" w:hAnsi="Times New Roman" w:cs="Times New Roman"/>
          <w:sz w:val="24"/>
          <w:szCs w:val="24"/>
          <w:vertAlign w:val="subscript"/>
        </w:rPr>
        <w:t>c</w:t>
      </w:r>
      <w:r w:rsidRPr="00E32770">
        <w:rPr>
          <w:rFonts w:ascii="Times New Roman" w:hAnsi="Times New Roman" w:cs="Times New Roman"/>
          <w:sz w:val="24"/>
          <w:szCs w:val="24"/>
        </w:rPr>
        <w:t>) este egal cu cel puțin suma dintre 1,5 și o majorare determinată în conformitate cu tabelul 3. În cazul portofoliului menționat la</w:t>
      </w:r>
      <w:r w:rsidR="0083411F">
        <w:rPr>
          <w:rFonts w:ascii="Times New Roman" w:hAnsi="Times New Roman" w:cs="Times New Roman"/>
          <w:sz w:val="24"/>
          <w:szCs w:val="24"/>
        </w:rPr>
        <w:t xml:space="preserve"> </w:t>
      </w:r>
      <w:r w:rsidRPr="00E32770">
        <w:rPr>
          <w:rFonts w:ascii="Times New Roman" w:hAnsi="Times New Roman" w:cs="Times New Roman"/>
          <w:sz w:val="24"/>
          <w:szCs w:val="24"/>
        </w:rPr>
        <w:t>pct.371, respectiva majorare se calculează pe baza numărului de depășiri înregistrate în cea mai recentă perioadă de 250 de zile lucrătoare, astfel cum demonstrează testarea ex post efectuată de către bancă a nivelului valorii la risc calculat în conformitate cu subpct.372.1. Calculul majorării este supus criteriilor următoare:</w:t>
      </w:r>
      <w:r w:rsidRPr="00E32770">
        <w:rPr>
          <w:rFonts w:ascii="Times New Roman" w:hAnsi="Times New Roman" w:cs="Times New Roman"/>
          <w:b/>
          <w:bCs/>
          <w:sz w:val="24"/>
          <w:szCs w:val="24"/>
        </w:rPr>
        <w:t> </w:t>
      </w:r>
    </w:p>
    <w:p w14:paraId="2FD179CD" w14:textId="77777777"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372.1. o depășire înseamnă o variație de o zi în valoarea portofoliului respectiv care depășește nivelul valorii la risc aferente, calculată utilizând modelul intern al băncii, în conformitate cu cerințele următoare:</w:t>
      </w:r>
    </w:p>
    <w:p w14:paraId="123A6A81" w14:textId="77777777"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lastRenderedPageBreak/>
        <w:t>372.1.1. o perioadă de deținere de o zi;</w:t>
      </w:r>
    </w:p>
    <w:p w14:paraId="66149B75" w14:textId="77777777"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372.1.2. un interval de încredere unilateral de 99 de centile;</w:t>
      </w:r>
    </w:p>
    <w:p w14:paraId="3F9CCFBA" w14:textId="6FB79F02"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 xml:space="preserve">372.1.3. factorilor de risc aferenți pozițiilor biroului de tranzacționare menționați la </w:t>
      </w:r>
      <w:r w:rsidR="00D15258" w:rsidRPr="00D15258">
        <w:rPr>
          <w:rFonts w:ascii="Times New Roman" w:hAnsi="Times New Roman" w:cs="Times New Roman"/>
          <w:sz w:val="24"/>
          <w:szCs w:val="24"/>
        </w:rPr>
        <w:t>pct.379</w:t>
      </w:r>
      <w:r w:rsidRPr="00E32770">
        <w:rPr>
          <w:rFonts w:ascii="Times New Roman" w:hAnsi="Times New Roman" w:cs="Times New Roman"/>
          <w:sz w:val="24"/>
          <w:szCs w:val="24"/>
        </w:rPr>
        <w:t xml:space="preserve"> care se consideră că sunt modelabili în conformitate cu subsecțiunea 4 li se aplică scenarii ale unor șocuri viitoare;</w:t>
      </w:r>
    </w:p>
    <w:p w14:paraId="7DD9EA3C" w14:textId="725BF8B3"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 xml:space="preserve">372.1.4. datele de intrare utilizate pentru a determina scenariile unor șocuri viitoare aplicate factorilor de risc modelabili sunt calibrate în raport cu datele istorice menționate la </w:t>
      </w:r>
      <w:r w:rsidR="00D15258" w:rsidRPr="00D15258">
        <w:rPr>
          <w:rFonts w:ascii="Times New Roman" w:hAnsi="Times New Roman" w:cs="Times New Roman"/>
          <w:sz w:val="24"/>
          <w:szCs w:val="24"/>
        </w:rPr>
        <w:t>subpct.351.3</w:t>
      </w:r>
      <w:r w:rsidRPr="00E32770">
        <w:rPr>
          <w:rFonts w:ascii="Times New Roman" w:hAnsi="Times New Roman" w:cs="Times New Roman"/>
          <w:sz w:val="24"/>
          <w:szCs w:val="24"/>
        </w:rPr>
        <w:t>;</w:t>
      </w:r>
    </w:p>
    <w:p w14:paraId="2BFBED92" w14:textId="4D60D74C"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 xml:space="preserve">372.1.5. cu excepția cazului în care la prezenta subsecțiune se prevede altfel, modelul intern al băncii se bazează pe aceleași ipoteze de modelare ca și cele utilizate pentru calcularea măsurii valorii la risc condiționate menționate la </w:t>
      </w:r>
      <w:r w:rsidR="003D343F" w:rsidRPr="003D343F">
        <w:rPr>
          <w:rFonts w:ascii="Times New Roman" w:hAnsi="Times New Roman" w:cs="Times New Roman"/>
          <w:sz w:val="24"/>
          <w:szCs w:val="24"/>
        </w:rPr>
        <w:t>subpct</w:t>
      </w:r>
      <w:r w:rsidR="003D343F">
        <w:rPr>
          <w:rFonts w:ascii="Times New Roman" w:hAnsi="Times New Roman" w:cs="Times New Roman"/>
          <w:sz w:val="24"/>
          <w:szCs w:val="24"/>
        </w:rPr>
        <w:t>.339.1</w:t>
      </w:r>
      <w:r w:rsidRPr="00E32770">
        <w:rPr>
          <w:rFonts w:ascii="Times New Roman" w:hAnsi="Times New Roman" w:cs="Times New Roman"/>
          <w:sz w:val="24"/>
          <w:szCs w:val="24"/>
        </w:rPr>
        <w:t>;</w:t>
      </w:r>
    </w:p>
    <w:p w14:paraId="7AD5B18F" w14:textId="77777777"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372.1.6. numărul de depășiri este egal cu cel mai mare dintre numărul de depășiri calculat pe baza modificărilor ipotetice și numărul de depășiri calculate pe baza modificărilor efective ale valorii portofoliului;</w:t>
      </w:r>
    </w:p>
    <w:p w14:paraId="7309ABA3" w14:textId="77777777" w:rsidR="00E32770" w:rsidRPr="00E32770" w:rsidRDefault="00E32770" w:rsidP="00E32770">
      <w:pPr>
        <w:rPr>
          <w:rFonts w:ascii="Times New Roman" w:hAnsi="Times New Roman" w:cs="Times New Roman"/>
          <w:b/>
          <w:bCs/>
          <w:sz w:val="24"/>
          <w:szCs w:val="24"/>
        </w:rPr>
      </w:pPr>
      <w:r w:rsidRPr="00E32770">
        <w:rPr>
          <w:rFonts w:ascii="Times New Roman" w:hAnsi="Times New Roman" w:cs="Times New Roman"/>
          <w:b/>
          <w:bCs/>
          <w:i/>
          <w:iCs/>
          <w:sz w:val="24"/>
          <w:szCs w:val="24"/>
        </w:rPr>
        <w:t>Tabelul 3</w:t>
      </w: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399"/>
        <w:gridCol w:w="1201"/>
      </w:tblGrid>
      <w:tr w:rsidR="00E32770" w:rsidRPr="00E32770" w14:paraId="1A076143" w14:textId="77777777" w:rsidTr="008E65FC">
        <w:trPr>
          <w:jc w:val="center"/>
        </w:trPr>
        <w:tc>
          <w:tcPr>
            <w:tcW w:w="23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0A939C" w14:textId="77777777" w:rsidR="00E32770" w:rsidRPr="00E32770" w:rsidRDefault="00E32770" w:rsidP="00E32770">
            <w:pPr>
              <w:rPr>
                <w:rFonts w:ascii="Times New Roman" w:hAnsi="Times New Roman" w:cs="Times New Roman"/>
                <w:b/>
                <w:bCs/>
                <w:sz w:val="24"/>
                <w:szCs w:val="24"/>
              </w:rPr>
            </w:pPr>
            <w:r w:rsidRPr="00E32770">
              <w:rPr>
                <w:rFonts w:ascii="Times New Roman" w:hAnsi="Times New Roman" w:cs="Times New Roman"/>
                <w:b/>
                <w:bCs/>
                <w:sz w:val="24"/>
                <w:szCs w:val="24"/>
              </w:rPr>
              <w:t>Număr de depășiri</w:t>
            </w:r>
          </w:p>
        </w:tc>
        <w:tc>
          <w:tcPr>
            <w:tcW w:w="120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CDAA35" w14:textId="77777777" w:rsidR="00E32770" w:rsidRPr="00E32770" w:rsidRDefault="00E32770" w:rsidP="00E32770">
            <w:pPr>
              <w:rPr>
                <w:rFonts w:ascii="Times New Roman" w:hAnsi="Times New Roman" w:cs="Times New Roman"/>
                <w:b/>
                <w:bCs/>
                <w:sz w:val="24"/>
                <w:szCs w:val="24"/>
              </w:rPr>
            </w:pPr>
            <w:r w:rsidRPr="00E32770">
              <w:rPr>
                <w:rFonts w:ascii="Times New Roman" w:hAnsi="Times New Roman" w:cs="Times New Roman"/>
                <w:b/>
                <w:bCs/>
                <w:sz w:val="24"/>
                <w:szCs w:val="24"/>
              </w:rPr>
              <w:t>Majorare</w:t>
            </w:r>
          </w:p>
        </w:tc>
      </w:tr>
      <w:tr w:rsidR="00E32770" w:rsidRPr="00E32770" w14:paraId="1FF27674" w14:textId="77777777" w:rsidTr="008E65FC">
        <w:trPr>
          <w:jc w:val="center"/>
        </w:trPr>
        <w:tc>
          <w:tcPr>
            <w:tcW w:w="23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2B0F0C" w14:textId="77777777"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Mai mic de 5</w:t>
            </w:r>
          </w:p>
        </w:tc>
        <w:tc>
          <w:tcPr>
            <w:tcW w:w="120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ED12AF" w14:textId="77777777"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0,00</w:t>
            </w:r>
          </w:p>
        </w:tc>
      </w:tr>
      <w:tr w:rsidR="00E32770" w:rsidRPr="00E32770" w14:paraId="0440353C" w14:textId="77777777" w:rsidTr="008E65FC">
        <w:trPr>
          <w:jc w:val="center"/>
        </w:trPr>
        <w:tc>
          <w:tcPr>
            <w:tcW w:w="23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B7006E" w14:textId="77777777"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5</w:t>
            </w:r>
          </w:p>
        </w:tc>
        <w:tc>
          <w:tcPr>
            <w:tcW w:w="120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984FF5" w14:textId="77777777"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0,20</w:t>
            </w:r>
          </w:p>
        </w:tc>
      </w:tr>
      <w:tr w:rsidR="00E32770" w:rsidRPr="00E32770" w14:paraId="28563748" w14:textId="77777777" w:rsidTr="008E65FC">
        <w:trPr>
          <w:jc w:val="center"/>
        </w:trPr>
        <w:tc>
          <w:tcPr>
            <w:tcW w:w="23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47005C" w14:textId="77777777"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6</w:t>
            </w:r>
          </w:p>
        </w:tc>
        <w:tc>
          <w:tcPr>
            <w:tcW w:w="120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E5A0C9" w14:textId="77777777"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0,26</w:t>
            </w:r>
          </w:p>
        </w:tc>
      </w:tr>
      <w:tr w:rsidR="00E32770" w:rsidRPr="00E32770" w14:paraId="59E9341C" w14:textId="77777777" w:rsidTr="008E65FC">
        <w:trPr>
          <w:jc w:val="center"/>
        </w:trPr>
        <w:tc>
          <w:tcPr>
            <w:tcW w:w="23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938D2A" w14:textId="77777777"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7</w:t>
            </w:r>
          </w:p>
        </w:tc>
        <w:tc>
          <w:tcPr>
            <w:tcW w:w="120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9B4D16" w14:textId="77777777"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0,33</w:t>
            </w:r>
          </w:p>
        </w:tc>
      </w:tr>
      <w:tr w:rsidR="00E32770" w:rsidRPr="00E32770" w14:paraId="46093759" w14:textId="77777777" w:rsidTr="008E65FC">
        <w:trPr>
          <w:jc w:val="center"/>
        </w:trPr>
        <w:tc>
          <w:tcPr>
            <w:tcW w:w="23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80FE52" w14:textId="77777777"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8</w:t>
            </w:r>
          </w:p>
        </w:tc>
        <w:tc>
          <w:tcPr>
            <w:tcW w:w="120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A97C10" w14:textId="77777777"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0,38</w:t>
            </w:r>
          </w:p>
        </w:tc>
      </w:tr>
      <w:tr w:rsidR="00E32770" w:rsidRPr="00E32770" w14:paraId="285246EA" w14:textId="77777777" w:rsidTr="008E65FC">
        <w:trPr>
          <w:jc w:val="center"/>
        </w:trPr>
        <w:tc>
          <w:tcPr>
            <w:tcW w:w="23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9D1A63" w14:textId="77777777"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9</w:t>
            </w:r>
          </w:p>
        </w:tc>
        <w:tc>
          <w:tcPr>
            <w:tcW w:w="120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0A25A1" w14:textId="77777777"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0,42</w:t>
            </w:r>
          </w:p>
        </w:tc>
      </w:tr>
      <w:tr w:rsidR="00E32770" w:rsidRPr="00E32770" w14:paraId="26FEB1C6" w14:textId="77777777" w:rsidTr="008E65FC">
        <w:trPr>
          <w:jc w:val="center"/>
        </w:trPr>
        <w:tc>
          <w:tcPr>
            <w:tcW w:w="23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774609" w14:textId="77777777"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Mai mare de 9</w:t>
            </w:r>
          </w:p>
        </w:tc>
        <w:tc>
          <w:tcPr>
            <w:tcW w:w="120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C6CEF7" w14:textId="77777777"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0,50</w:t>
            </w:r>
          </w:p>
        </w:tc>
      </w:tr>
    </w:tbl>
    <w:p w14:paraId="13F6BCD1" w14:textId="77777777"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373. În circumstanțe extraordinare, BNM poate permite unei bănci să ia una dintre următoarele măsuri sau pe amândouă:</w:t>
      </w:r>
    </w:p>
    <w:p w14:paraId="7BB66721" w14:textId="77777777"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373.1. să limiteze calculul majorării la cel care rezultă din depășirile calculate pe baza testării </w:t>
      </w:r>
      <w:r w:rsidRPr="00E32770">
        <w:rPr>
          <w:rFonts w:ascii="Times New Roman" w:hAnsi="Times New Roman" w:cs="Times New Roman"/>
          <w:i/>
          <w:iCs/>
          <w:sz w:val="24"/>
          <w:szCs w:val="24"/>
        </w:rPr>
        <w:t>ex post</w:t>
      </w:r>
      <w:r w:rsidRPr="00E32770">
        <w:rPr>
          <w:rFonts w:ascii="Times New Roman" w:hAnsi="Times New Roman" w:cs="Times New Roman"/>
          <w:sz w:val="24"/>
          <w:szCs w:val="24"/>
        </w:rPr>
        <w:t> a modificărilor ipotetice în cazul în care numărul depășirilor calculate pe baza testării </w:t>
      </w:r>
      <w:r w:rsidRPr="00E32770">
        <w:rPr>
          <w:rFonts w:ascii="Times New Roman" w:hAnsi="Times New Roman" w:cs="Times New Roman"/>
          <w:i/>
          <w:iCs/>
          <w:sz w:val="24"/>
          <w:szCs w:val="24"/>
        </w:rPr>
        <w:t>ex post</w:t>
      </w:r>
      <w:r w:rsidRPr="00E32770">
        <w:rPr>
          <w:rFonts w:ascii="Times New Roman" w:hAnsi="Times New Roman" w:cs="Times New Roman"/>
          <w:sz w:val="24"/>
          <w:szCs w:val="24"/>
        </w:rPr>
        <w:t> a modificărilor efective nu rezultă din deficiențe ale modelului intern alternativ al băncii;</w:t>
      </w:r>
    </w:p>
    <w:p w14:paraId="1F9F4896" w14:textId="77777777" w:rsidR="00E32770" w:rsidRPr="00E32770"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373.2. să excludă depășirile evidențiate de testarea </w:t>
      </w:r>
      <w:r w:rsidRPr="00E32770">
        <w:rPr>
          <w:rFonts w:ascii="Times New Roman" w:hAnsi="Times New Roman" w:cs="Times New Roman"/>
          <w:i/>
          <w:iCs/>
          <w:sz w:val="24"/>
          <w:szCs w:val="24"/>
        </w:rPr>
        <w:t>ex post</w:t>
      </w:r>
      <w:r w:rsidRPr="00E32770">
        <w:rPr>
          <w:rFonts w:ascii="Times New Roman" w:hAnsi="Times New Roman" w:cs="Times New Roman"/>
          <w:sz w:val="24"/>
          <w:szCs w:val="24"/>
        </w:rPr>
        <w:t> a modificărilor ipotetice sau efective din calculul majorării în cazul în care depășirile respective nu rezultă din deficiențe ale modelului intern alternativ al băncii.</w:t>
      </w:r>
    </w:p>
    <w:p w14:paraId="68B11250" w14:textId="3CB0760A" w:rsidR="000E62FD" w:rsidRDefault="00E32770" w:rsidP="00E32770">
      <w:pPr>
        <w:rPr>
          <w:rFonts w:ascii="Times New Roman" w:hAnsi="Times New Roman" w:cs="Times New Roman"/>
          <w:sz w:val="24"/>
          <w:szCs w:val="24"/>
        </w:rPr>
      </w:pPr>
      <w:r w:rsidRPr="00E32770">
        <w:rPr>
          <w:rFonts w:ascii="Times New Roman" w:hAnsi="Times New Roman" w:cs="Times New Roman"/>
          <w:sz w:val="24"/>
          <w:szCs w:val="24"/>
        </w:rPr>
        <w:t>374. În sensul pct.373, BNM poate majora valoarea m</w:t>
      </w:r>
      <w:r w:rsidRPr="00E32770">
        <w:rPr>
          <w:rFonts w:ascii="Times New Roman" w:hAnsi="Times New Roman" w:cs="Times New Roman"/>
          <w:sz w:val="24"/>
          <w:szCs w:val="24"/>
          <w:vertAlign w:val="subscript"/>
        </w:rPr>
        <w:t>c</w:t>
      </w:r>
      <w:r w:rsidRPr="00E32770">
        <w:rPr>
          <w:rFonts w:ascii="Times New Roman" w:hAnsi="Times New Roman" w:cs="Times New Roman"/>
          <w:sz w:val="24"/>
          <w:szCs w:val="24"/>
        </w:rPr>
        <w:t> peste suma menționată la punctul respectiv în cazul în care modelul intern alternativ al unei bănci prezintă deficiențe care împiedică măsurarea corespunzătoare a cerințelor de fonduri proprii pentru riscul de piață.</w:t>
      </w:r>
    </w:p>
    <w:p w14:paraId="7EE5889A" w14:textId="30B233CF" w:rsidR="000E62FD" w:rsidRDefault="00E32770" w:rsidP="004340D9">
      <w:pPr>
        <w:rPr>
          <w:rFonts w:ascii="Times New Roman" w:hAnsi="Times New Roman" w:cs="Times New Roman"/>
          <w:sz w:val="24"/>
          <w:szCs w:val="24"/>
        </w:rPr>
      </w:pPr>
      <w:r w:rsidRPr="00E32770">
        <w:rPr>
          <w:rFonts w:ascii="Times New Roman" w:hAnsi="Times New Roman" w:cs="Times New Roman"/>
          <w:sz w:val="24"/>
          <w:szCs w:val="24"/>
        </w:rPr>
        <w:t>375.   BNM monitorizează caracterul adecvat al factorului de multiplicare menționat la pct.371 și respectarea de către un birou de tranzacționare a cerințelor privind testarea </w:t>
      </w:r>
      <w:r w:rsidRPr="00E32770">
        <w:rPr>
          <w:rFonts w:ascii="Times New Roman" w:hAnsi="Times New Roman" w:cs="Times New Roman"/>
          <w:i/>
          <w:iCs/>
          <w:sz w:val="24"/>
          <w:szCs w:val="24"/>
        </w:rPr>
        <w:t>ex post</w:t>
      </w:r>
      <w:r w:rsidRPr="00E32770">
        <w:rPr>
          <w:rFonts w:ascii="Times New Roman" w:hAnsi="Times New Roman" w:cs="Times New Roman"/>
          <w:sz w:val="24"/>
          <w:szCs w:val="24"/>
        </w:rPr>
        <w:t> menționate la</w:t>
      </w:r>
      <w:r>
        <w:rPr>
          <w:rFonts w:ascii="Times New Roman" w:hAnsi="Times New Roman" w:cs="Times New Roman"/>
          <w:sz w:val="24"/>
          <w:szCs w:val="24"/>
        </w:rPr>
        <w:t xml:space="preserve"> </w:t>
      </w:r>
      <w:r w:rsidRPr="00E32770">
        <w:rPr>
          <w:rFonts w:ascii="Times New Roman" w:hAnsi="Times New Roman" w:cs="Times New Roman"/>
          <w:sz w:val="24"/>
          <w:szCs w:val="24"/>
        </w:rPr>
        <w:t>pct.369. Băncile informează prompt BNM cu privire la depășirile care rezultă din programul lor de testare </w:t>
      </w:r>
      <w:r w:rsidRPr="00E32770">
        <w:rPr>
          <w:rFonts w:ascii="Times New Roman" w:hAnsi="Times New Roman" w:cs="Times New Roman"/>
          <w:i/>
          <w:iCs/>
          <w:sz w:val="24"/>
          <w:szCs w:val="24"/>
        </w:rPr>
        <w:t>ex post</w:t>
      </w:r>
      <w:r w:rsidRPr="00E32770">
        <w:rPr>
          <w:rFonts w:ascii="Times New Roman" w:hAnsi="Times New Roman" w:cs="Times New Roman"/>
          <w:sz w:val="24"/>
          <w:szCs w:val="24"/>
        </w:rPr>
        <w:t> și prezintă o explicație pentru depășirile în cauză și, în orice caz, informează BNM cu privire la acest lucru în cel mult cinci zile lucrătoare de la înregistrarea unei depășiri.</w:t>
      </w:r>
    </w:p>
    <w:p w14:paraId="62D98322" w14:textId="6D7D7B5C" w:rsidR="000E62FD" w:rsidRDefault="00E32770" w:rsidP="004340D9">
      <w:pPr>
        <w:rPr>
          <w:rFonts w:ascii="Times New Roman" w:hAnsi="Times New Roman" w:cs="Times New Roman"/>
          <w:sz w:val="24"/>
          <w:szCs w:val="24"/>
        </w:rPr>
      </w:pPr>
      <w:r w:rsidRPr="00E32770">
        <w:rPr>
          <w:rFonts w:ascii="Times New Roman" w:hAnsi="Times New Roman" w:cs="Times New Roman"/>
          <w:sz w:val="24"/>
          <w:szCs w:val="24"/>
        </w:rPr>
        <w:lastRenderedPageBreak/>
        <w:t>376.   Prin derogare de la pct.368 și 372-374, BNM poate să permită unei bănci să nu ia în calcul o depășire în cazul în care o modificare de o zi în valoarea portofoliului său care depășește nivelul valorii la risc aferente calculat utilizând modelul intern al băncii poate fi atribuită unui factor de risc nemodelabil.</w:t>
      </w:r>
    </w:p>
    <w:p w14:paraId="0EF1D5B4" w14:textId="5EA308DC" w:rsidR="000E62FD" w:rsidRPr="00CC1E9B" w:rsidRDefault="00131850" w:rsidP="004340D9">
      <w:pPr>
        <w:rPr>
          <w:rFonts w:ascii="Times New Roman" w:hAnsi="Times New Roman" w:cs="Times New Roman"/>
          <w:b/>
          <w:bCs/>
          <w:i/>
          <w:iCs/>
          <w:sz w:val="24"/>
          <w:szCs w:val="24"/>
        </w:rPr>
      </w:pPr>
      <w:bookmarkStart w:id="59" w:name="_Hlk195098864"/>
      <w:r w:rsidRPr="00CC1E9B">
        <w:rPr>
          <w:rFonts w:ascii="Times New Roman" w:hAnsi="Times New Roman" w:cs="Times New Roman"/>
          <w:b/>
          <w:bCs/>
          <w:i/>
          <w:iCs/>
          <w:sz w:val="24"/>
          <w:szCs w:val="24"/>
        </w:rPr>
        <w:t>Subsecțiunea 6. Cerința privind atribuirea profitului și a pierderii</w:t>
      </w:r>
      <w:bookmarkEnd w:id="59"/>
    </w:p>
    <w:p w14:paraId="0C46BA93" w14:textId="5BCC4D56" w:rsidR="000E62FD" w:rsidRDefault="00131850" w:rsidP="004340D9">
      <w:pPr>
        <w:rPr>
          <w:rFonts w:ascii="Times New Roman" w:hAnsi="Times New Roman" w:cs="Times New Roman"/>
          <w:sz w:val="24"/>
          <w:szCs w:val="24"/>
        </w:rPr>
      </w:pPr>
      <w:r w:rsidRPr="00131850">
        <w:rPr>
          <w:rFonts w:ascii="Times New Roman" w:hAnsi="Times New Roman" w:cs="Times New Roman"/>
          <w:sz w:val="24"/>
          <w:szCs w:val="24"/>
        </w:rPr>
        <w:t>377.   Un birou de tranzacționare al unei bănci îndeplinește cerințele privind atribuirea profitului și a pierderii dacă modificările teoretice ale valorii portofoliului biroului de tranzacționare respectiv calculate pe baza modelului de măsurare a riscurilor al băncii sunt fie apropiate, fie suficient de apropiate de modificările ipotetice ale valorii portofoliului biroului de tranzacționare respectiv calculate pe baza modelului de evaluare al băncii.</w:t>
      </w:r>
    </w:p>
    <w:p w14:paraId="239A5261" w14:textId="564E60E1" w:rsidR="00131850" w:rsidRDefault="00131850" w:rsidP="004340D9">
      <w:pPr>
        <w:rPr>
          <w:rFonts w:ascii="Times New Roman" w:hAnsi="Times New Roman" w:cs="Times New Roman"/>
          <w:sz w:val="24"/>
          <w:szCs w:val="24"/>
        </w:rPr>
      </w:pPr>
      <w:r w:rsidRPr="00131850">
        <w:rPr>
          <w:rFonts w:ascii="Times New Roman" w:hAnsi="Times New Roman" w:cs="Times New Roman"/>
          <w:sz w:val="24"/>
          <w:szCs w:val="24"/>
        </w:rPr>
        <w:t>378.   În pofida pct.377, în cazul în care modificările teoretice ale valorii portofoliului unui birou de tranzacționare, calculate pe baza modelului de măsurare a riscurilor al băncii, sunt suficient de apropiate de modificările ipotetice ale valorii portofoliului biroului de tranzacționare respectiv calculate pe baza modelului de evaluare al băncii, banca calculează, pentru toate pozițiile atribuite biroului de tranzacționare respectiv, o cerință de fonduri proprii suplimentară față de cerințele de fonduri proprii menționate la</w:t>
      </w:r>
      <w:r w:rsidR="003D343F">
        <w:rPr>
          <w:rFonts w:ascii="Times New Roman" w:hAnsi="Times New Roman" w:cs="Times New Roman"/>
          <w:sz w:val="24"/>
          <w:szCs w:val="24"/>
        </w:rPr>
        <w:t xml:space="preserve"> </w:t>
      </w:r>
      <w:r w:rsidR="003D343F" w:rsidRPr="00CC1E9B">
        <w:rPr>
          <w:rFonts w:ascii="Times New Roman" w:hAnsi="Times New Roman" w:cs="Times New Roman"/>
          <w:sz w:val="24"/>
          <w:szCs w:val="24"/>
        </w:rPr>
        <w:t>subpct.339-342</w:t>
      </w:r>
      <w:r w:rsidRPr="00CC1E9B">
        <w:rPr>
          <w:rFonts w:ascii="Times New Roman" w:hAnsi="Times New Roman" w:cs="Times New Roman"/>
          <w:sz w:val="24"/>
          <w:szCs w:val="24"/>
        </w:rPr>
        <w:t>.</w:t>
      </w:r>
    </w:p>
    <w:p w14:paraId="41308F2B" w14:textId="61229913" w:rsidR="000E62FD" w:rsidRDefault="00131850" w:rsidP="004340D9">
      <w:pPr>
        <w:rPr>
          <w:rFonts w:ascii="Times New Roman" w:hAnsi="Times New Roman" w:cs="Times New Roman"/>
          <w:sz w:val="24"/>
          <w:szCs w:val="24"/>
        </w:rPr>
      </w:pPr>
      <w:r w:rsidRPr="00131850">
        <w:rPr>
          <w:rFonts w:ascii="Times New Roman" w:hAnsi="Times New Roman" w:cs="Times New Roman"/>
          <w:sz w:val="24"/>
          <w:szCs w:val="24"/>
        </w:rPr>
        <w:t>379.  Pe baza rezultatelor cerinței privind atribuirea profitului și a pierderii menționate la pct.377, o bancă stabilește și documentează o listă exactă cuprinzând factorii de risc incluși în modelul de măsurare a riscurilor al băncii considerați adecvați pentru verificarea respectării de către bancă a cerinței privind testarea ex post prevăzută la subsecțiunea 5. Banca urmărește orice modificare a listei factorilor de risc respectivi.</w:t>
      </w:r>
    </w:p>
    <w:p w14:paraId="119D4B40" w14:textId="0A1EA217" w:rsidR="00770B4B" w:rsidRPr="00CC1E9B" w:rsidRDefault="00770B4B" w:rsidP="004340D9">
      <w:pPr>
        <w:rPr>
          <w:rFonts w:ascii="Times New Roman" w:hAnsi="Times New Roman" w:cs="Times New Roman"/>
          <w:b/>
          <w:bCs/>
          <w:i/>
          <w:iCs/>
          <w:sz w:val="24"/>
          <w:szCs w:val="24"/>
        </w:rPr>
      </w:pPr>
      <w:bookmarkStart w:id="60" w:name="_Hlk195098892"/>
      <w:r w:rsidRPr="00CC1E9B">
        <w:rPr>
          <w:rFonts w:ascii="Times New Roman" w:hAnsi="Times New Roman" w:cs="Times New Roman"/>
          <w:b/>
          <w:bCs/>
          <w:i/>
          <w:iCs/>
          <w:sz w:val="24"/>
          <w:szCs w:val="24"/>
        </w:rPr>
        <w:t>Subsecțiunea 7. Cerințe privind măsurarea riscurilor</w:t>
      </w:r>
      <w:bookmarkEnd w:id="60"/>
    </w:p>
    <w:p w14:paraId="4F9BEA0D"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380.   Băncile care utilizează un model intern de măsurare a riscurilor folosit la calcularea cerințelor de fonduri proprii pentru riscul de piață, astfel cum sunt menționate la secțiunea 1, subsecțiunea 2, se asigură că respectivul model respectă cumulativ următoarele cerințe:</w:t>
      </w:r>
    </w:p>
    <w:p w14:paraId="2B6ED11C"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380.1. modelul intern de măsurare a riscurilor reflectă un număr suficient de factori de risc, care cuprind cel puțin factorii de risc menționați în secțiunea 3 subsecțiunea 1 din capitolul II, cu excepția cazului în care banca demonstrează BNM că omiterea acestor factori de risc nu are un impact semnificativ asupra rezultatelor cerinței privind atribuirea profitului și a pierderii menționate la subsecțiunea 6; o bancă este în măsură să explice BNM motivele pentru care a încorporat un anumit factor de risc în modelul său de evaluare, dar nu și în modelul intern de măsurare a riscurilor;</w:t>
      </w:r>
    </w:p>
    <w:p w14:paraId="5558F796"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380.2. modelul intern de măsurare a riscurilor surprinde caracterul neliniar al opțiunilor și al altor produse, precum și riscul de corelație și riscul de bază;</w:t>
      </w:r>
    </w:p>
    <w:p w14:paraId="511F1C38"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 xml:space="preserve">380.3. modelul intern de măsurare a riscurilor încorporează un set de factori de risc corespunzători ratelor dobânzii pentru fiecare monedă în care banca înregistrează poziții bilanțiere sau </w:t>
      </w:r>
      <w:proofErr w:type="spellStart"/>
      <w:r w:rsidRPr="00770B4B">
        <w:rPr>
          <w:rFonts w:ascii="Times New Roman" w:hAnsi="Times New Roman" w:cs="Times New Roman"/>
          <w:sz w:val="24"/>
          <w:szCs w:val="24"/>
        </w:rPr>
        <w:t>extrabilanțiere</w:t>
      </w:r>
      <w:proofErr w:type="spellEnd"/>
      <w:r w:rsidRPr="00770B4B">
        <w:rPr>
          <w:rFonts w:ascii="Times New Roman" w:hAnsi="Times New Roman" w:cs="Times New Roman"/>
          <w:sz w:val="24"/>
          <w:szCs w:val="24"/>
        </w:rPr>
        <w:t xml:space="preserve"> sensibile la rata dobânzii; banca modelează curbele de randament folosind una dintre abordările general acceptate; curba de randament este divizată în diferite benzi de scadență pentru a surprinde variațiile volatilității ratelor de-a lungul curbei de randament; pentru expunerile semnificative la riscul de rată a dobânzii în monede și pe piețe importante, curba de randament trebuie modelată cu ajutorul a minimum șase benzi de scadență, iar numărul de factori de risc utilizați pentru a modela curba de randament trebuie să fie proporțional cu natura și complexitatea strategiilor de tranzacționare ale băncii; modelul trebuie, de asemenea, să surprindă diversificarea riscului legat de variațiile imperfect corelate ale diferitelor curbe de randament sau ale diferitelor instrumente financiare asupra aceluiași emitent-suport;</w:t>
      </w:r>
    </w:p>
    <w:p w14:paraId="318A6B4F"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 xml:space="preserve">380.4. modelul intern de măsurare a riscurilor încorporează factorii de risc corespunzători aurului și valutelor individuale în care sunt denominate pozițiile băncii; în cazul OPC-urilor, se iau în considerare </w:t>
      </w:r>
      <w:r w:rsidRPr="00770B4B">
        <w:rPr>
          <w:rFonts w:ascii="Times New Roman" w:hAnsi="Times New Roman" w:cs="Times New Roman"/>
          <w:sz w:val="24"/>
          <w:szCs w:val="24"/>
        </w:rPr>
        <w:lastRenderedPageBreak/>
        <w:t>pozițiile pe valută efective ale acestora; băncile se pot baza pe raportările terților privind poziția pe valută a unui OPC cu condiția asigurării în mod adecvat a corectitudinii acestor raportări;</w:t>
      </w:r>
    </w:p>
    <w:p w14:paraId="26437CCF"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380.5. gradul de sofisticare al tehnicii de modelare este proporțional cu importanța activităților băncii pe piețele de titluri de capital respective; modelul intern de măsurare a riscurilor utilizează un factor de risc distinct cel puțin pentru fiecare dintre piețele de titluri de capital pe care banca deține poziții semnificative și cel puțin un factor de risc care reflectă variațiile sistemice ale prețurilor titlurilor de capital și dependența factorului de risc respectiv de factorii de risc individuali pentru fiecare piață de titluri de capital;</w:t>
      </w:r>
    </w:p>
    <w:p w14:paraId="0617D324" w14:textId="77777777" w:rsid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380.6. modelul intern de măsurare a riscurilor utilizează un factor de risc distinct cel puțin pentru fiecare marfă pe care banca deține poziții semnificative, cu excepția cazului în care banca deține o poziție agregată pe mărfuri de dimensiuni modeste în raport cu toate activitățile sale de tranzacționare; în acest caz, acesta poate utiliza un factor de risc distinct pentru fiecare tip general de mărfuri; în cazul expunerilor semnificative la piețele de mărfuri, modelul reflectă riscul variațiilor imperfect corelate între mărfuri care sunt similare, dar nu identice, expunerea la modificări ale prețurilor la termen rezultate din neconcordanțe de scadențe și randamentul de comoditate între pozițiile pe instrumente financiare derivate și pe numerar;</w:t>
      </w:r>
    </w:p>
    <w:p w14:paraId="7C8694E4" w14:textId="5FD6EF3F"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380.7. substituenții utilizați își dovedesc utilitatea printr-un istoric corespunzător pentru pozițiile reale deținute, sunt suficient de prudenți și sunt utilizați doar atunci când datele disponibile sunt insuficiente, cum ar fi în perioada de criză menționată la</w:t>
      </w:r>
      <w:r w:rsidR="003D343F">
        <w:rPr>
          <w:rFonts w:ascii="Times New Roman" w:hAnsi="Times New Roman" w:cs="Times New Roman"/>
          <w:sz w:val="24"/>
          <w:szCs w:val="24"/>
        </w:rPr>
        <w:t xml:space="preserve"> </w:t>
      </w:r>
      <w:r w:rsidR="003D343F" w:rsidRPr="003D343F">
        <w:rPr>
          <w:rFonts w:ascii="Times New Roman" w:hAnsi="Times New Roman" w:cs="Times New Roman"/>
          <w:sz w:val="24"/>
          <w:szCs w:val="24"/>
        </w:rPr>
        <w:t>subpct.349.3</w:t>
      </w:r>
      <w:r w:rsidRPr="003D343F">
        <w:rPr>
          <w:rFonts w:ascii="Times New Roman" w:hAnsi="Times New Roman" w:cs="Times New Roman"/>
          <w:sz w:val="24"/>
          <w:szCs w:val="24"/>
        </w:rPr>
        <w:t>;</w:t>
      </w:r>
    </w:p>
    <w:p w14:paraId="520AE85C"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 xml:space="preserve">380.8. în cazul expunerilor semnificative la riscuri de volatilitate pe instrumente cu opționalitate, modelul intern de măsurare a riscurilor reflectă dependența </w:t>
      </w:r>
      <w:proofErr w:type="spellStart"/>
      <w:r w:rsidRPr="00770B4B">
        <w:rPr>
          <w:rFonts w:ascii="Times New Roman" w:hAnsi="Times New Roman" w:cs="Times New Roman"/>
          <w:sz w:val="24"/>
          <w:szCs w:val="24"/>
        </w:rPr>
        <w:t>volatilităților</w:t>
      </w:r>
      <w:proofErr w:type="spellEnd"/>
      <w:r w:rsidRPr="00770B4B">
        <w:rPr>
          <w:rFonts w:ascii="Times New Roman" w:hAnsi="Times New Roman" w:cs="Times New Roman"/>
          <w:sz w:val="24"/>
          <w:szCs w:val="24"/>
        </w:rPr>
        <w:t xml:space="preserve"> implicite în raport cu toate prețurile de exercitare și toate scadențele opțiunilor;</w:t>
      </w:r>
    </w:p>
    <w:p w14:paraId="0781033E"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380.9. pentru pozițiile pe OPC-uri, băncile aplică abordarea de tip </w:t>
      </w:r>
      <w:r w:rsidRPr="00770B4B">
        <w:rPr>
          <w:rFonts w:ascii="Times New Roman" w:hAnsi="Times New Roman" w:cs="Times New Roman"/>
          <w:i/>
          <w:iCs/>
          <w:sz w:val="24"/>
          <w:szCs w:val="24"/>
        </w:rPr>
        <w:t>look-</w:t>
      </w:r>
      <w:proofErr w:type="spellStart"/>
      <w:r w:rsidRPr="00770B4B">
        <w:rPr>
          <w:rFonts w:ascii="Times New Roman" w:hAnsi="Times New Roman" w:cs="Times New Roman"/>
          <w:i/>
          <w:iCs/>
          <w:sz w:val="24"/>
          <w:szCs w:val="24"/>
        </w:rPr>
        <w:t>through</w:t>
      </w:r>
      <w:proofErr w:type="spellEnd"/>
      <w:r w:rsidRPr="00770B4B">
        <w:rPr>
          <w:rFonts w:ascii="Times New Roman" w:hAnsi="Times New Roman" w:cs="Times New Roman"/>
          <w:sz w:val="24"/>
          <w:szCs w:val="24"/>
        </w:rPr>
        <w:t> pozițiilor-suport ale OPC-urilor cel puțin o dată pe săptămână pentru a-și calcula cerințele de fonduri proprii în conformitate cu prezentul capitol; în cazul în care abordarea de tip look-</w:t>
      </w:r>
      <w:proofErr w:type="spellStart"/>
      <w:r w:rsidRPr="00770B4B">
        <w:rPr>
          <w:rFonts w:ascii="Times New Roman" w:hAnsi="Times New Roman" w:cs="Times New Roman"/>
          <w:sz w:val="24"/>
          <w:szCs w:val="24"/>
        </w:rPr>
        <w:t>through</w:t>
      </w:r>
      <w:proofErr w:type="spellEnd"/>
      <w:r w:rsidRPr="00770B4B">
        <w:rPr>
          <w:rFonts w:ascii="Times New Roman" w:hAnsi="Times New Roman" w:cs="Times New Roman"/>
          <w:sz w:val="24"/>
          <w:szCs w:val="24"/>
        </w:rPr>
        <w:t xml:space="preserve"> este efectuată săptămânal, băncile sunt în măsură să monitorizeze riscurile care rezultă din modificările semnificative ale compoziției OPC-ului; băncile care nu dispun de date de intrare sau de informații adecvate pentru a calcula cerințele de fonduri proprii pentru riscul de piață aferentă unei poziții pe un OPC în conformitate cu abordarea de tip </w:t>
      </w:r>
      <w:r w:rsidRPr="00770B4B">
        <w:rPr>
          <w:rFonts w:ascii="Times New Roman" w:hAnsi="Times New Roman" w:cs="Times New Roman"/>
          <w:i/>
          <w:iCs/>
          <w:sz w:val="24"/>
          <w:szCs w:val="24"/>
        </w:rPr>
        <w:t>look-</w:t>
      </w:r>
      <w:proofErr w:type="spellStart"/>
      <w:r w:rsidRPr="00770B4B">
        <w:rPr>
          <w:rFonts w:ascii="Times New Roman" w:hAnsi="Times New Roman" w:cs="Times New Roman"/>
          <w:i/>
          <w:iCs/>
          <w:sz w:val="24"/>
          <w:szCs w:val="24"/>
        </w:rPr>
        <w:t>through</w:t>
      </w:r>
      <w:proofErr w:type="spellEnd"/>
      <w:r w:rsidRPr="00770B4B">
        <w:rPr>
          <w:rFonts w:ascii="Times New Roman" w:hAnsi="Times New Roman" w:cs="Times New Roman"/>
          <w:sz w:val="24"/>
          <w:szCs w:val="24"/>
        </w:rPr>
        <w:t> se pot baza pe o terță parte pentru a obține datele de intrare sau informațiile respective, dacă sunt îndeplinite toate condițiile următoare:</w:t>
      </w:r>
    </w:p>
    <w:p w14:paraId="7B6611A0" w14:textId="77777777" w:rsidR="00770B4B" w:rsidRDefault="00770B4B" w:rsidP="00770B4B">
      <w:pPr>
        <w:rPr>
          <w:rFonts w:ascii="Times New Roman" w:hAnsi="Times New Roman" w:cs="Times New Roman"/>
          <w:sz w:val="24"/>
          <w:szCs w:val="24"/>
        </w:rPr>
      </w:pPr>
      <w:r w:rsidRPr="00A0624D">
        <w:rPr>
          <w:rFonts w:ascii="Times New Roman" w:hAnsi="Times New Roman" w:cs="Times New Roman"/>
          <w:sz w:val="24"/>
          <w:szCs w:val="24"/>
        </w:rPr>
        <w:t>380.9.1. partea terță este una dintre entitățile următoare:</w:t>
      </w:r>
    </w:p>
    <w:p w14:paraId="3C189278" w14:textId="7A71DB02" w:rsidR="00A0624D" w:rsidRPr="00770B4B" w:rsidRDefault="00A0624D" w:rsidP="00770B4B">
      <w:pPr>
        <w:rPr>
          <w:rFonts w:ascii="Times New Roman" w:hAnsi="Times New Roman" w:cs="Times New Roman"/>
          <w:sz w:val="24"/>
          <w:szCs w:val="24"/>
        </w:rPr>
      </w:pPr>
      <w:r w:rsidRPr="00A0624D">
        <w:rPr>
          <w:rFonts w:ascii="Times New Roman" w:hAnsi="Times New Roman" w:cs="Times New Roman"/>
          <w:sz w:val="24"/>
          <w:szCs w:val="24"/>
        </w:rPr>
        <w:t>380.9.1.1. banca depozitară sau instituția financiară depozitară a OPC-ului, cu condiția ca OPC-</w:t>
      </w:r>
      <w:r w:rsidRPr="00101345">
        <w:rPr>
          <w:rFonts w:ascii="Times New Roman" w:hAnsi="Times New Roman" w:cs="Times New Roman"/>
          <w:sz w:val="24"/>
          <w:szCs w:val="24"/>
        </w:rPr>
        <w:t>ul să investească exclusiv în titluri de valoare și să depoziteze toate titlurile de valoare la această bancă sau instituție financiară depozitară;</w:t>
      </w:r>
    </w:p>
    <w:p w14:paraId="5F1B6CDE"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380.9.1.2. societatea de administrare a OPC-ului, cu condiția să îndeplinească criteriile prevăzute la pct.82</w:t>
      </w:r>
      <w:r w:rsidRPr="00770B4B">
        <w:rPr>
          <w:rFonts w:ascii="Times New Roman" w:hAnsi="Times New Roman" w:cs="Times New Roman"/>
          <w:sz w:val="24"/>
          <w:szCs w:val="24"/>
          <w:vertAlign w:val="superscript"/>
        </w:rPr>
        <w:t>4</w:t>
      </w:r>
      <w:r w:rsidRPr="00770B4B">
        <w:rPr>
          <w:rFonts w:ascii="Times New Roman" w:hAnsi="Times New Roman" w:cs="Times New Roman"/>
          <w:sz w:val="24"/>
          <w:szCs w:val="24"/>
        </w:rPr>
        <w:t xml:space="preserve"> subpct.1) din Regulamentul nr.113/2018 ;</w:t>
      </w:r>
    </w:p>
    <w:p w14:paraId="3A2C6B59"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 xml:space="preserve">380.9.1.3. un furnizor terț, cu condiția ca datele, informațiile sau indicatorii de risc să fie puși la dispoziție sau calculați de către părțile terțe menționate la </w:t>
      </w:r>
      <w:proofErr w:type="spellStart"/>
      <w:r w:rsidRPr="00770B4B">
        <w:rPr>
          <w:rFonts w:ascii="Times New Roman" w:hAnsi="Times New Roman" w:cs="Times New Roman"/>
          <w:sz w:val="24"/>
          <w:szCs w:val="24"/>
        </w:rPr>
        <w:t>subpct</w:t>
      </w:r>
      <w:proofErr w:type="spellEnd"/>
      <w:r w:rsidRPr="00770B4B">
        <w:rPr>
          <w:rFonts w:ascii="Times New Roman" w:hAnsi="Times New Roman" w:cs="Times New Roman"/>
          <w:sz w:val="24"/>
          <w:szCs w:val="24"/>
        </w:rPr>
        <w:t>. 380.9.1.1  sau 380.9.1.2 sau de către un alt furnizor terț de acest tip;</w:t>
      </w:r>
    </w:p>
    <w:p w14:paraId="551F01FC"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380.9.2. partea terță furnizează băncii datele, informațiile sau indicatorii de risc pentru a calcula cerințele de fonduri proprii pentru riscul de piață aferentă poziției pe OPC în conformitate cu abordarea de tip </w:t>
      </w:r>
      <w:r w:rsidRPr="00770B4B">
        <w:rPr>
          <w:rFonts w:ascii="Times New Roman" w:hAnsi="Times New Roman" w:cs="Times New Roman"/>
          <w:i/>
          <w:iCs/>
          <w:sz w:val="24"/>
          <w:szCs w:val="24"/>
        </w:rPr>
        <w:t>look-</w:t>
      </w:r>
      <w:proofErr w:type="spellStart"/>
      <w:r w:rsidRPr="00770B4B">
        <w:rPr>
          <w:rFonts w:ascii="Times New Roman" w:hAnsi="Times New Roman" w:cs="Times New Roman"/>
          <w:i/>
          <w:iCs/>
          <w:sz w:val="24"/>
          <w:szCs w:val="24"/>
        </w:rPr>
        <w:t>through</w:t>
      </w:r>
      <w:proofErr w:type="spellEnd"/>
      <w:r w:rsidRPr="00770B4B">
        <w:rPr>
          <w:rFonts w:ascii="Times New Roman" w:hAnsi="Times New Roman" w:cs="Times New Roman"/>
          <w:sz w:val="24"/>
          <w:szCs w:val="24"/>
        </w:rPr>
        <w:t> menționată la subpct.380.9;</w:t>
      </w:r>
    </w:p>
    <w:p w14:paraId="108FED12" w14:textId="219BF36B"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380.9.3. un auditor extern al băncii a confirmat caracterul adecvat al datelor, al informațiilor sau al indicatorilor de risc de la partea terță menționați la subpct.380.9.2 și BNM are acces nerestricționat la aceste date, informații sau indicatori de risc la cerere;</w:t>
      </w:r>
    </w:p>
    <w:p w14:paraId="40E4D9C1" w14:textId="54AB7A8E" w:rsid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lastRenderedPageBreak/>
        <w:t xml:space="preserve">381.   Băncile pot utiliza corelații empirice în cadrul categoriilor generale de factori de risc și, în scopul calculării măsurii valorii la risc condiționate nerestricționate </w:t>
      </w:r>
      <w:proofErr w:type="spellStart"/>
      <w:r w:rsidRPr="00770B4B">
        <w:rPr>
          <w:rFonts w:ascii="Times New Roman" w:hAnsi="Times New Roman" w:cs="Times New Roman"/>
          <w:sz w:val="24"/>
          <w:szCs w:val="24"/>
        </w:rPr>
        <w:t>UES</w:t>
      </w:r>
      <w:r w:rsidRPr="00770B4B">
        <w:rPr>
          <w:rFonts w:ascii="Times New Roman" w:hAnsi="Times New Roman" w:cs="Times New Roman"/>
          <w:sz w:val="24"/>
          <w:szCs w:val="24"/>
          <w:vertAlign w:val="subscript"/>
        </w:rPr>
        <w:t>t</w:t>
      </w:r>
      <w:proofErr w:type="spellEnd"/>
      <w:r w:rsidRPr="00770B4B">
        <w:rPr>
          <w:rFonts w:ascii="Times New Roman" w:hAnsi="Times New Roman" w:cs="Times New Roman"/>
          <w:sz w:val="24"/>
          <w:szCs w:val="24"/>
        </w:rPr>
        <w:t xml:space="preserve"> menționate la </w:t>
      </w:r>
      <w:r w:rsidR="002134BB" w:rsidRPr="002134BB">
        <w:rPr>
          <w:rFonts w:ascii="Times New Roman" w:hAnsi="Times New Roman" w:cs="Times New Roman"/>
          <w:sz w:val="24"/>
          <w:szCs w:val="24"/>
        </w:rPr>
        <w:t>pct.344</w:t>
      </w:r>
      <w:r w:rsidRPr="00CC1E9B">
        <w:rPr>
          <w:rFonts w:ascii="Times New Roman" w:hAnsi="Times New Roman" w:cs="Times New Roman"/>
          <w:sz w:val="24"/>
          <w:szCs w:val="24"/>
        </w:rPr>
        <w:t>,</w:t>
      </w:r>
      <w:r w:rsidRPr="00770B4B">
        <w:rPr>
          <w:rFonts w:ascii="Times New Roman" w:hAnsi="Times New Roman" w:cs="Times New Roman"/>
          <w:sz w:val="24"/>
          <w:szCs w:val="24"/>
        </w:rPr>
        <w:t xml:space="preserve"> în raport cu toate categoriile generale de factori de risc numai dacă abordarea băncii cu privire la măsurarea corelațiilor respective este judicioasă, consecventă fie cu orizonturile de lichiditate aplicabile, fie, în măsură satisfăcătoare pentru BNM, cu orizontul de timp de bază de 10 zile prevăzut la </w:t>
      </w:r>
      <w:r w:rsidR="003D343F" w:rsidRPr="002134BB">
        <w:rPr>
          <w:rFonts w:ascii="Times New Roman" w:hAnsi="Times New Roman" w:cs="Times New Roman"/>
          <w:sz w:val="24"/>
          <w:szCs w:val="24"/>
        </w:rPr>
        <w:t>pct.348</w:t>
      </w:r>
      <w:r w:rsidRPr="00770B4B">
        <w:rPr>
          <w:rFonts w:ascii="Times New Roman" w:hAnsi="Times New Roman" w:cs="Times New Roman"/>
          <w:sz w:val="24"/>
          <w:szCs w:val="24"/>
        </w:rPr>
        <w:t>, și implementată cu integritate.</w:t>
      </w:r>
    </w:p>
    <w:p w14:paraId="1DE17366" w14:textId="6D14E4DF" w:rsidR="00770B4B" w:rsidRPr="00CC1E9B" w:rsidRDefault="00770B4B" w:rsidP="00770B4B">
      <w:pPr>
        <w:rPr>
          <w:rFonts w:ascii="Times New Roman" w:hAnsi="Times New Roman" w:cs="Times New Roman"/>
          <w:b/>
          <w:bCs/>
          <w:i/>
          <w:iCs/>
          <w:sz w:val="24"/>
          <w:szCs w:val="24"/>
        </w:rPr>
      </w:pPr>
      <w:bookmarkStart w:id="61" w:name="_Hlk195098927"/>
      <w:r w:rsidRPr="00CC1E9B">
        <w:rPr>
          <w:rFonts w:ascii="Times New Roman" w:hAnsi="Times New Roman" w:cs="Times New Roman"/>
          <w:b/>
          <w:bCs/>
          <w:i/>
          <w:iCs/>
          <w:sz w:val="24"/>
          <w:szCs w:val="24"/>
        </w:rPr>
        <w:t>Subsecțiunea 8. Cerințe calitative</w:t>
      </w:r>
      <w:bookmarkEnd w:id="61"/>
    </w:p>
    <w:p w14:paraId="3C144636"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382.   Orice model intern de măsurare a riscurilor utilizat în sensul prezentului capitol este solid din punct de vedere conceptual, este calculat și implementat cu integritate și îndeplinește cumulativ cerințele calitative următoare:</w:t>
      </w:r>
    </w:p>
    <w:p w14:paraId="70D651BE"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381.1. orice model intern de măsurare a riscurilor utilizat pentru a calcula cerințele de capital pentru riscul de piață face parte integrantă din procesul băncii de administrare zilnică a riscului și servește ca bază pentru raportarea expunerilor la risc către conducerea superioară;</w:t>
      </w:r>
    </w:p>
    <w:p w14:paraId="690AD4D7"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381.2. o bancă are o unitate de control al riscului care este independentă de unitățile care desfășoară activități de tranzacționare și care raportează direct conducerii superioare; unitatea în cauză:</w:t>
      </w:r>
    </w:p>
    <w:p w14:paraId="5F942ED2"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381.2.1. este responsabilă pentru conceperea și implementarea oricărui model intern de măsurare a riscurilor utilizat în abordarea bazată pe modele interne alternativă în sensul prezentului capitol;</w:t>
      </w:r>
    </w:p>
    <w:p w14:paraId="52D50BA6"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381.2.2. răspunde de sistemul global de gestionare a riscurilor;</w:t>
      </w:r>
    </w:p>
    <w:p w14:paraId="522CC595"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381.2.3. produce și analizează rapoarte zilnice asupra rezultatelor oricărui model intern utilizat pentru a calcula cerințele de fonduri proprii pentru riscul de piață, precum și asupra caracterului adecvat al măsurilor care trebuie luate în ceea ce privește limitele de tranzacționare;</w:t>
      </w:r>
    </w:p>
    <w:p w14:paraId="1AA4BCA6"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 xml:space="preserve">381.3. organul de conducere și conducerea superioară sunt implicate în mod activ în procesul de control al riscului, iar rapoartele zilnice realizate de către unitatea de control al riscului sunt reexaminate la un nivel al conducerii care deține suficientă autoritate pentru a impune diminuarea pozițiilor asumate de fiecare </w:t>
      </w:r>
      <w:proofErr w:type="spellStart"/>
      <w:r w:rsidRPr="00770B4B">
        <w:rPr>
          <w:rFonts w:ascii="Times New Roman" w:hAnsi="Times New Roman" w:cs="Times New Roman"/>
          <w:sz w:val="24"/>
          <w:szCs w:val="24"/>
        </w:rPr>
        <w:t>trader</w:t>
      </w:r>
      <w:proofErr w:type="spellEnd"/>
      <w:r w:rsidRPr="00770B4B">
        <w:rPr>
          <w:rFonts w:ascii="Times New Roman" w:hAnsi="Times New Roman" w:cs="Times New Roman"/>
          <w:sz w:val="24"/>
          <w:szCs w:val="24"/>
        </w:rPr>
        <w:t xml:space="preserve"> și diminuarea expunerii totale la risc a băncii;</w:t>
      </w:r>
    </w:p>
    <w:p w14:paraId="3CE5E5C6"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 xml:space="preserve">381.4. banca are personal suficient de numeros care să aibă un nivel de calificare adecvat în utilizarea modelelor interne sofisticate de măsurare a riscurilor și personal suficient de numeros care să dețină calificări în domenii precum tranzacționarea, controlul riscurilor, auditul și înregistrarea și monitorizarea tranzacțiilor inițiate („back </w:t>
      </w:r>
      <w:proofErr w:type="spellStart"/>
      <w:r w:rsidRPr="00770B4B">
        <w:rPr>
          <w:rFonts w:ascii="Times New Roman" w:hAnsi="Times New Roman" w:cs="Times New Roman"/>
          <w:sz w:val="24"/>
          <w:szCs w:val="24"/>
        </w:rPr>
        <w:t>office</w:t>
      </w:r>
      <w:proofErr w:type="spellEnd"/>
      <w:r w:rsidRPr="00770B4B">
        <w:rPr>
          <w:rFonts w:ascii="Times New Roman" w:hAnsi="Times New Roman" w:cs="Times New Roman"/>
          <w:sz w:val="24"/>
          <w:szCs w:val="24"/>
        </w:rPr>
        <w:t>”);</w:t>
      </w:r>
    </w:p>
    <w:p w14:paraId="5AACC2FB"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381.5. banca dispune de un set bine documentat de politici, proceduri și mecanisme de control interne pentru a monitoriza și a asigura conformitatea cu funcționarea generală a modelelor sale interne de măsurare a riscurilor;</w:t>
      </w:r>
    </w:p>
    <w:p w14:paraId="30C10029"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381.6. orice model intern de măsurare a riscurilor, inclusiv orice model de evaluare, are un istoric dovedit în ceea ce privește acuratețea rezonabilă a acestuia în măsurarea riscurilor și nu diferă semnificativ de modelele utilizate de bancă pentru administrarea sa internă a riscurilor;</w:t>
      </w:r>
    </w:p>
    <w:p w14:paraId="772FEABA"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 xml:space="preserve">381.7. banca derulează în mod frecvent programe riguroase de simulări de criză, inclusiv simulări de criză în sens invers („reverse </w:t>
      </w:r>
      <w:proofErr w:type="spellStart"/>
      <w:r w:rsidRPr="00770B4B">
        <w:rPr>
          <w:rFonts w:ascii="Times New Roman" w:hAnsi="Times New Roman" w:cs="Times New Roman"/>
          <w:sz w:val="24"/>
          <w:szCs w:val="24"/>
        </w:rPr>
        <w:t>stress</w:t>
      </w:r>
      <w:proofErr w:type="spellEnd"/>
      <w:r w:rsidRPr="00770B4B">
        <w:rPr>
          <w:rFonts w:ascii="Times New Roman" w:hAnsi="Times New Roman" w:cs="Times New Roman"/>
          <w:sz w:val="24"/>
          <w:szCs w:val="24"/>
        </w:rPr>
        <w:t xml:space="preserve"> </w:t>
      </w:r>
      <w:proofErr w:type="spellStart"/>
      <w:r w:rsidRPr="00770B4B">
        <w:rPr>
          <w:rFonts w:ascii="Times New Roman" w:hAnsi="Times New Roman" w:cs="Times New Roman"/>
          <w:sz w:val="24"/>
          <w:szCs w:val="24"/>
        </w:rPr>
        <w:t>tests</w:t>
      </w:r>
      <w:proofErr w:type="spellEnd"/>
      <w:r w:rsidRPr="00770B4B">
        <w:rPr>
          <w:rFonts w:ascii="Times New Roman" w:hAnsi="Times New Roman" w:cs="Times New Roman"/>
          <w:sz w:val="24"/>
          <w:szCs w:val="24"/>
        </w:rPr>
        <w:t>”), care cuprind orice model intern de măsurare a riscurilor; rezultatele respectivelor simulări de criză sunt analizate de conducerea superioară cel puțin o dată pe lună și sunt conforme cu politicile și limitele aprobate de către organul de conducere; banca ia măsuri corespunzătoare în cazul în care rezultatele simulărilor de criză arată pierderi excesive generate de activitățile de tranzacționare ale băncii în anumite circumstanțe;</w:t>
      </w:r>
    </w:p>
    <w:p w14:paraId="044CC681"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lastRenderedPageBreak/>
        <w:t>381.8. banca desfășoară, într-un mod pe care  BNM îl consideră satisfăcător, o analiză independentă a modelelor sale interne de măsurare a riscurilor, fie în cadrul procesului său periodic de audit intern, fie prin mandatarea unei întreprinderi terțe să efectueze analiza în cauză.</w:t>
      </w:r>
    </w:p>
    <w:p w14:paraId="1067E9C1" w14:textId="77777777" w:rsidR="00770B4B" w:rsidRPr="00770B4B"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382. O unitate de validare, care este separată de unitatea de control al riscului menționată la subpct.381.2, efectuează validarea inițială și continuă a oricărui model intern de măsurare a riscurilor utilizat în abordarea bazată pe modele interne alternativă în sensul prezentului capitol.</w:t>
      </w:r>
    </w:p>
    <w:p w14:paraId="052766E0" w14:textId="7D7F4F00" w:rsidR="000E62FD" w:rsidRDefault="00770B4B" w:rsidP="00770B4B">
      <w:pPr>
        <w:rPr>
          <w:rFonts w:ascii="Times New Roman" w:hAnsi="Times New Roman" w:cs="Times New Roman"/>
          <w:sz w:val="24"/>
          <w:szCs w:val="24"/>
        </w:rPr>
      </w:pPr>
      <w:r w:rsidRPr="00770B4B">
        <w:rPr>
          <w:rFonts w:ascii="Times New Roman" w:hAnsi="Times New Roman" w:cs="Times New Roman"/>
          <w:sz w:val="24"/>
          <w:szCs w:val="24"/>
        </w:rPr>
        <w:t>383. În sensul subpct.381.8, o întreprindere terță înseamnă o întreprindere care furnizează servicii de audit sau de consultanță către bănci și care are personal cu suficiente calificări în domeniul riscului de piață în cadrul activităților de tranzacționare.</w:t>
      </w:r>
    </w:p>
    <w:p w14:paraId="3FA0F6F7" w14:textId="77777777" w:rsidR="009C1570" w:rsidRPr="009C1570" w:rsidRDefault="009C1570" w:rsidP="009C1570">
      <w:pPr>
        <w:rPr>
          <w:rFonts w:ascii="Times New Roman" w:hAnsi="Times New Roman" w:cs="Times New Roman"/>
          <w:sz w:val="24"/>
          <w:szCs w:val="24"/>
        </w:rPr>
      </w:pPr>
      <w:r w:rsidRPr="009C1570">
        <w:rPr>
          <w:rFonts w:ascii="Times New Roman" w:hAnsi="Times New Roman" w:cs="Times New Roman"/>
          <w:sz w:val="24"/>
          <w:szCs w:val="24"/>
        </w:rPr>
        <w:t>384.  Analiza menționată la subpct.381.8 include atât activitățile unităților care desfășoară activități de tranzacționare, cât și activitățile unității independente de control al riscului. Banca își reexaminează procesul general de administrare a riscurilor cel puțin o dată pe an. Reexaminarea evaluează următoarele aspecte:</w:t>
      </w:r>
    </w:p>
    <w:p w14:paraId="1D2F3581" w14:textId="77777777" w:rsidR="009C1570" w:rsidRPr="009C1570" w:rsidRDefault="009C1570" w:rsidP="009C1570">
      <w:pPr>
        <w:rPr>
          <w:rFonts w:ascii="Times New Roman" w:hAnsi="Times New Roman" w:cs="Times New Roman"/>
          <w:sz w:val="24"/>
          <w:szCs w:val="24"/>
        </w:rPr>
      </w:pPr>
      <w:r w:rsidRPr="009C1570">
        <w:rPr>
          <w:rFonts w:ascii="Times New Roman" w:hAnsi="Times New Roman" w:cs="Times New Roman"/>
          <w:sz w:val="24"/>
          <w:szCs w:val="24"/>
        </w:rPr>
        <w:t>384.1. caracterul adecvat al documentației sistemului și procesului de administrare a riscului, precum și organizarea unității de control al riscului;</w:t>
      </w:r>
    </w:p>
    <w:p w14:paraId="37244C30" w14:textId="77777777" w:rsidR="009C1570" w:rsidRPr="009C1570" w:rsidRDefault="009C1570" w:rsidP="009C1570">
      <w:pPr>
        <w:rPr>
          <w:rFonts w:ascii="Times New Roman" w:hAnsi="Times New Roman" w:cs="Times New Roman"/>
          <w:sz w:val="24"/>
          <w:szCs w:val="24"/>
        </w:rPr>
      </w:pPr>
      <w:r w:rsidRPr="009C1570">
        <w:rPr>
          <w:rFonts w:ascii="Times New Roman" w:hAnsi="Times New Roman" w:cs="Times New Roman"/>
          <w:sz w:val="24"/>
          <w:szCs w:val="24"/>
        </w:rPr>
        <w:t>384.2. integrarea rezultatelor măsurării riscurilor în cadrul gestionării zilnice a riscurilor și integritatea sistemului de informare a conducerii;</w:t>
      </w:r>
    </w:p>
    <w:p w14:paraId="068B9B5E" w14:textId="77777777" w:rsidR="009C1570" w:rsidRPr="009C1570" w:rsidRDefault="009C1570" w:rsidP="009C1570">
      <w:pPr>
        <w:rPr>
          <w:rFonts w:ascii="Times New Roman" w:hAnsi="Times New Roman" w:cs="Times New Roman"/>
          <w:sz w:val="24"/>
          <w:szCs w:val="24"/>
        </w:rPr>
      </w:pPr>
      <w:r w:rsidRPr="009C1570">
        <w:rPr>
          <w:rFonts w:ascii="Times New Roman" w:hAnsi="Times New Roman" w:cs="Times New Roman"/>
          <w:sz w:val="24"/>
          <w:szCs w:val="24"/>
        </w:rPr>
        <w:t>384.3. procesele pe care banca le utilizează pentru aprobarea modelelor de evaluare a riscului („</w:t>
      </w:r>
      <w:proofErr w:type="spellStart"/>
      <w:r w:rsidRPr="009C1570">
        <w:rPr>
          <w:rFonts w:ascii="Times New Roman" w:hAnsi="Times New Roman" w:cs="Times New Roman"/>
          <w:sz w:val="24"/>
          <w:szCs w:val="24"/>
        </w:rPr>
        <w:t>risk-pricing</w:t>
      </w:r>
      <w:proofErr w:type="spellEnd"/>
      <w:r w:rsidRPr="009C1570">
        <w:rPr>
          <w:rFonts w:ascii="Times New Roman" w:hAnsi="Times New Roman" w:cs="Times New Roman"/>
          <w:sz w:val="24"/>
          <w:szCs w:val="24"/>
        </w:rPr>
        <w:t xml:space="preserve"> </w:t>
      </w:r>
      <w:proofErr w:type="spellStart"/>
      <w:r w:rsidRPr="009C1570">
        <w:rPr>
          <w:rFonts w:ascii="Times New Roman" w:hAnsi="Times New Roman" w:cs="Times New Roman"/>
          <w:sz w:val="24"/>
          <w:szCs w:val="24"/>
        </w:rPr>
        <w:t>models</w:t>
      </w:r>
      <w:proofErr w:type="spellEnd"/>
      <w:r w:rsidRPr="009C1570">
        <w:rPr>
          <w:rFonts w:ascii="Times New Roman" w:hAnsi="Times New Roman" w:cs="Times New Roman"/>
          <w:sz w:val="24"/>
          <w:szCs w:val="24"/>
        </w:rPr>
        <w:t xml:space="preserve">”) și pentru aprobarea sistemelor de evaluare care sunt folosite de către personalul din unitățile responsabile cu inițierea tranzacțiilor („front </w:t>
      </w:r>
      <w:proofErr w:type="spellStart"/>
      <w:r w:rsidRPr="009C1570">
        <w:rPr>
          <w:rFonts w:ascii="Times New Roman" w:hAnsi="Times New Roman" w:cs="Times New Roman"/>
          <w:sz w:val="24"/>
          <w:szCs w:val="24"/>
        </w:rPr>
        <w:t>office</w:t>
      </w:r>
      <w:proofErr w:type="spellEnd"/>
      <w:r w:rsidRPr="009C1570">
        <w:rPr>
          <w:rFonts w:ascii="Times New Roman" w:hAnsi="Times New Roman" w:cs="Times New Roman"/>
          <w:sz w:val="24"/>
          <w:szCs w:val="24"/>
        </w:rPr>
        <w:t xml:space="preserve">”) și din unitățile responsabile cu înregistrarea și monitorizarea tranzacțiilor inițiate („back </w:t>
      </w:r>
      <w:proofErr w:type="spellStart"/>
      <w:r w:rsidRPr="009C1570">
        <w:rPr>
          <w:rFonts w:ascii="Times New Roman" w:hAnsi="Times New Roman" w:cs="Times New Roman"/>
          <w:sz w:val="24"/>
          <w:szCs w:val="24"/>
        </w:rPr>
        <w:t>office</w:t>
      </w:r>
      <w:proofErr w:type="spellEnd"/>
      <w:r w:rsidRPr="009C1570">
        <w:rPr>
          <w:rFonts w:ascii="Times New Roman" w:hAnsi="Times New Roman" w:cs="Times New Roman"/>
          <w:sz w:val="24"/>
          <w:szCs w:val="24"/>
        </w:rPr>
        <w:t>”);</w:t>
      </w:r>
    </w:p>
    <w:p w14:paraId="34D41507" w14:textId="77777777" w:rsidR="009C1570" w:rsidRPr="009C1570" w:rsidRDefault="009C1570" w:rsidP="009C1570">
      <w:pPr>
        <w:rPr>
          <w:rFonts w:ascii="Times New Roman" w:hAnsi="Times New Roman" w:cs="Times New Roman"/>
          <w:sz w:val="24"/>
          <w:szCs w:val="24"/>
        </w:rPr>
      </w:pPr>
      <w:r w:rsidRPr="009C1570">
        <w:rPr>
          <w:rFonts w:ascii="Times New Roman" w:hAnsi="Times New Roman" w:cs="Times New Roman"/>
          <w:sz w:val="24"/>
          <w:szCs w:val="24"/>
        </w:rPr>
        <w:t>384.4. sfera riscurilor surprinse de către model, acuratețea și adecvarea sistemului de măsurare a riscurilor și validarea oricăror modificări semnificative în cadrul modelului intern de măsurare a riscurilor;</w:t>
      </w:r>
    </w:p>
    <w:p w14:paraId="47378A01" w14:textId="77777777" w:rsidR="009C1570" w:rsidRPr="009C1570" w:rsidRDefault="009C1570" w:rsidP="009C1570">
      <w:pPr>
        <w:rPr>
          <w:rFonts w:ascii="Times New Roman" w:hAnsi="Times New Roman" w:cs="Times New Roman"/>
          <w:sz w:val="24"/>
          <w:szCs w:val="24"/>
        </w:rPr>
      </w:pPr>
      <w:r w:rsidRPr="009C1570">
        <w:rPr>
          <w:rFonts w:ascii="Times New Roman" w:hAnsi="Times New Roman" w:cs="Times New Roman"/>
          <w:sz w:val="24"/>
          <w:szCs w:val="24"/>
        </w:rPr>
        <w:t>384.5. acuratețea și caracterul complet al datelor aferente pozițiilor, acuratețea și caracterul adecvat în ceea ce privește ipotezele referitoare la volatilitate și corelare, acuratețea calculelor evaluării și ale sensibilității la risc, precum și acuratețea și caracterul adecvat al metodelor utilizate pentru generarea de date de substituire atunci când datele disponibile sunt insuficiente pentru a îndeplini cerința prevăzută în prezentul capitol;</w:t>
      </w:r>
    </w:p>
    <w:p w14:paraId="38B627BF" w14:textId="77777777" w:rsidR="009C1570" w:rsidRPr="009C1570" w:rsidRDefault="009C1570" w:rsidP="009C1570">
      <w:pPr>
        <w:rPr>
          <w:rFonts w:ascii="Times New Roman" w:hAnsi="Times New Roman" w:cs="Times New Roman"/>
          <w:sz w:val="24"/>
          <w:szCs w:val="24"/>
        </w:rPr>
      </w:pPr>
      <w:r w:rsidRPr="009C1570">
        <w:rPr>
          <w:rFonts w:ascii="Times New Roman" w:hAnsi="Times New Roman" w:cs="Times New Roman"/>
          <w:sz w:val="24"/>
          <w:szCs w:val="24"/>
        </w:rPr>
        <w:t>384.6. procesul de verificare pe care banca îl utilizează la evaluarea consecvenței, oportunității și fiabilității surselor de date utilizate pentru rularea modelelor sale interne de măsurare a riscurilor, inclusiv independența acestor surse de date;</w:t>
      </w:r>
    </w:p>
    <w:p w14:paraId="3F1FACFE" w14:textId="77777777" w:rsidR="009C1570" w:rsidRPr="009C1570" w:rsidRDefault="009C1570" w:rsidP="009C1570">
      <w:pPr>
        <w:rPr>
          <w:rFonts w:ascii="Times New Roman" w:hAnsi="Times New Roman" w:cs="Times New Roman"/>
          <w:sz w:val="24"/>
          <w:szCs w:val="24"/>
        </w:rPr>
      </w:pPr>
      <w:r w:rsidRPr="009C1570">
        <w:rPr>
          <w:rFonts w:ascii="Times New Roman" w:hAnsi="Times New Roman" w:cs="Times New Roman"/>
          <w:sz w:val="24"/>
          <w:szCs w:val="24"/>
        </w:rPr>
        <w:t>384.7. procesul de verificare pe care banca îl utilizează la evaluarea cerințelor privind testarea </w:t>
      </w:r>
      <w:r w:rsidRPr="009C1570">
        <w:rPr>
          <w:rFonts w:ascii="Times New Roman" w:hAnsi="Times New Roman" w:cs="Times New Roman"/>
          <w:i/>
          <w:iCs/>
          <w:sz w:val="24"/>
          <w:szCs w:val="24"/>
        </w:rPr>
        <w:t>ex post</w:t>
      </w:r>
      <w:r w:rsidRPr="009C1570">
        <w:rPr>
          <w:rFonts w:ascii="Times New Roman" w:hAnsi="Times New Roman" w:cs="Times New Roman"/>
          <w:sz w:val="24"/>
          <w:szCs w:val="24"/>
        </w:rPr>
        <w:t> și a cerințelor privind atribuirea profitului și a pierderii pentru a aprecia acuratețea modelelor sale interne de măsurare a riscurilor;</w:t>
      </w:r>
    </w:p>
    <w:p w14:paraId="58FA8FD9" w14:textId="3D3C679D" w:rsidR="009C1570" w:rsidRDefault="009C1570" w:rsidP="009C1570">
      <w:pPr>
        <w:rPr>
          <w:rFonts w:ascii="Times New Roman" w:hAnsi="Times New Roman" w:cs="Times New Roman"/>
          <w:sz w:val="24"/>
          <w:szCs w:val="24"/>
        </w:rPr>
      </w:pPr>
      <w:r w:rsidRPr="009C1570">
        <w:rPr>
          <w:rFonts w:ascii="Times New Roman" w:hAnsi="Times New Roman" w:cs="Times New Roman"/>
          <w:sz w:val="24"/>
          <w:szCs w:val="24"/>
        </w:rPr>
        <w:t>384.8. în cazul în care reexaminarea este efectuată de o întreprindere terță în conformitate cu subpct.381.8, verificarea faptului că procesul de validare internă prevăzut la subsecțiunea 9 își îndeplinește obiectivele.</w:t>
      </w:r>
    </w:p>
    <w:p w14:paraId="4EE0F951" w14:textId="1FC28FDD" w:rsidR="009C1570" w:rsidRDefault="009C1570" w:rsidP="009C1570">
      <w:pPr>
        <w:rPr>
          <w:rFonts w:ascii="Times New Roman" w:hAnsi="Times New Roman" w:cs="Times New Roman"/>
          <w:sz w:val="24"/>
          <w:szCs w:val="24"/>
        </w:rPr>
      </w:pPr>
      <w:r w:rsidRPr="009C1570">
        <w:rPr>
          <w:rFonts w:ascii="Times New Roman" w:hAnsi="Times New Roman" w:cs="Times New Roman"/>
          <w:sz w:val="24"/>
          <w:szCs w:val="24"/>
        </w:rPr>
        <w:t>385.   Băncile își actualizează tehnicile și practicile utilizate pentru oricare dintre modelele interne de măsurare a riscurilor pe care le folosesc în sensul prezentului capitol pentru a ține seama de evoluția noilor tehnici și bune practici care apar referitor la respectivele modele interne de măsurare a riscurilor.</w:t>
      </w:r>
    </w:p>
    <w:p w14:paraId="51AB741F" w14:textId="11C9FAC2" w:rsidR="009C1570" w:rsidRPr="00CC1E9B" w:rsidRDefault="00CC0EFE" w:rsidP="009C1570">
      <w:pPr>
        <w:rPr>
          <w:rFonts w:ascii="Times New Roman" w:hAnsi="Times New Roman" w:cs="Times New Roman"/>
          <w:b/>
          <w:bCs/>
          <w:i/>
          <w:iCs/>
          <w:sz w:val="24"/>
          <w:szCs w:val="24"/>
        </w:rPr>
      </w:pPr>
      <w:bookmarkStart w:id="62" w:name="_Hlk195098965"/>
      <w:r w:rsidRPr="00CC1E9B">
        <w:rPr>
          <w:rFonts w:ascii="Times New Roman" w:hAnsi="Times New Roman" w:cs="Times New Roman"/>
          <w:b/>
          <w:bCs/>
          <w:i/>
          <w:iCs/>
          <w:sz w:val="24"/>
          <w:szCs w:val="24"/>
        </w:rPr>
        <w:t>Subsecțiunea 9. Validarea internă</w:t>
      </w:r>
      <w:bookmarkEnd w:id="62"/>
    </w:p>
    <w:p w14:paraId="146B5137" w14:textId="6746EA14" w:rsidR="000E62FD" w:rsidRDefault="00CC0EFE" w:rsidP="004340D9">
      <w:pPr>
        <w:rPr>
          <w:rFonts w:ascii="Times New Roman" w:hAnsi="Times New Roman" w:cs="Times New Roman"/>
          <w:sz w:val="24"/>
          <w:szCs w:val="24"/>
        </w:rPr>
      </w:pPr>
      <w:r w:rsidRPr="00CC0EFE">
        <w:rPr>
          <w:rFonts w:ascii="Times New Roman" w:hAnsi="Times New Roman" w:cs="Times New Roman"/>
          <w:sz w:val="24"/>
          <w:szCs w:val="24"/>
        </w:rPr>
        <w:t>386.  Băncile dispun de proceduri pentru a asigura validarea adecvată a oricărui model intern de măsurare a riscurilor utilizat în sensul prezentului capitol de către părți cu calificare adecvată care sunt independente de procesul de elaborare, pentru a se asigura că orice astfel de model este solid din punct de vedere conceptual și surprinde în mod adecvat toate riscurile semnificative.</w:t>
      </w:r>
    </w:p>
    <w:p w14:paraId="18B1FE56" w14:textId="77777777" w:rsidR="00CC0EFE" w:rsidRPr="00CC0EFE" w:rsidRDefault="00CC0EFE" w:rsidP="00CC0EFE">
      <w:pPr>
        <w:rPr>
          <w:rFonts w:ascii="Times New Roman" w:hAnsi="Times New Roman" w:cs="Times New Roman"/>
          <w:sz w:val="24"/>
          <w:szCs w:val="24"/>
        </w:rPr>
      </w:pPr>
      <w:r w:rsidRPr="00CC0EFE">
        <w:rPr>
          <w:rFonts w:ascii="Times New Roman" w:hAnsi="Times New Roman" w:cs="Times New Roman"/>
          <w:sz w:val="24"/>
          <w:szCs w:val="24"/>
        </w:rPr>
        <w:lastRenderedPageBreak/>
        <w:t>387.  Băncile efectuează validarea menționată la pct.386 în următoarele circumstanțe:</w:t>
      </w:r>
    </w:p>
    <w:p w14:paraId="7F76E987" w14:textId="77777777" w:rsidR="00CC0EFE" w:rsidRPr="00CC0EFE" w:rsidRDefault="00CC0EFE" w:rsidP="00CC0EFE">
      <w:pPr>
        <w:rPr>
          <w:rFonts w:ascii="Times New Roman" w:hAnsi="Times New Roman" w:cs="Times New Roman"/>
          <w:sz w:val="24"/>
          <w:szCs w:val="24"/>
        </w:rPr>
      </w:pPr>
      <w:r w:rsidRPr="00CC0EFE">
        <w:rPr>
          <w:rFonts w:ascii="Times New Roman" w:hAnsi="Times New Roman" w:cs="Times New Roman"/>
          <w:sz w:val="24"/>
          <w:szCs w:val="24"/>
        </w:rPr>
        <w:t>387.1. atunci când un model intern de măsurare a riscurilor este elaborat inițial și atunci când sunt operate modificări semnificative asupra modelului respectiv;</w:t>
      </w:r>
    </w:p>
    <w:p w14:paraId="42E819A3" w14:textId="0FE9DA67" w:rsidR="000E62FD" w:rsidRDefault="00CC0EFE" w:rsidP="00CC0EFE">
      <w:pPr>
        <w:rPr>
          <w:rFonts w:ascii="Times New Roman" w:hAnsi="Times New Roman" w:cs="Times New Roman"/>
          <w:sz w:val="24"/>
          <w:szCs w:val="24"/>
        </w:rPr>
      </w:pPr>
      <w:r w:rsidRPr="00CC0EFE">
        <w:rPr>
          <w:rFonts w:ascii="Times New Roman" w:hAnsi="Times New Roman" w:cs="Times New Roman"/>
          <w:sz w:val="24"/>
          <w:szCs w:val="24"/>
        </w:rPr>
        <w:t>387.2. periodic, în special atunci când au intervenit modificări structurale semnificative ale pieței sau modificări ale componenței portofoliului care ar putea face ca modelul intern de măsurare a riscurilor să nu mai fie adecvat.</w:t>
      </w:r>
    </w:p>
    <w:p w14:paraId="6D7ED7AE" w14:textId="77777777" w:rsidR="00CC0EFE" w:rsidRPr="00CC0EFE" w:rsidRDefault="00CC0EFE" w:rsidP="00CC0EFE">
      <w:pPr>
        <w:rPr>
          <w:rFonts w:ascii="Times New Roman" w:hAnsi="Times New Roman" w:cs="Times New Roman"/>
          <w:sz w:val="24"/>
          <w:szCs w:val="24"/>
        </w:rPr>
      </w:pPr>
      <w:r w:rsidRPr="00CC0EFE">
        <w:rPr>
          <w:rFonts w:ascii="Times New Roman" w:hAnsi="Times New Roman" w:cs="Times New Roman"/>
          <w:sz w:val="24"/>
          <w:szCs w:val="24"/>
        </w:rPr>
        <w:t>388.   Validarea modelelor interne de măsurare a riscurilor ale unei bănci nu se limitează la cerințele privind testarea ex post și atribuirea profitului și a pierderii, ci include cel puțin următoarele:</w:t>
      </w:r>
    </w:p>
    <w:p w14:paraId="362514A4" w14:textId="77777777" w:rsidR="00CC0EFE" w:rsidRPr="00CC0EFE" w:rsidRDefault="00CC0EFE" w:rsidP="00CC0EFE">
      <w:pPr>
        <w:rPr>
          <w:rFonts w:ascii="Times New Roman" w:hAnsi="Times New Roman" w:cs="Times New Roman"/>
          <w:sz w:val="24"/>
          <w:szCs w:val="24"/>
        </w:rPr>
      </w:pPr>
      <w:r w:rsidRPr="00CC0EFE">
        <w:rPr>
          <w:rFonts w:ascii="Times New Roman" w:hAnsi="Times New Roman" w:cs="Times New Roman"/>
          <w:sz w:val="24"/>
          <w:szCs w:val="24"/>
        </w:rPr>
        <w:t>388.1. teste pentru a verifica dacă ipotezele aferente modelului intern sunt adecvate și nu subestimează sau supraestimează riscul;</w:t>
      </w:r>
    </w:p>
    <w:p w14:paraId="479596BE" w14:textId="77777777" w:rsidR="00CC0EFE" w:rsidRPr="00CC0EFE" w:rsidRDefault="00CC0EFE" w:rsidP="00CC0EFE">
      <w:pPr>
        <w:rPr>
          <w:rFonts w:ascii="Times New Roman" w:hAnsi="Times New Roman" w:cs="Times New Roman"/>
          <w:sz w:val="24"/>
          <w:szCs w:val="24"/>
        </w:rPr>
      </w:pPr>
      <w:r w:rsidRPr="00CC0EFE">
        <w:rPr>
          <w:rFonts w:ascii="Times New Roman" w:hAnsi="Times New Roman" w:cs="Times New Roman"/>
          <w:sz w:val="24"/>
          <w:szCs w:val="24"/>
        </w:rPr>
        <w:t>388.2. teste proprii de validare a modelului intern, inclusiv teste ex post, în plus față de programele de testare ex post impuse prin reglementări, în legătură cu riscurile și structurile portofoliilor lor;</w:t>
      </w:r>
    </w:p>
    <w:p w14:paraId="606B148D" w14:textId="50C4D595" w:rsidR="00CC0EFE" w:rsidRDefault="00CC0EFE" w:rsidP="00CC0EFE">
      <w:pPr>
        <w:rPr>
          <w:rFonts w:ascii="Times New Roman" w:hAnsi="Times New Roman" w:cs="Times New Roman"/>
          <w:sz w:val="24"/>
          <w:szCs w:val="24"/>
        </w:rPr>
      </w:pPr>
      <w:r w:rsidRPr="00CC0EFE">
        <w:rPr>
          <w:rFonts w:ascii="Times New Roman" w:hAnsi="Times New Roman" w:cs="Times New Roman"/>
          <w:sz w:val="24"/>
          <w:szCs w:val="24"/>
        </w:rPr>
        <w:t>388.3. utilizarea portofoliilor ipotetice pentru a avea siguranța că modelul intern de măsurare a riscurilor este în măsură să țină cont de trăsături structurale particulare care pot apărea, de exemplu riscurile semnificative aferente bazei și riscul de concentrare sau riscurile asociate utilizării de substituenți.</w:t>
      </w:r>
    </w:p>
    <w:p w14:paraId="1D2749DB" w14:textId="07491AF9" w:rsidR="00CC0EFE" w:rsidRPr="00CC1E9B" w:rsidRDefault="00CC0EFE" w:rsidP="00CC0EFE">
      <w:pPr>
        <w:rPr>
          <w:rFonts w:ascii="Times New Roman" w:hAnsi="Times New Roman" w:cs="Times New Roman"/>
          <w:b/>
          <w:bCs/>
          <w:i/>
          <w:iCs/>
          <w:sz w:val="24"/>
          <w:szCs w:val="24"/>
        </w:rPr>
      </w:pPr>
      <w:bookmarkStart w:id="63" w:name="_Hlk195098992"/>
      <w:r w:rsidRPr="00CC1E9B">
        <w:rPr>
          <w:rFonts w:ascii="Times New Roman" w:hAnsi="Times New Roman" w:cs="Times New Roman"/>
          <w:b/>
          <w:bCs/>
          <w:i/>
          <w:iCs/>
          <w:sz w:val="24"/>
          <w:szCs w:val="24"/>
        </w:rPr>
        <w:t>Subsecțiunea 10. Calcularea măsurii riscurilor pentru scenarii de criză</w:t>
      </w:r>
      <w:bookmarkEnd w:id="63"/>
    </w:p>
    <w:p w14:paraId="09B1D850" w14:textId="7FC62009" w:rsidR="000E62FD" w:rsidRDefault="00CC0EFE" w:rsidP="004340D9">
      <w:pPr>
        <w:rPr>
          <w:rFonts w:ascii="Times New Roman" w:hAnsi="Times New Roman" w:cs="Times New Roman"/>
          <w:sz w:val="24"/>
          <w:szCs w:val="24"/>
        </w:rPr>
      </w:pPr>
      <w:r w:rsidRPr="00CC0EFE">
        <w:rPr>
          <w:rFonts w:ascii="Times New Roman" w:hAnsi="Times New Roman" w:cs="Times New Roman"/>
          <w:sz w:val="24"/>
          <w:szCs w:val="24"/>
        </w:rPr>
        <w:t>389.   Măsura riscurilor pentru scenarii de criză aferentă unui factor de risc nemodelabil înseamnă pierderea suferită la nivelul tuturor pozițiilor aferente portofoliului de tranzacționare sau pozițiilor din afara portofoliului de tranzacționare care prezintă un risc valutar sau de marfă care include respectivul factor de risc nemodelabil în cazul în care respectivului factor de risc i se aplică un scenariu extrem al șocurilor viitoare.</w:t>
      </w:r>
    </w:p>
    <w:p w14:paraId="2039D7EF" w14:textId="1E446BC9" w:rsidR="00CC0EFE" w:rsidRDefault="00CC0EFE" w:rsidP="004340D9">
      <w:pPr>
        <w:rPr>
          <w:rFonts w:ascii="Times New Roman" w:hAnsi="Times New Roman" w:cs="Times New Roman"/>
          <w:sz w:val="24"/>
          <w:szCs w:val="24"/>
        </w:rPr>
      </w:pPr>
      <w:r w:rsidRPr="00CC0EFE">
        <w:rPr>
          <w:rFonts w:ascii="Times New Roman" w:hAnsi="Times New Roman" w:cs="Times New Roman"/>
          <w:sz w:val="24"/>
          <w:szCs w:val="24"/>
        </w:rPr>
        <w:t>390.   Băncile elaborează scenarii extreme ale șocurilor viitoare adecvate pentru toți factorii de risc nemodelabili, într-un mod pe care BNM îl consideră satisfăcător.</w:t>
      </w:r>
    </w:p>
    <w:p w14:paraId="0C91B2ED" w14:textId="77777777" w:rsidR="00CC0EFE" w:rsidRDefault="00CC0EFE" w:rsidP="00CC0EFE">
      <w:pPr>
        <w:rPr>
          <w:rFonts w:ascii="Times New Roman" w:hAnsi="Times New Roman" w:cs="Times New Roman"/>
          <w:b/>
          <w:bCs/>
          <w:sz w:val="24"/>
          <w:szCs w:val="24"/>
        </w:rPr>
      </w:pPr>
      <w:bookmarkStart w:id="64" w:name="_Hlk195099030"/>
    </w:p>
    <w:p w14:paraId="1BA398B3" w14:textId="384D67BE" w:rsidR="00CC0EFE" w:rsidRPr="00CC0EFE" w:rsidRDefault="00CC0EFE" w:rsidP="00CC0EFE">
      <w:pPr>
        <w:rPr>
          <w:rFonts w:ascii="Times New Roman" w:hAnsi="Times New Roman" w:cs="Times New Roman"/>
          <w:b/>
          <w:bCs/>
          <w:sz w:val="24"/>
          <w:szCs w:val="24"/>
        </w:rPr>
      </w:pPr>
      <w:r w:rsidRPr="00CC0EFE">
        <w:rPr>
          <w:rFonts w:ascii="Times New Roman" w:hAnsi="Times New Roman" w:cs="Times New Roman"/>
          <w:b/>
          <w:bCs/>
          <w:sz w:val="24"/>
          <w:szCs w:val="24"/>
        </w:rPr>
        <w:t>Secțiunea 3</w:t>
      </w:r>
      <w:r>
        <w:rPr>
          <w:rFonts w:ascii="Times New Roman" w:hAnsi="Times New Roman" w:cs="Times New Roman"/>
          <w:b/>
          <w:bCs/>
          <w:sz w:val="24"/>
          <w:szCs w:val="24"/>
        </w:rPr>
        <w:t xml:space="preserve">. </w:t>
      </w:r>
      <w:r w:rsidRPr="00CC0EFE">
        <w:rPr>
          <w:rFonts w:ascii="Times New Roman" w:hAnsi="Times New Roman" w:cs="Times New Roman"/>
          <w:b/>
          <w:bCs/>
          <w:sz w:val="24"/>
          <w:szCs w:val="24"/>
        </w:rPr>
        <w:t>Modelul intern pentru riscul de nerambursare</w:t>
      </w:r>
    </w:p>
    <w:p w14:paraId="24C071B6" w14:textId="6E25CA7D" w:rsidR="00CC0EFE" w:rsidRPr="00CC1E9B" w:rsidRDefault="00CC0EFE" w:rsidP="00CC0EFE">
      <w:pPr>
        <w:rPr>
          <w:rFonts w:ascii="Times New Roman" w:hAnsi="Times New Roman" w:cs="Times New Roman"/>
          <w:b/>
          <w:bCs/>
          <w:i/>
          <w:iCs/>
          <w:sz w:val="24"/>
          <w:szCs w:val="24"/>
        </w:rPr>
      </w:pPr>
      <w:r w:rsidRPr="00CC1E9B">
        <w:rPr>
          <w:rFonts w:ascii="Times New Roman" w:hAnsi="Times New Roman" w:cs="Times New Roman"/>
          <w:b/>
          <w:bCs/>
          <w:i/>
          <w:iCs/>
          <w:sz w:val="24"/>
          <w:szCs w:val="24"/>
        </w:rPr>
        <w:t>Subsecțiunea 1. Sfera de aplicare a modelului intern pentru riscul de nerambursare</w:t>
      </w:r>
      <w:bookmarkEnd w:id="64"/>
    </w:p>
    <w:p w14:paraId="2FEC3571" w14:textId="0938FC38" w:rsidR="000E62FD" w:rsidRDefault="00CC0EFE" w:rsidP="004340D9">
      <w:pPr>
        <w:rPr>
          <w:rFonts w:ascii="Times New Roman" w:hAnsi="Times New Roman" w:cs="Times New Roman"/>
          <w:sz w:val="24"/>
          <w:szCs w:val="24"/>
        </w:rPr>
      </w:pPr>
      <w:r w:rsidRPr="002134BB">
        <w:rPr>
          <w:rFonts w:ascii="Times New Roman" w:hAnsi="Times New Roman" w:cs="Times New Roman"/>
          <w:sz w:val="24"/>
          <w:szCs w:val="24"/>
        </w:rPr>
        <w:t xml:space="preserve">391.   Toate pozițiile unei bănci care au fost atribuite birourilor de tranzacționare pentru care banca a primit aprobarea prevăzută la </w:t>
      </w:r>
      <w:r w:rsidR="002134BB" w:rsidRPr="002134BB">
        <w:rPr>
          <w:rFonts w:ascii="Times New Roman" w:hAnsi="Times New Roman" w:cs="Times New Roman"/>
          <w:sz w:val="24"/>
          <w:szCs w:val="24"/>
        </w:rPr>
        <w:t>pct.331</w:t>
      </w:r>
      <w:r w:rsidRPr="002134BB">
        <w:rPr>
          <w:rFonts w:ascii="Times New Roman" w:hAnsi="Times New Roman" w:cs="Times New Roman"/>
          <w:sz w:val="24"/>
          <w:szCs w:val="24"/>
        </w:rPr>
        <w:t xml:space="preserve"> sunt supuse unei cerințe de fonduri proprii pentru riscul de nerambursare în cazul în care pozițiile respective conțin cel puțin un factor de risc pus în corespondență cu categoriile generale de factori de risc „capital propriu” sau „marjă de credit” în conformitate cu </w:t>
      </w:r>
      <w:r w:rsidR="002134BB" w:rsidRPr="002134BB">
        <w:rPr>
          <w:rFonts w:ascii="Times New Roman" w:hAnsi="Times New Roman" w:cs="Times New Roman"/>
          <w:sz w:val="24"/>
          <w:szCs w:val="24"/>
        </w:rPr>
        <w:t>pct.353</w:t>
      </w:r>
      <w:r w:rsidRPr="002134BB">
        <w:rPr>
          <w:rFonts w:ascii="Times New Roman" w:hAnsi="Times New Roman" w:cs="Times New Roman"/>
          <w:sz w:val="24"/>
          <w:szCs w:val="24"/>
        </w:rPr>
        <w:t xml:space="preserve">. Această cerință de fonduri proprii, care se adaugă la riscurile reflectate de cerințele de fonduri proprii menționate la </w:t>
      </w:r>
      <w:r w:rsidR="002134BB" w:rsidRPr="002134BB">
        <w:rPr>
          <w:rFonts w:ascii="Times New Roman" w:hAnsi="Times New Roman" w:cs="Times New Roman"/>
          <w:sz w:val="24"/>
          <w:szCs w:val="24"/>
        </w:rPr>
        <w:t>pct.339-340</w:t>
      </w:r>
      <w:r w:rsidRPr="002134BB">
        <w:rPr>
          <w:rFonts w:ascii="Times New Roman" w:hAnsi="Times New Roman" w:cs="Times New Roman"/>
          <w:sz w:val="24"/>
          <w:szCs w:val="24"/>
        </w:rPr>
        <w:t>, se calculează pe baza modelului intern pentru riscul de nerambursare al băncii. Modelul respectiv respectă cerințele prevăzute în prezenta secțiune.</w:t>
      </w:r>
    </w:p>
    <w:p w14:paraId="6DC05316" w14:textId="1CBCB8EB" w:rsidR="000E62FD" w:rsidRDefault="00CC0EFE" w:rsidP="004340D9">
      <w:pPr>
        <w:rPr>
          <w:rFonts w:ascii="Times New Roman" w:hAnsi="Times New Roman" w:cs="Times New Roman"/>
          <w:sz w:val="24"/>
          <w:szCs w:val="24"/>
        </w:rPr>
      </w:pPr>
      <w:r w:rsidRPr="00CC0EFE">
        <w:rPr>
          <w:rFonts w:ascii="Times New Roman" w:hAnsi="Times New Roman" w:cs="Times New Roman"/>
          <w:sz w:val="24"/>
          <w:szCs w:val="24"/>
        </w:rPr>
        <w:t>392.  Pentru fiecare dintre pozițiile menționate la pct.391, o bancă identifică un singur emitent de titluri de datorie sau de capital tranzacționate legate de cel puțin un factor de risc.</w:t>
      </w:r>
    </w:p>
    <w:p w14:paraId="6F3FF18D" w14:textId="4BFCFBAA" w:rsidR="000E62FD" w:rsidRPr="00CC1E9B" w:rsidRDefault="00CC0EFE" w:rsidP="004340D9">
      <w:pPr>
        <w:rPr>
          <w:rFonts w:ascii="Times New Roman" w:hAnsi="Times New Roman" w:cs="Times New Roman"/>
          <w:b/>
          <w:bCs/>
          <w:i/>
          <w:iCs/>
          <w:sz w:val="24"/>
          <w:szCs w:val="24"/>
        </w:rPr>
      </w:pPr>
      <w:bookmarkStart w:id="65" w:name="_Hlk195099062"/>
      <w:r w:rsidRPr="00CC1E9B">
        <w:rPr>
          <w:rFonts w:ascii="Times New Roman" w:hAnsi="Times New Roman" w:cs="Times New Roman"/>
          <w:b/>
          <w:bCs/>
          <w:i/>
          <w:iCs/>
          <w:sz w:val="24"/>
          <w:szCs w:val="24"/>
        </w:rPr>
        <w:t xml:space="preserve">Subsecțiunea 2. Aprobarea </w:t>
      </w:r>
      <w:r w:rsidR="00D86012">
        <w:rPr>
          <w:rFonts w:ascii="Times New Roman" w:hAnsi="Times New Roman" w:cs="Times New Roman"/>
          <w:b/>
          <w:bCs/>
          <w:i/>
          <w:iCs/>
          <w:sz w:val="24"/>
          <w:szCs w:val="24"/>
        </w:rPr>
        <w:t xml:space="preserve">prealabilă </w:t>
      </w:r>
      <w:r w:rsidRPr="00CC1E9B">
        <w:rPr>
          <w:rFonts w:ascii="Times New Roman" w:hAnsi="Times New Roman" w:cs="Times New Roman"/>
          <w:b/>
          <w:bCs/>
          <w:i/>
          <w:iCs/>
          <w:sz w:val="24"/>
          <w:szCs w:val="24"/>
        </w:rPr>
        <w:t>de a utiliza un model intern pentru riscul de nerambursare</w:t>
      </w:r>
      <w:bookmarkEnd w:id="65"/>
    </w:p>
    <w:p w14:paraId="60826BB2" w14:textId="70863339" w:rsidR="000E62FD" w:rsidRDefault="00CC0EFE" w:rsidP="004340D9">
      <w:pPr>
        <w:rPr>
          <w:rFonts w:ascii="Times New Roman" w:hAnsi="Times New Roman" w:cs="Times New Roman"/>
          <w:sz w:val="24"/>
          <w:szCs w:val="24"/>
        </w:rPr>
      </w:pPr>
      <w:r w:rsidRPr="00CC0EFE">
        <w:rPr>
          <w:rFonts w:ascii="Times New Roman" w:hAnsi="Times New Roman" w:cs="Times New Roman"/>
          <w:sz w:val="24"/>
          <w:szCs w:val="24"/>
        </w:rPr>
        <w:t xml:space="preserve">393.   BNM acordă unei bănci aprobarea </w:t>
      </w:r>
      <w:r w:rsidR="00D86012">
        <w:rPr>
          <w:rFonts w:ascii="Times New Roman" w:hAnsi="Times New Roman" w:cs="Times New Roman"/>
          <w:sz w:val="24"/>
          <w:szCs w:val="24"/>
        </w:rPr>
        <w:t xml:space="preserve">prealabilă </w:t>
      </w:r>
      <w:r w:rsidRPr="00CC0EFE">
        <w:rPr>
          <w:rFonts w:ascii="Times New Roman" w:hAnsi="Times New Roman" w:cs="Times New Roman"/>
          <w:sz w:val="24"/>
          <w:szCs w:val="24"/>
        </w:rPr>
        <w:t xml:space="preserve">de a utiliza un model intern pentru riscul de nerambursare pentru a calcula cerințele de fonduri proprii menționate la </w:t>
      </w:r>
      <w:r w:rsidR="002134BB">
        <w:rPr>
          <w:rFonts w:ascii="Times New Roman" w:hAnsi="Times New Roman" w:cs="Times New Roman"/>
          <w:sz w:val="24"/>
          <w:szCs w:val="24"/>
        </w:rPr>
        <w:t>pct.341-342</w:t>
      </w:r>
      <w:r w:rsidRPr="00CC0EFE">
        <w:rPr>
          <w:rFonts w:ascii="Times New Roman" w:hAnsi="Times New Roman" w:cs="Times New Roman"/>
          <w:sz w:val="24"/>
          <w:szCs w:val="24"/>
        </w:rPr>
        <w:t xml:space="preserve"> pentru toate pozițiile din portofoliul de tranzacționare menționate la subsecțiunea 1 care sunt atribuite unui birou de tranzacționare pentru care modelul intern pentru riscul de nerambursare să fie conform cu cerințele stabilite la secțiunea 2, subsecțiunile 8 și 9 și prezenta secțiune, subsecțiunile 3-5.</w:t>
      </w:r>
    </w:p>
    <w:p w14:paraId="590723E5" w14:textId="3768411B" w:rsidR="00CC0EFE" w:rsidRDefault="00CC0EFE" w:rsidP="004340D9">
      <w:pPr>
        <w:rPr>
          <w:rFonts w:ascii="Times New Roman" w:hAnsi="Times New Roman" w:cs="Times New Roman"/>
          <w:sz w:val="24"/>
          <w:szCs w:val="24"/>
        </w:rPr>
      </w:pPr>
      <w:r w:rsidRPr="00CC0EFE">
        <w:rPr>
          <w:rFonts w:ascii="Times New Roman" w:hAnsi="Times New Roman" w:cs="Times New Roman"/>
          <w:sz w:val="24"/>
          <w:szCs w:val="24"/>
        </w:rPr>
        <w:lastRenderedPageBreak/>
        <w:t>394. În cazul în care un birou de tranzacționare al unei bănci căruia i-a fost atribuită cel puțin una dintre pozițiile din portofoliul de tranzacționare menționate la subsecțiunea 1 nu îndeplinește cerințele stabilite la pct.393, cerințele de fonduri proprii pentru riscul de piață aferent tuturor pozițiilor din respectivul birou de tranzacționare se calculează în conformitate cu abordarea prevăzută la capitolul II.</w:t>
      </w:r>
    </w:p>
    <w:p w14:paraId="3DF269F0" w14:textId="024E2C0A" w:rsidR="000E62FD" w:rsidRPr="00CC1E9B" w:rsidRDefault="00736C47" w:rsidP="004340D9">
      <w:pPr>
        <w:rPr>
          <w:rFonts w:ascii="Times New Roman" w:hAnsi="Times New Roman" w:cs="Times New Roman"/>
          <w:b/>
          <w:bCs/>
          <w:i/>
          <w:iCs/>
          <w:sz w:val="24"/>
          <w:szCs w:val="24"/>
        </w:rPr>
      </w:pPr>
      <w:bookmarkStart w:id="66" w:name="_Hlk195099091"/>
      <w:r w:rsidRPr="00CC1E9B">
        <w:rPr>
          <w:rFonts w:ascii="Times New Roman" w:hAnsi="Times New Roman" w:cs="Times New Roman"/>
          <w:b/>
          <w:bCs/>
          <w:i/>
          <w:iCs/>
          <w:sz w:val="24"/>
          <w:szCs w:val="24"/>
        </w:rPr>
        <w:t>Subsecțiunea 3. Cerințele de fonduri proprii pentru riscul de nerambursare cu utilizarea unui model intern pentru riscul de nerambursare</w:t>
      </w:r>
      <w:bookmarkEnd w:id="66"/>
    </w:p>
    <w:p w14:paraId="3CE30FB0" w14:textId="77777777" w:rsidR="00736C47" w:rsidRPr="00736C47" w:rsidRDefault="00736C47" w:rsidP="00736C47">
      <w:pPr>
        <w:rPr>
          <w:rFonts w:ascii="Times New Roman" w:hAnsi="Times New Roman" w:cs="Times New Roman"/>
          <w:sz w:val="24"/>
          <w:szCs w:val="24"/>
        </w:rPr>
      </w:pPr>
      <w:r w:rsidRPr="00736C47">
        <w:rPr>
          <w:rFonts w:ascii="Times New Roman" w:hAnsi="Times New Roman" w:cs="Times New Roman"/>
          <w:sz w:val="24"/>
          <w:szCs w:val="24"/>
        </w:rPr>
        <w:t>395.   Băncile calculează cerințele de fonduri proprii pentru riscul de nerambursare utilizând un model intern pentru riscul de nerambursare în cazul portofoliului tuturor pozițiilor menționate la subsecțiunea 1, după cum urmează:</w:t>
      </w:r>
    </w:p>
    <w:p w14:paraId="6DDDB803" w14:textId="77777777" w:rsidR="00736C47" w:rsidRPr="00736C47" w:rsidRDefault="00736C47" w:rsidP="00736C47">
      <w:pPr>
        <w:rPr>
          <w:rFonts w:ascii="Times New Roman" w:hAnsi="Times New Roman" w:cs="Times New Roman"/>
          <w:sz w:val="24"/>
          <w:szCs w:val="24"/>
        </w:rPr>
      </w:pPr>
      <w:r w:rsidRPr="00736C47">
        <w:rPr>
          <w:rFonts w:ascii="Times New Roman" w:hAnsi="Times New Roman" w:cs="Times New Roman"/>
          <w:sz w:val="24"/>
          <w:szCs w:val="24"/>
        </w:rPr>
        <w:t>395.1. cerințele de fonduri proprii sunt egale cu un număr al valorii la risc care măsoară pierderea potențială – la nivelul valorii de piață – a portofoliului cauzată de starea de nerambursare a emitenților cu privire la pozițiile respective, la un interval de încredere de 99,9 %, pe un orizont de timp de un an;</w:t>
      </w:r>
    </w:p>
    <w:p w14:paraId="6DE94C90" w14:textId="30AF97CD" w:rsidR="00736C47" w:rsidRPr="00736C47" w:rsidRDefault="00736C47" w:rsidP="00736C47">
      <w:pPr>
        <w:rPr>
          <w:rFonts w:ascii="Times New Roman" w:hAnsi="Times New Roman" w:cs="Times New Roman"/>
          <w:sz w:val="24"/>
          <w:szCs w:val="24"/>
        </w:rPr>
      </w:pPr>
      <w:r w:rsidRPr="00736C47">
        <w:rPr>
          <w:rFonts w:ascii="Times New Roman" w:hAnsi="Times New Roman" w:cs="Times New Roman"/>
          <w:sz w:val="24"/>
          <w:szCs w:val="24"/>
        </w:rPr>
        <w:t>395.2. pierderea potențială menționată la</w:t>
      </w:r>
      <w:r w:rsidR="0083411F">
        <w:rPr>
          <w:rFonts w:ascii="Times New Roman" w:hAnsi="Times New Roman" w:cs="Times New Roman"/>
          <w:sz w:val="24"/>
          <w:szCs w:val="24"/>
        </w:rPr>
        <w:t xml:space="preserve"> </w:t>
      </w:r>
      <w:r w:rsidRPr="00736C47">
        <w:rPr>
          <w:rFonts w:ascii="Times New Roman" w:hAnsi="Times New Roman" w:cs="Times New Roman"/>
          <w:sz w:val="24"/>
          <w:szCs w:val="24"/>
        </w:rPr>
        <w:t>subpct.395.1 reprezintă o pierdere directă sau indirectă la nivelul valorii de piață a unei poziții care a fost cauzată de starea de nerambursare a emitenților și care se adaugă pierderilor eventuale care au fost deja luate în considerare în cadrul evaluării curente a poziției; starea de nerambursare a emitenților pozițiilor pe titluri de capital este reprezentată de scăderea la zero a cuantumului prețurilor titlurilor de capital ale emitenților;</w:t>
      </w:r>
    </w:p>
    <w:p w14:paraId="2A2B2BB9" w14:textId="2FC2A3EA" w:rsidR="00736C47" w:rsidRPr="00736C47" w:rsidRDefault="00736C47" w:rsidP="00736C47">
      <w:pPr>
        <w:rPr>
          <w:rFonts w:ascii="Times New Roman" w:hAnsi="Times New Roman" w:cs="Times New Roman"/>
          <w:sz w:val="24"/>
          <w:szCs w:val="24"/>
        </w:rPr>
      </w:pPr>
      <w:r w:rsidRPr="00736C47">
        <w:rPr>
          <w:rFonts w:ascii="Times New Roman" w:hAnsi="Times New Roman" w:cs="Times New Roman"/>
          <w:sz w:val="24"/>
          <w:szCs w:val="24"/>
        </w:rPr>
        <w:t xml:space="preserve">395.3. băncile stabilesc corelațiile între nerambursările diferiților emitenți pe baza unei metodologii solide din punct de vedere conceptual, utilizând date istorice obiective privind marjele de credit de pe piață sau prețurile titlurilor de capital pentru o perioadă de cel puțin 10 ani, care include și perioada de criză identificată de instituție în conformitate cu </w:t>
      </w:r>
      <w:r w:rsidR="00B15B20" w:rsidRPr="00B15B20">
        <w:rPr>
          <w:rFonts w:ascii="Times New Roman" w:hAnsi="Times New Roman" w:cs="Times New Roman"/>
          <w:sz w:val="24"/>
          <w:szCs w:val="24"/>
        </w:rPr>
        <w:t>pct</w:t>
      </w:r>
      <w:r w:rsidR="00B15B20">
        <w:rPr>
          <w:rFonts w:ascii="Times New Roman" w:hAnsi="Times New Roman" w:cs="Times New Roman"/>
          <w:sz w:val="24"/>
          <w:szCs w:val="24"/>
        </w:rPr>
        <w:t>.349</w:t>
      </w:r>
      <w:r w:rsidRPr="00736C47">
        <w:rPr>
          <w:rFonts w:ascii="Times New Roman" w:hAnsi="Times New Roman" w:cs="Times New Roman"/>
          <w:sz w:val="24"/>
          <w:szCs w:val="24"/>
        </w:rPr>
        <w:t>; calculul corelațiilor între nerambursările diferiților emitenți este calibrat în funcție de un orizont de timp de un an;</w:t>
      </w:r>
    </w:p>
    <w:p w14:paraId="2EAEA4F0" w14:textId="553911FA" w:rsidR="000E62FD" w:rsidRDefault="00736C47" w:rsidP="00736C47">
      <w:pPr>
        <w:rPr>
          <w:rFonts w:ascii="Times New Roman" w:hAnsi="Times New Roman" w:cs="Times New Roman"/>
          <w:sz w:val="24"/>
          <w:szCs w:val="24"/>
        </w:rPr>
      </w:pPr>
      <w:r w:rsidRPr="00736C47">
        <w:rPr>
          <w:rFonts w:ascii="Times New Roman" w:hAnsi="Times New Roman" w:cs="Times New Roman"/>
          <w:sz w:val="24"/>
          <w:szCs w:val="24"/>
        </w:rPr>
        <w:t>395.4. modelul intern pentru riscul de nerambursare se bazează pe ipoteza unei poziții constante pe un an.</w:t>
      </w:r>
    </w:p>
    <w:p w14:paraId="2B02E63D" w14:textId="1505B81D" w:rsidR="000E62FD" w:rsidRDefault="00736C47" w:rsidP="004340D9">
      <w:pPr>
        <w:rPr>
          <w:rFonts w:ascii="Times New Roman" w:hAnsi="Times New Roman" w:cs="Times New Roman"/>
          <w:sz w:val="24"/>
          <w:szCs w:val="24"/>
        </w:rPr>
      </w:pPr>
      <w:r w:rsidRPr="00736C47">
        <w:rPr>
          <w:rFonts w:ascii="Times New Roman" w:hAnsi="Times New Roman" w:cs="Times New Roman"/>
          <w:sz w:val="24"/>
          <w:szCs w:val="24"/>
        </w:rPr>
        <w:t>396.  Băncile calculează cerința de fonduri proprii pentru riscul de nerambursare utilizând un model intern pentru riscul de nerambursare menționat la pct.395 cel puțin o dată pe săptămână.</w:t>
      </w:r>
    </w:p>
    <w:p w14:paraId="54757605" w14:textId="718F06E4" w:rsidR="00736C47" w:rsidRDefault="00736C47" w:rsidP="004340D9">
      <w:pPr>
        <w:rPr>
          <w:rFonts w:ascii="Times New Roman" w:hAnsi="Times New Roman" w:cs="Times New Roman"/>
          <w:sz w:val="24"/>
          <w:szCs w:val="24"/>
        </w:rPr>
      </w:pPr>
      <w:r w:rsidRPr="00736C47">
        <w:rPr>
          <w:rFonts w:ascii="Times New Roman" w:hAnsi="Times New Roman" w:cs="Times New Roman"/>
          <w:sz w:val="24"/>
          <w:szCs w:val="24"/>
        </w:rPr>
        <w:t>397.   Prin derogare de la subpct.395.1 și 395.3, o bancă poate înlocui orizontul de timp de un an cu un orizont de timp de șaizeci de zile pentru calcularea riscului de nerambursare aferent unora dintre pozițiile pe titluri de capital sau tuturor acestor poziții, după caz. În acest caz, calculul corelațiilor între nerambursările aferente prețurilor titlurilor de capital și probabilitățile de nerambursare trebuie să fie consecvent cu un orizont de timp de șaizeci de zile, iar calculul corelațiilor între nerambursările aferente prețurilor titlurilor de capital și cele aferente prețurilor obligațiunilor trebuie să fie consecvent cu un orizont de timp de un an.</w:t>
      </w:r>
    </w:p>
    <w:p w14:paraId="08BC3BD5" w14:textId="6F51EED0" w:rsidR="00736C47" w:rsidRPr="00CC1E9B" w:rsidRDefault="00736C47" w:rsidP="004340D9">
      <w:pPr>
        <w:rPr>
          <w:rFonts w:ascii="Times New Roman" w:hAnsi="Times New Roman" w:cs="Times New Roman"/>
          <w:b/>
          <w:bCs/>
          <w:i/>
          <w:iCs/>
          <w:sz w:val="24"/>
          <w:szCs w:val="24"/>
        </w:rPr>
      </w:pPr>
      <w:bookmarkStart w:id="67" w:name="_Hlk195099118"/>
      <w:r w:rsidRPr="00CC1E9B">
        <w:rPr>
          <w:rFonts w:ascii="Times New Roman" w:hAnsi="Times New Roman" w:cs="Times New Roman"/>
          <w:b/>
          <w:bCs/>
          <w:i/>
          <w:iCs/>
          <w:sz w:val="24"/>
          <w:szCs w:val="24"/>
        </w:rPr>
        <w:t>Subsecțiunea 4. Recunoașterea acoperirilor în cadrul unui model intern pentru riscul de nerambursare</w:t>
      </w:r>
      <w:bookmarkEnd w:id="67"/>
    </w:p>
    <w:p w14:paraId="733030B8" w14:textId="6B3998BD" w:rsidR="00736C47" w:rsidRDefault="00736C47" w:rsidP="004340D9">
      <w:pPr>
        <w:rPr>
          <w:rFonts w:ascii="Times New Roman" w:hAnsi="Times New Roman" w:cs="Times New Roman"/>
          <w:sz w:val="24"/>
          <w:szCs w:val="24"/>
        </w:rPr>
      </w:pPr>
      <w:r w:rsidRPr="00736C47">
        <w:rPr>
          <w:rFonts w:ascii="Times New Roman" w:hAnsi="Times New Roman" w:cs="Times New Roman"/>
          <w:sz w:val="24"/>
          <w:szCs w:val="24"/>
        </w:rPr>
        <w:t>398.   Băncile pot include acoperirile în modelul lor intern pentru riscul de nerambursare și pot compensa pozițiile atunci când pozițiile lungi și cele scurte sunt asociate aceluiași instrument financiar</w:t>
      </w:r>
      <w:r>
        <w:rPr>
          <w:rFonts w:ascii="Times New Roman" w:hAnsi="Times New Roman" w:cs="Times New Roman"/>
          <w:sz w:val="24"/>
          <w:szCs w:val="24"/>
        </w:rPr>
        <w:t>.</w:t>
      </w:r>
    </w:p>
    <w:p w14:paraId="4F997B13" w14:textId="5754646C" w:rsidR="00736C47" w:rsidRDefault="00736C47" w:rsidP="004340D9">
      <w:pPr>
        <w:rPr>
          <w:rFonts w:ascii="Times New Roman" w:hAnsi="Times New Roman" w:cs="Times New Roman"/>
          <w:sz w:val="24"/>
          <w:szCs w:val="24"/>
        </w:rPr>
      </w:pPr>
      <w:r w:rsidRPr="00736C47">
        <w:rPr>
          <w:rFonts w:ascii="Times New Roman" w:hAnsi="Times New Roman" w:cs="Times New Roman"/>
          <w:sz w:val="24"/>
          <w:szCs w:val="24"/>
        </w:rPr>
        <w:t>399. Băncile pot recunoaște, în modelul lor intern pentru riscul de nerambursare, doar efectele acoperirii sau ale diversificării asociate cu poziții lungi și poziții scurte care implică instrumente sau titluri de valoare diferite ale aceluiași debitor, precum și cu poziții lungi și poziții scurte pe emitenți diferiți, prin modelarea explicită a pozițiilor lungi și a pozițiilor scurte brute pe diferitele instrumente, inclusiv prin modelarea riscurilor aferente bazei între emitenți diferiți.</w:t>
      </w:r>
    </w:p>
    <w:p w14:paraId="6835726E" w14:textId="77777777" w:rsidR="00736C47" w:rsidRPr="00736C47" w:rsidRDefault="00736C47" w:rsidP="00736C47">
      <w:pPr>
        <w:rPr>
          <w:rFonts w:ascii="Times New Roman" w:hAnsi="Times New Roman" w:cs="Times New Roman"/>
          <w:sz w:val="24"/>
          <w:szCs w:val="24"/>
        </w:rPr>
      </w:pPr>
      <w:r w:rsidRPr="00736C47">
        <w:rPr>
          <w:rFonts w:ascii="Times New Roman" w:hAnsi="Times New Roman" w:cs="Times New Roman"/>
          <w:sz w:val="24"/>
          <w:szCs w:val="24"/>
        </w:rPr>
        <w:t>400.   În modelele lor interne pentru riscul de nerambursare, băncile reflectă riscurile de bază semnificative pe care le au strategiile de acoperire și care decurg din diferențele în ceea ce privește tipul de produs, rangul în structura capitalului, ratingurile interne sau externe, data emiterii („</w:t>
      </w:r>
      <w:proofErr w:type="spellStart"/>
      <w:r w:rsidRPr="00736C47">
        <w:rPr>
          <w:rFonts w:ascii="Times New Roman" w:hAnsi="Times New Roman" w:cs="Times New Roman"/>
          <w:sz w:val="24"/>
          <w:szCs w:val="24"/>
        </w:rPr>
        <w:t>vintage</w:t>
      </w:r>
      <w:proofErr w:type="spellEnd"/>
      <w:r w:rsidRPr="00736C47">
        <w:rPr>
          <w:rFonts w:ascii="Times New Roman" w:hAnsi="Times New Roman" w:cs="Times New Roman"/>
          <w:sz w:val="24"/>
          <w:szCs w:val="24"/>
        </w:rPr>
        <w:t>”) și alte diferențe.</w:t>
      </w:r>
    </w:p>
    <w:p w14:paraId="6573CF3C" w14:textId="77777777" w:rsidR="00736C47" w:rsidRPr="00736C47" w:rsidRDefault="00736C47" w:rsidP="00736C47">
      <w:pPr>
        <w:rPr>
          <w:rFonts w:ascii="Times New Roman" w:hAnsi="Times New Roman" w:cs="Times New Roman"/>
          <w:sz w:val="24"/>
          <w:szCs w:val="24"/>
        </w:rPr>
      </w:pPr>
      <w:r w:rsidRPr="00736C47">
        <w:rPr>
          <w:rFonts w:ascii="Times New Roman" w:hAnsi="Times New Roman" w:cs="Times New Roman"/>
          <w:sz w:val="24"/>
          <w:szCs w:val="24"/>
        </w:rPr>
        <w:lastRenderedPageBreak/>
        <w:t>401. Băncile se asigură că neconcordanțele de scadențe dintre un instrument de acoperire și instrumentul acoperit care ar putea apărea în orizontul de timp de un an, în cazul în care aceste neconcordanțe nu sunt reflectate în modelul lor intern pentru riscul de nerambursare, nu conduc la o subestimare semnificativă a riscului.</w:t>
      </w:r>
    </w:p>
    <w:p w14:paraId="5799B334" w14:textId="26E21281" w:rsidR="00736C47" w:rsidRDefault="00736C47" w:rsidP="00736C47">
      <w:pPr>
        <w:rPr>
          <w:rFonts w:ascii="Times New Roman" w:hAnsi="Times New Roman" w:cs="Times New Roman"/>
          <w:sz w:val="24"/>
          <w:szCs w:val="24"/>
        </w:rPr>
      </w:pPr>
      <w:r w:rsidRPr="00736C47">
        <w:rPr>
          <w:rFonts w:ascii="Times New Roman" w:hAnsi="Times New Roman" w:cs="Times New Roman"/>
          <w:sz w:val="24"/>
          <w:szCs w:val="24"/>
        </w:rPr>
        <w:t>402. Băncile recunosc un instrument de acoperire numai în măsura în care acesta poate fi menținut chiar și atunci când un eveniment de credit sau de alt tip este iminent pentru debitor.</w:t>
      </w:r>
    </w:p>
    <w:p w14:paraId="52FCB244" w14:textId="24FCB1DC" w:rsidR="00736C47" w:rsidRPr="00CC1E9B" w:rsidRDefault="00736C47" w:rsidP="004340D9">
      <w:pPr>
        <w:rPr>
          <w:rFonts w:ascii="Times New Roman" w:hAnsi="Times New Roman" w:cs="Times New Roman"/>
          <w:b/>
          <w:bCs/>
          <w:i/>
          <w:iCs/>
          <w:sz w:val="24"/>
          <w:szCs w:val="24"/>
        </w:rPr>
      </w:pPr>
      <w:bookmarkStart w:id="68" w:name="_Hlk195099142"/>
      <w:r w:rsidRPr="00CC1E9B">
        <w:rPr>
          <w:rFonts w:ascii="Times New Roman" w:hAnsi="Times New Roman" w:cs="Times New Roman"/>
          <w:b/>
          <w:bCs/>
          <w:i/>
          <w:iCs/>
          <w:sz w:val="24"/>
          <w:szCs w:val="24"/>
        </w:rPr>
        <w:t>Subsecțiunea 5. Cerințe specifice privind modelul intern pentru riscul de nerambursare</w:t>
      </w:r>
      <w:bookmarkEnd w:id="68"/>
    </w:p>
    <w:p w14:paraId="62ABB73A" w14:textId="4F3DCC38" w:rsidR="00736C47" w:rsidRDefault="00736C47" w:rsidP="004340D9">
      <w:pPr>
        <w:rPr>
          <w:rFonts w:ascii="Times New Roman" w:hAnsi="Times New Roman" w:cs="Times New Roman"/>
          <w:sz w:val="24"/>
          <w:szCs w:val="24"/>
        </w:rPr>
      </w:pPr>
      <w:r w:rsidRPr="00736C47">
        <w:rPr>
          <w:rFonts w:ascii="Times New Roman" w:hAnsi="Times New Roman" w:cs="Times New Roman"/>
          <w:sz w:val="24"/>
          <w:szCs w:val="24"/>
        </w:rPr>
        <w:t>403.  Modelul intern pentru riscul de nerambursare menționat la pct.393 este în măsură să modeleze intrarea în stare de nerambursare a unor emitenți individuali, precum și intrarea simultană în stare de nerambursare a mai multor emitenți și reflectă impactul acestor stări de nerambursare la nivelul valorilor de piață ale pozițiilor care sunt incluse în sfera de aplicare a modelului respectiv. În acest scop, intrarea în stare de nerambursare a fiecărui emitent în parte este modelată utilizând două tipuri de factori de risc sistematic.</w:t>
      </w:r>
    </w:p>
    <w:p w14:paraId="713DB5D5" w14:textId="02B89725" w:rsidR="00736C47" w:rsidRDefault="00736C47" w:rsidP="004340D9">
      <w:pPr>
        <w:rPr>
          <w:rFonts w:ascii="Times New Roman" w:hAnsi="Times New Roman" w:cs="Times New Roman"/>
          <w:sz w:val="24"/>
          <w:szCs w:val="24"/>
        </w:rPr>
      </w:pPr>
      <w:r w:rsidRPr="00736C47">
        <w:rPr>
          <w:rFonts w:ascii="Times New Roman" w:hAnsi="Times New Roman" w:cs="Times New Roman"/>
          <w:sz w:val="24"/>
          <w:szCs w:val="24"/>
        </w:rPr>
        <w:t>404.  Modelul intern pentru riscul de nerambursare reflectă ciclul economic, inclusiv dependența dintre ratele de recuperare și factorii de risc sistematic menționați la pct.403.</w:t>
      </w:r>
    </w:p>
    <w:p w14:paraId="27E0A816" w14:textId="218A373C" w:rsidR="00736C47" w:rsidRDefault="00866949" w:rsidP="004340D9">
      <w:pPr>
        <w:rPr>
          <w:rFonts w:ascii="Times New Roman" w:hAnsi="Times New Roman" w:cs="Times New Roman"/>
          <w:sz w:val="24"/>
          <w:szCs w:val="24"/>
        </w:rPr>
      </w:pPr>
      <w:r w:rsidRPr="00866949">
        <w:rPr>
          <w:rFonts w:ascii="Times New Roman" w:hAnsi="Times New Roman" w:cs="Times New Roman"/>
          <w:sz w:val="24"/>
          <w:szCs w:val="24"/>
        </w:rPr>
        <w:t>405.   Modelul intern pentru riscul de nerambursare reflectă impactul neliniar al opțiunilor și al altor poziții cu un comportament neliniar semnificativ în ceea ce privește variațiile de preț. Băncile țin cont de asemenea de dimensiunea riscului de model care este inerent evaluării și estimării riscurilor de preț asociate acestor produse.</w:t>
      </w:r>
    </w:p>
    <w:p w14:paraId="551462AB" w14:textId="33E0F14F" w:rsidR="00736C47" w:rsidRDefault="00866949" w:rsidP="004340D9">
      <w:pPr>
        <w:rPr>
          <w:rFonts w:ascii="Times New Roman" w:hAnsi="Times New Roman" w:cs="Times New Roman"/>
          <w:sz w:val="24"/>
          <w:szCs w:val="24"/>
        </w:rPr>
      </w:pPr>
      <w:r w:rsidRPr="00866949">
        <w:rPr>
          <w:rFonts w:ascii="Times New Roman" w:hAnsi="Times New Roman" w:cs="Times New Roman"/>
          <w:sz w:val="24"/>
          <w:szCs w:val="24"/>
        </w:rPr>
        <w:t>406.   Modelul intern pentru riscul de nerambursare se bazează pe date obiective și actualizate.</w:t>
      </w:r>
    </w:p>
    <w:p w14:paraId="5BC65F9A" w14:textId="77777777" w:rsidR="00866949" w:rsidRPr="00866949" w:rsidRDefault="00866949" w:rsidP="00866949">
      <w:pPr>
        <w:rPr>
          <w:rFonts w:ascii="Times New Roman" w:hAnsi="Times New Roman" w:cs="Times New Roman"/>
          <w:sz w:val="24"/>
          <w:szCs w:val="24"/>
        </w:rPr>
      </w:pPr>
      <w:r w:rsidRPr="00866949">
        <w:rPr>
          <w:rFonts w:ascii="Times New Roman" w:hAnsi="Times New Roman" w:cs="Times New Roman"/>
          <w:sz w:val="24"/>
          <w:szCs w:val="24"/>
        </w:rPr>
        <w:t>407.   Pentru a simula starea de nerambursare a emitenților în modelul intern pentru riscul de nerambursare, estimările băncii privind probabilitățile de nerambursare îndeplinesc următoarele cerințe:</w:t>
      </w:r>
    </w:p>
    <w:p w14:paraId="644E7760" w14:textId="77777777" w:rsidR="00866949" w:rsidRPr="00866949" w:rsidRDefault="00866949" w:rsidP="00866949">
      <w:pPr>
        <w:rPr>
          <w:rFonts w:ascii="Times New Roman" w:hAnsi="Times New Roman" w:cs="Times New Roman"/>
          <w:sz w:val="24"/>
          <w:szCs w:val="24"/>
        </w:rPr>
      </w:pPr>
      <w:r w:rsidRPr="00866949">
        <w:rPr>
          <w:rFonts w:ascii="Times New Roman" w:hAnsi="Times New Roman" w:cs="Times New Roman"/>
          <w:sz w:val="24"/>
          <w:szCs w:val="24"/>
        </w:rPr>
        <w:t>407.1. probabilitățile de nerambursare au un prag minim de 0,01  % pentru expunerile cărora li se aplică o pondere de risc de 0 %, în conformitate cu capitolul III, secțiunile 1-5 din Regulamentul nr.111/2018, și de 0,01  % pentru obligațiunile garantate cărora li se aplică o pondere de risc de 10 %, în conformitate cu capitolul III, secțiunea 14</w:t>
      </w:r>
      <w:r w:rsidRPr="00866949">
        <w:rPr>
          <w:rFonts w:ascii="Times New Roman" w:hAnsi="Times New Roman" w:cs="Times New Roman"/>
          <w:sz w:val="24"/>
          <w:szCs w:val="24"/>
          <w:vertAlign w:val="superscript"/>
        </w:rPr>
        <w:t>2</w:t>
      </w:r>
      <w:r w:rsidRPr="00866949">
        <w:rPr>
          <w:rFonts w:ascii="Times New Roman" w:hAnsi="Times New Roman" w:cs="Times New Roman"/>
          <w:sz w:val="24"/>
          <w:szCs w:val="24"/>
        </w:rPr>
        <w:t xml:space="preserve"> din Regulamentul nr.111/2018; în caz contrar, probabilitățile de nerambursare au un prag minim de 0,03  %;</w:t>
      </w:r>
    </w:p>
    <w:p w14:paraId="31469550" w14:textId="77777777" w:rsidR="00866949" w:rsidRPr="00866949" w:rsidRDefault="00866949" w:rsidP="00866949">
      <w:pPr>
        <w:rPr>
          <w:rFonts w:ascii="Times New Roman" w:hAnsi="Times New Roman" w:cs="Times New Roman"/>
          <w:sz w:val="24"/>
          <w:szCs w:val="24"/>
        </w:rPr>
      </w:pPr>
      <w:r w:rsidRPr="00866949">
        <w:rPr>
          <w:rFonts w:ascii="Times New Roman" w:hAnsi="Times New Roman" w:cs="Times New Roman"/>
          <w:sz w:val="24"/>
          <w:szCs w:val="24"/>
        </w:rPr>
        <w:t>407.2. probabilitățile de nerambursare se bazează pe un orizont de timp de un an, cu excepția cazului în care se prevede altfel în prezenta secțiune;</w:t>
      </w:r>
    </w:p>
    <w:p w14:paraId="7BDAE611" w14:textId="77777777" w:rsidR="00866949" w:rsidRPr="00866949" w:rsidRDefault="00866949" w:rsidP="00866949">
      <w:pPr>
        <w:rPr>
          <w:rFonts w:ascii="Times New Roman" w:hAnsi="Times New Roman" w:cs="Times New Roman"/>
          <w:sz w:val="24"/>
          <w:szCs w:val="24"/>
        </w:rPr>
      </w:pPr>
      <w:r w:rsidRPr="00866949">
        <w:rPr>
          <w:rFonts w:ascii="Times New Roman" w:hAnsi="Times New Roman" w:cs="Times New Roman"/>
          <w:sz w:val="24"/>
          <w:szCs w:val="24"/>
        </w:rPr>
        <w:t>407.3. probabilitățile de nerambursare se măsoară utilizând, singure sau în combinație cu prețurile de piață curente, date observate într-o perioadă istorică de cel puțin cinci ani privind nerambursări reale din trecut și scăderi extreme ale prețurilor de piață echivalente cu situații de nerambursare; probabilitățile de nerambursare nu se deduc exclusiv pe baza prețurilor de piață curente;</w:t>
      </w:r>
    </w:p>
    <w:p w14:paraId="17B9095F" w14:textId="77777777" w:rsidR="00866949" w:rsidRPr="00866949" w:rsidRDefault="00866949" w:rsidP="00866949">
      <w:pPr>
        <w:rPr>
          <w:rFonts w:ascii="Times New Roman" w:hAnsi="Times New Roman" w:cs="Times New Roman"/>
          <w:sz w:val="24"/>
          <w:szCs w:val="24"/>
        </w:rPr>
      </w:pPr>
      <w:r w:rsidRPr="00866949">
        <w:rPr>
          <w:rFonts w:ascii="Times New Roman" w:hAnsi="Times New Roman" w:cs="Times New Roman"/>
          <w:sz w:val="24"/>
          <w:szCs w:val="24"/>
        </w:rPr>
        <w:t xml:space="preserve">407.4. o bancă care a primit aprobarea de a estima probabilitățile de nerambursare în conformitate cu capitolul III secțiunea 1 </w:t>
      </w:r>
      <w:r w:rsidRPr="00101345">
        <w:rPr>
          <w:rFonts w:ascii="Times New Roman" w:hAnsi="Times New Roman" w:cs="Times New Roman"/>
          <w:sz w:val="24"/>
          <w:szCs w:val="24"/>
        </w:rPr>
        <w:t>din Regulamentul  privind tratamentul riscului de credit pentru bănci potrivit abordării bazate pe modele interne de rating pentru clasa de expuneri și sistemul de rating corespunzător unui anumit emitent utilizează metodologia</w:t>
      </w:r>
      <w:r w:rsidRPr="00866949">
        <w:rPr>
          <w:rFonts w:ascii="Times New Roman" w:hAnsi="Times New Roman" w:cs="Times New Roman"/>
          <w:sz w:val="24"/>
          <w:szCs w:val="24"/>
        </w:rPr>
        <w:t xml:space="preserve"> prevăzută în acea secțiune pentru a calcula probabilitățile de nerambursare ale emitentului respectiv, cu condiția ca datele pentru o astfel de estimare să fie disponibile;</w:t>
      </w:r>
    </w:p>
    <w:p w14:paraId="30A94A45" w14:textId="77777777" w:rsidR="00866949" w:rsidRPr="00866949" w:rsidRDefault="00866949" w:rsidP="00866949">
      <w:pPr>
        <w:rPr>
          <w:rFonts w:ascii="Times New Roman" w:hAnsi="Times New Roman" w:cs="Times New Roman"/>
          <w:sz w:val="24"/>
          <w:szCs w:val="24"/>
        </w:rPr>
      </w:pPr>
      <w:r w:rsidRPr="00866949">
        <w:rPr>
          <w:rFonts w:ascii="Times New Roman" w:hAnsi="Times New Roman" w:cs="Times New Roman"/>
          <w:sz w:val="24"/>
          <w:szCs w:val="24"/>
        </w:rPr>
        <w:t>407.5. o bancă care nu a primit aprobarea de a estima probabilitățile de nerambursare menționate la subpct.407.4 elaborează o metodologie internă sau utilizează surse externe pentru a estima aceste probabilități de nerambursare în conformitate cu cerințele aplicabile estimărilor probabilității de nerambursare în temeiul prezentei secțiuni.</w:t>
      </w:r>
    </w:p>
    <w:p w14:paraId="6992FADA" w14:textId="77777777" w:rsidR="00866949" w:rsidRPr="00101345" w:rsidRDefault="00866949" w:rsidP="00866949">
      <w:pPr>
        <w:rPr>
          <w:rFonts w:ascii="Times New Roman" w:hAnsi="Times New Roman" w:cs="Times New Roman"/>
          <w:sz w:val="24"/>
          <w:szCs w:val="24"/>
        </w:rPr>
      </w:pPr>
      <w:r w:rsidRPr="00866949">
        <w:rPr>
          <w:rFonts w:ascii="Times New Roman" w:hAnsi="Times New Roman" w:cs="Times New Roman"/>
          <w:sz w:val="24"/>
          <w:szCs w:val="24"/>
        </w:rPr>
        <w:t xml:space="preserve">408. În sensul subpct.407.4, datele necesare pentru estimarea probabilităților de nerambursare ale unui anumit emitent al unei poziții din portofoliul de tranzacționare sunt disponibile dacă, la data calculului, </w:t>
      </w:r>
      <w:r w:rsidRPr="00866949">
        <w:rPr>
          <w:rFonts w:ascii="Times New Roman" w:hAnsi="Times New Roman" w:cs="Times New Roman"/>
          <w:sz w:val="24"/>
          <w:szCs w:val="24"/>
        </w:rPr>
        <w:lastRenderedPageBreak/>
        <w:t xml:space="preserve">banca deține o poziție din afara portofoliului de tranzacționare pe același debitor pentru care estimează probabilitățile de nerambursare în conformitate cu capitolul III secțiunea 1 din </w:t>
      </w:r>
      <w:r w:rsidRPr="00101345">
        <w:rPr>
          <w:rFonts w:ascii="Times New Roman" w:hAnsi="Times New Roman" w:cs="Times New Roman"/>
          <w:sz w:val="24"/>
          <w:szCs w:val="24"/>
        </w:rPr>
        <w:t>Regulamentul  privind tratamentul riscului de credit pentru bănci potrivit abordării bazate pe modele interne de rating în vederea calculării cerințelor de fonduri proprii prevăzute în capitolul respectiv.</w:t>
      </w:r>
    </w:p>
    <w:p w14:paraId="6A2D60B9" w14:textId="77777777" w:rsidR="00866949" w:rsidRPr="00101345" w:rsidRDefault="00866949" w:rsidP="00866949">
      <w:pPr>
        <w:rPr>
          <w:rFonts w:ascii="Times New Roman" w:hAnsi="Times New Roman" w:cs="Times New Roman"/>
          <w:sz w:val="24"/>
          <w:szCs w:val="24"/>
        </w:rPr>
      </w:pPr>
      <w:r w:rsidRPr="00101345">
        <w:rPr>
          <w:rFonts w:ascii="Times New Roman" w:hAnsi="Times New Roman" w:cs="Times New Roman"/>
          <w:sz w:val="24"/>
          <w:szCs w:val="24"/>
        </w:rPr>
        <w:t>409.   Pentru a simula starea de nerambursare a emitenților în modelul intern pentru riscul de nerambursare, estimările băncii privind pierderea în caz de nerambursare îndeplinesc următoarele cerințe:</w:t>
      </w:r>
    </w:p>
    <w:p w14:paraId="69E4962F" w14:textId="77777777" w:rsidR="00866949" w:rsidRPr="00101345" w:rsidRDefault="00866949" w:rsidP="00866949">
      <w:pPr>
        <w:rPr>
          <w:rFonts w:ascii="Times New Roman" w:hAnsi="Times New Roman" w:cs="Times New Roman"/>
          <w:sz w:val="24"/>
          <w:szCs w:val="24"/>
        </w:rPr>
      </w:pPr>
      <w:r w:rsidRPr="00101345">
        <w:rPr>
          <w:rFonts w:ascii="Times New Roman" w:hAnsi="Times New Roman" w:cs="Times New Roman"/>
          <w:sz w:val="24"/>
          <w:szCs w:val="24"/>
        </w:rPr>
        <w:t>409.1. estimările privind pierderea în caz de nerambursare au un prag minim de 0 %;</w:t>
      </w:r>
    </w:p>
    <w:p w14:paraId="01628862" w14:textId="77777777" w:rsidR="00866949" w:rsidRPr="00101345" w:rsidRDefault="00866949" w:rsidP="00866949">
      <w:pPr>
        <w:rPr>
          <w:rFonts w:ascii="Times New Roman" w:hAnsi="Times New Roman" w:cs="Times New Roman"/>
          <w:sz w:val="24"/>
          <w:szCs w:val="24"/>
        </w:rPr>
      </w:pPr>
      <w:r w:rsidRPr="00101345">
        <w:rPr>
          <w:rFonts w:ascii="Times New Roman" w:hAnsi="Times New Roman" w:cs="Times New Roman"/>
          <w:sz w:val="24"/>
          <w:szCs w:val="24"/>
        </w:rPr>
        <w:t>409.2. estimările privind pierderea în caz de nerambursare reflectă rangul fiecărei poziții;</w:t>
      </w:r>
    </w:p>
    <w:p w14:paraId="3C16BC04" w14:textId="77777777" w:rsidR="00866949" w:rsidRPr="00866949" w:rsidRDefault="00866949" w:rsidP="00866949">
      <w:pPr>
        <w:rPr>
          <w:rFonts w:ascii="Times New Roman" w:hAnsi="Times New Roman" w:cs="Times New Roman"/>
          <w:sz w:val="24"/>
          <w:szCs w:val="24"/>
        </w:rPr>
      </w:pPr>
      <w:r w:rsidRPr="00101345">
        <w:rPr>
          <w:rFonts w:ascii="Times New Roman" w:hAnsi="Times New Roman" w:cs="Times New Roman"/>
          <w:sz w:val="24"/>
          <w:szCs w:val="24"/>
        </w:rPr>
        <w:t>409.3. o bancă care a primit aprobarea de a estima LGD în conformitate cu capitolul III secțiunea 1 din Regulamentul  privind tratamentul riscului de credit pentru bănci potrivit abordării bazate pe modele interne de rating pentru clasa de expuneri și sistemul de rating corespunzător unei anumite expuneri utilizează metodologia prevăzută în acea secțiune pentru a</w:t>
      </w:r>
      <w:r w:rsidRPr="00866949">
        <w:rPr>
          <w:rFonts w:ascii="Times New Roman" w:hAnsi="Times New Roman" w:cs="Times New Roman"/>
          <w:sz w:val="24"/>
          <w:szCs w:val="24"/>
        </w:rPr>
        <w:t> calcula estimările LGD ale emitentului respectiv, cu condiția ca datele pentru o astfel de estimare să fie disponibile;</w:t>
      </w:r>
    </w:p>
    <w:p w14:paraId="4F37C9EF" w14:textId="77777777" w:rsidR="00866949" w:rsidRPr="00866949" w:rsidRDefault="00866949" w:rsidP="00866949">
      <w:pPr>
        <w:rPr>
          <w:rFonts w:ascii="Times New Roman" w:hAnsi="Times New Roman" w:cs="Times New Roman"/>
          <w:sz w:val="24"/>
          <w:szCs w:val="24"/>
        </w:rPr>
      </w:pPr>
      <w:r w:rsidRPr="00866949">
        <w:rPr>
          <w:rFonts w:ascii="Times New Roman" w:hAnsi="Times New Roman" w:cs="Times New Roman"/>
          <w:sz w:val="24"/>
          <w:szCs w:val="24"/>
        </w:rPr>
        <w:t>409.4. o bancă care nu a primit aprobarea de a estima LGD menționată la subpct.409.3 elaborează o metodologie internă sau utilizează surse externe pentru a estima LGD în conformitate cu cerințele aplicabile estimărilor LGD în temeiul prezentei subsecțiuni.</w:t>
      </w:r>
    </w:p>
    <w:p w14:paraId="05E62BDD" w14:textId="2A4AAB05" w:rsidR="00866949" w:rsidRDefault="00866949" w:rsidP="00866949">
      <w:pPr>
        <w:rPr>
          <w:rFonts w:ascii="Times New Roman" w:hAnsi="Times New Roman" w:cs="Times New Roman"/>
          <w:sz w:val="24"/>
          <w:szCs w:val="24"/>
        </w:rPr>
      </w:pPr>
      <w:r w:rsidRPr="00866949">
        <w:rPr>
          <w:rFonts w:ascii="Times New Roman" w:hAnsi="Times New Roman" w:cs="Times New Roman"/>
          <w:sz w:val="24"/>
          <w:szCs w:val="24"/>
        </w:rPr>
        <w:t xml:space="preserve">410. În sensul subpct.409.3, datele necesare pentru estimarea LGD a unui anumit emitent al unei poziții din portofoliul de tranzacționare sunt disponibile dacă, la data calculului, banca deține o poziție din afara portofoliului de tranzacționare </w:t>
      </w:r>
      <w:r w:rsidRPr="00101345">
        <w:rPr>
          <w:rFonts w:ascii="Times New Roman" w:hAnsi="Times New Roman" w:cs="Times New Roman"/>
          <w:sz w:val="24"/>
          <w:szCs w:val="24"/>
        </w:rPr>
        <w:t>pe aceeași expunere pentru care estimează LGD în conformitate cu capitolul III secțiunea 1 din Regulamentul  privind tratamentul riscului de credit pentru bănci potrivit abordării bazate pe modele interne de rating în vederea calculării cerințelor de fonduri proprii prevăzute în capitolul respectiv.</w:t>
      </w:r>
    </w:p>
    <w:p w14:paraId="72056774" w14:textId="77777777" w:rsidR="00866949" w:rsidRPr="00866949" w:rsidRDefault="00866949" w:rsidP="00866949">
      <w:pPr>
        <w:rPr>
          <w:rFonts w:ascii="Times New Roman" w:hAnsi="Times New Roman" w:cs="Times New Roman"/>
          <w:sz w:val="24"/>
          <w:szCs w:val="24"/>
        </w:rPr>
      </w:pPr>
      <w:r w:rsidRPr="00866949">
        <w:rPr>
          <w:rFonts w:ascii="Times New Roman" w:hAnsi="Times New Roman" w:cs="Times New Roman"/>
          <w:sz w:val="24"/>
          <w:szCs w:val="24"/>
        </w:rPr>
        <w:t>411.   Ca parte a analizei independente și a validării modelelor interne utilizate în sensul prezentului capitol, inclusiv pentru sistemul de măsurare a riscurilor, băncile:</w:t>
      </w:r>
    </w:p>
    <w:p w14:paraId="545ECF97" w14:textId="77777777" w:rsidR="00866949" w:rsidRPr="00866949" w:rsidRDefault="00866949" w:rsidP="00866949">
      <w:pPr>
        <w:rPr>
          <w:rFonts w:ascii="Times New Roman" w:hAnsi="Times New Roman" w:cs="Times New Roman"/>
          <w:sz w:val="24"/>
          <w:szCs w:val="24"/>
        </w:rPr>
      </w:pPr>
      <w:r w:rsidRPr="00866949">
        <w:rPr>
          <w:rFonts w:ascii="Times New Roman" w:hAnsi="Times New Roman" w:cs="Times New Roman"/>
          <w:sz w:val="24"/>
          <w:szCs w:val="24"/>
        </w:rPr>
        <w:t>411.1. verifică dacă metoda lor de modelare a corelațiilor și a variațiilor de preț este adecvată pentru portofoliul lor, în special în materie de alegere și de ponderare a factorilor de risc sistematic din cadrul modelului;</w:t>
      </w:r>
    </w:p>
    <w:p w14:paraId="544EB6D6" w14:textId="77777777" w:rsidR="00866949" w:rsidRPr="00866949" w:rsidRDefault="00866949" w:rsidP="00866949">
      <w:pPr>
        <w:rPr>
          <w:rFonts w:ascii="Times New Roman" w:hAnsi="Times New Roman" w:cs="Times New Roman"/>
          <w:sz w:val="24"/>
          <w:szCs w:val="24"/>
        </w:rPr>
      </w:pPr>
      <w:r w:rsidRPr="00866949">
        <w:rPr>
          <w:rFonts w:ascii="Times New Roman" w:hAnsi="Times New Roman" w:cs="Times New Roman"/>
          <w:sz w:val="24"/>
          <w:szCs w:val="24"/>
        </w:rPr>
        <w:t>411.2. efectuează o serie de simulări de criză, inclusiv analize de sensibilitate și analize ale scenariilor, pentru a evalua caracterul rezonabil din punct de vedere calitativ și cantitativ al modelului intern pentru riscul de nerambursare, în special în ceea ce privește tratamentul concentrărilor; și</w:t>
      </w:r>
    </w:p>
    <w:p w14:paraId="6AC9078E" w14:textId="77777777" w:rsidR="00866949" w:rsidRPr="00866949" w:rsidRDefault="00866949" w:rsidP="00866949">
      <w:pPr>
        <w:rPr>
          <w:rFonts w:ascii="Times New Roman" w:hAnsi="Times New Roman" w:cs="Times New Roman"/>
          <w:sz w:val="24"/>
          <w:szCs w:val="24"/>
        </w:rPr>
      </w:pPr>
      <w:r w:rsidRPr="00866949">
        <w:rPr>
          <w:rFonts w:ascii="Times New Roman" w:hAnsi="Times New Roman" w:cs="Times New Roman"/>
          <w:sz w:val="24"/>
          <w:szCs w:val="24"/>
        </w:rPr>
        <w:t>411.3. aplică o validare cantitativă adecvată care să includă valori de referință interne relevante pentru modelare.</w:t>
      </w:r>
    </w:p>
    <w:p w14:paraId="0CECEDEC" w14:textId="4339EA88" w:rsidR="00866949" w:rsidRDefault="00866949" w:rsidP="00866949">
      <w:pPr>
        <w:rPr>
          <w:rFonts w:ascii="Times New Roman" w:hAnsi="Times New Roman" w:cs="Times New Roman"/>
          <w:sz w:val="24"/>
          <w:szCs w:val="24"/>
        </w:rPr>
      </w:pPr>
      <w:r w:rsidRPr="00866949">
        <w:rPr>
          <w:rFonts w:ascii="Times New Roman" w:hAnsi="Times New Roman" w:cs="Times New Roman"/>
          <w:sz w:val="24"/>
          <w:szCs w:val="24"/>
        </w:rPr>
        <w:t>412. Aceste teste menționate la</w:t>
      </w:r>
      <w:r w:rsidR="0083411F">
        <w:rPr>
          <w:rFonts w:ascii="Times New Roman" w:hAnsi="Times New Roman" w:cs="Times New Roman"/>
          <w:sz w:val="24"/>
          <w:szCs w:val="24"/>
        </w:rPr>
        <w:t xml:space="preserve"> </w:t>
      </w:r>
      <w:r w:rsidRPr="00866949">
        <w:rPr>
          <w:rFonts w:ascii="Times New Roman" w:hAnsi="Times New Roman" w:cs="Times New Roman"/>
          <w:sz w:val="24"/>
          <w:szCs w:val="24"/>
        </w:rPr>
        <w:t>subpct.411.2 nu se limitează la gama de evenimente survenite în trecut.</w:t>
      </w:r>
    </w:p>
    <w:p w14:paraId="59C52B87" w14:textId="081AA999" w:rsidR="00866949" w:rsidRPr="00866949" w:rsidRDefault="00866949" w:rsidP="00866949">
      <w:pPr>
        <w:rPr>
          <w:rFonts w:ascii="Times New Roman" w:hAnsi="Times New Roman" w:cs="Times New Roman"/>
          <w:sz w:val="24"/>
          <w:szCs w:val="24"/>
        </w:rPr>
      </w:pPr>
      <w:r w:rsidRPr="00866949">
        <w:rPr>
          <w:rFonts w:ascii="Times New Roman" w:hAnsi="Times New Roman" w:cs="Times New Roman"/>
          <w:sz w:val="24"/>
          <w:szCs w:val="24"/>
        </w:rPr>
        <w:t>413.  Modelul intern pentru riscul de nerambursare reflectă în mod corespunzător concentrările emitenților și concentrările care pot apărea în cadrul unei clase de produse și între diferitele clase de produse în condiții de criză.</w:t>
      </w:r>
    </w:p>
    <w:p w14:paraId="5C2E423F" w14:textId="4EC989BC" w:rsidR="00866949" w:rsidRDefault="00866949" w:rsidP="004340D9">
      <w:pPr>
        <w:rPr>
          <w:rFonts w:ascii="Times New Roman" w:hAnsi="Times New Roman" w:cs="Times New Roman"/>
          <w:sz w:val="24"/>
          <w:szCs w:val="24"/>
        </w:rPr>
      </w:pPr>
      <w:r w:rsidRPr="00866949">
        <w:rPr>
          <w:rFonts w:ascii="Times New Roman" w:hAnsi="Times New Roman" w:cs="Times New Roman"/>
          <w:sz w:val="24"/>
          <w:szCs w:val="24"/>
        </w:rPr>
        <w:t>414.   Modelul intern pentru riscul de nerambursare este în concordanță cu metodele interne de administrare a riscurilor ale băncii pentru identificarea, cuantificarea și administrarea riscurilor de tranzacționare.</w:t>
      </w:r>
    </w:p>
    <w:p w14:paraId="081B104C" w14:textId="46DF5FDE" w:rsidR="00866949" w:rsidRDefault="00866949" w:rsidP="004340D9">
      <w:pPr>
        <w:rPr>
          <w:rFonts w:ascii="Times New Roman" w:hAnsi="Times New Roman" w:cs="Times New Roman"/>
          <w:sz w:val="24"/>
          <w:szCs w:val="24"/>
        </w:rPr>
      </w:pPr>
      <w:r w:rsidRPr="00866949">
        <w:rPr>
          <w:rFonts w:ascii="Times New Roman" w:hAnsi="Times New Roman" w:cs="Times New Roman"/>
          <w:sz w:val="24"/>
          <w:szCs w:val="24"/>
        </w:rPr>
        <w:t>415. Băncile dispun de politici și proceduri clar definite pentru a determina ipotezele de nerambursare privind corelațiile între diferiți emitenți în conformitate cusubpct.395.3 și selecția preferată a metodei pentru a estima probabilitățile de nerambursare menționate la subpct.407.5 și pierderile în caz de nerambursare menționate la subpct.409.4.</w:t>
      </w:r>
    </w:p>
    <w:p w14:paraId="4BE8A415" w14:textId="78B24AE4" w:rsidR="00866949" w:rsidRDefault="00866949" w:rsidP="004340D9">
      <w:pPr>
        <w:rPr>
          <w:rFonts w:ascii="Times New Roman" w:hAnsi="Times New Roman" w:cs="Times New Roman"/>
          <w:sz w:val="24"/>
          <w:szCs w:val="24"/>
        </w:rPr>
      </w:pPr>
      <w:r w:rsidRPr="00866949">
        <w:rPr>
          <w:rFonts w:ascii="Times New Roman" w:hAnsi="Times New Roman" w:cs="Times New Roman"/>
          <w:sz w:val="24"/>
          <w:szCs w:val="24"/>
        </w:rPr>
        <w:lastRenderedPageBreak/>
        <w:t>416.   Băncile își documentează modelele interne în așa fel încât ipotezele lor privind corelațiile și alte ipoteze de modelare să fie transparente pentru BNM.</w:t>
      </w:r>
    </w:p>
    <w:p w14:paraId="3D3D1889" w14:textId="75A88F71" w:rsidR="008A6895" w:rsidRPr="008A6895" w:rsidRDefault="009A1F02" w:rsidP="008A6895">
      <w:pPr>
        <w:rPr>
          <w:rFonts w:ascii="Times New Roman" w:hAnsi="Times New Roman" w:cs="Times New Roman"/>
          <w:b/>
          <w:i/>
          <w:iCs/>
          <w:sz w:val="24"/>
          <w:szCs w:val="24"/>
          <w:lang w:val="ro-RO"/>
        </w:rPr>
      </w:pPr>
      <w:bookmarkStart w:id="69" w:name="_Hlk195099234"/>
      <w:r w:rsidRPr="008A6895">
        <w:rPr>
          <w:rFonts w:ascii="Times New Roman" w:hAnsi="Times New Roman" w:cs="Times New Roman"/>
          <w:b/>
          <w:i/>
          <w:iCs/>
          <w:sz w:val="24"/>
          <w:szCs w:val="24"/>
          <w:lang w:val="ro-RO"/>
        </w:rPr>
        <w:t>CAPITOLUL IV</w:t>
      </w:r>
      <w:r>
        <w:rPr>
          <w:rFonts w:ascii="Times New Roman" w:hAnsi="Times New Roman" w:cs="Times New Roman"/>
          <w:b/>
          <w:i/>
          <w:iCs/>
          <w:sz w:val="24"/>
          <w:szCs w:val="24"/>
          <w:lang w:val="ro-RO"/>
        </w:rPr>
        <w:t xml:space="preserve">. </w:t>
      </w:r>
      <w:r w:rsidRPr="008A6895">
        <w:rPr>
          <w:rFonts w:ascii="Times New Roman" w:hAnsi="Times New Roman" w:cs="Times New Roman"/>
          <w:b/>
          <w:i/>
          <w:iCs/>
          <w:sz w:val="24"/>
          <w:szCs w:val="24"/>
          <w:lang w:val="ro-RO"/>
        </w:rPr>
        <w:t>CERINȚE DE FONDURI PROPRII PENTRU RISCUL DE POZIȚIE</w:t>
      </w:r>
    </w:p>
    <w:p w14:paraId="1F9E970B" w14:textId="2CB6C9AB" w:rsidR="008A6895" w:rsidRDefault="008A6895" w:rsidP="008A6895">
      <w:pPr>
        <w:rPr>
          <w:rFonts w:ascii="Times New Roman" w:hAnsi="Times New Roman" w:cs="Times New Roman"/>
          <w:b/>
          <w:bCs/>
          <w:sz w:val="24"/>
          <w:szCs w:val="24"/>
        </w:rPr>
      </w:pPr>
      <w:r w:rsidRPr="008A6895">
        <w:rPr>
          <w:rFonts w:ascii="Times New Roman" w:hAnsi="Times New Roman" w:cs="Times New Roman"/>
          <w:b/>
          <w:bCs/>
          <w:sz w:val="24"/>
          <w:szCs w:val="24"/>
        </w:rPr>
        <w:t>Secțiunea 1</w:t>
      </w:r>
      <w:r>
        <w:rPr>
          <w:rFonts w:ascii="Times New Roman" w:hAnsi="Times New Roman" w:cs="Times New Roman"/>
          <w:b/>
          <w:bCs/>
          <w:sz w:val="24"/>
          <w:szCs w:val="24"/>
        </w:rPr>
        <w:t xml:space="preserve">. </w:t>
      </w:r>
      <w:r w:rsidRPr="008A6895">
        <w:rPr>
          <w:rFonts w:ascii="Times New Roman" w:hAnsi="Times New Roman" w:cs="Times New Roman"/>
          <w:b/>
          <w:bCs/>
          <w:sz w:val="24"/>
          <w:szCs w:val="24"/>
        </w:rPr>
        <w:t>Dispoziții generale și instrumente specifice</w:t>
      </w:r>
      <w:bookmarkEnd w:id="69"/>
    </w:p>
    <w:p w14:paraId="283DB759" w14:textId="48B85020" w:rsidR="008A6895" w:rsidRPr="00CC1E9B" w:rsidRDefault="008A6895" w:rsidP="008A6895">
      <w:pPr>
        <w:rPr>
          <w:rFonts w:ascii="Times New Roman" w:hAnsi="Times New Roman" w:cs="Times New Roman"/>
          <w:b/>
          <w:bCs/>
          <w:i/>
          <w:iCs/>
          <w:sz w:val="24"/>
          <w:szCs w:val="24"/>
        </w:rPr>
      </w:pPr>
      <w:bookmarkStart w:id="70" w:name="_Hlk195099266"/>
      <w:r w:rsidRPr="00CC1E9B">
        <w:rPr>
          <w:rFonts w:ascii="Times New Roman" w:hAnsi="Times New Roman" w:cs="Times New Roman"/>
          <w:b/>
          <w:bCs/>
          <w:i/>
          <w:iCs/>
          <w:sz w:val="24"/>
          <w:szCs w:val="24"/>
        </w:rPr>
        <w:t>Subsecțiunea 1.</w:t>
      </w:r>
      <w:r w:rsidRPr="009323B5">
        <w:rPr>
          <w:rFonts w:ascii="Times New Roman" w:hAnsi="Times New Roman" w:cs="Times New Roman"/>
          <w:b/>
          <w:bCs/>
          <w:i/>
          <w:iCs/>
          <w:sz w:val="24"/>
          <w:szCs w:val="24"/>
        </w:rPr>
        <w:t xml:space="preserve"> </w:t>
      </w:r>
      <w:r w:rsidRPr="00CC1E9B">
        <w:rPr>
          <w:rFonts w:ascii="Times New Roman" w:hAnsi="Times New Roman" w:cs="Times New Roman"/>
          <w:b/>
          <w:bCs/>
          <w:i/>
          <w:iCs/>
          <w:sz w:val="24"/>
          <w:szCs w:val="24"/>
        </w:rPr>
        <w:t>Cerințe de fonduri proprii pentru riscul de poziție</w:t>
      </w:r>
      <w:bookmarkEnd w:id="70"/>
    </w:p>
    <w:p w14:paraId="17040E12" w14:textId="554CA7E3" w:rsidR="000120B4" w:rsidRDefault="008A6895" w:rsidP="004340D9">
      <w:pPr>
        <w:rPr>
          <w:rFonts w:ascii="Times New Roman" w:hAnsi="Times New Roman" w:cs="Times New Roman"/>
          <w:sz w:val="24"/>
          <w:szCs w:val="24"/>
          <w:lang w:val="it-IT"/>
        </w:rPr>
      </w:pPr>
      <w:r w:rsidRPr="008A6895">
        <w:rPr>
          <w:rFonts w:ascii="Times New Roman" w:hAnsi="Times New Roman" w:cs="Times New Roman"/>
          <w:sz w:val="24"/>
          <w:szCs w:val="24"/>
        </w:rPr>
        <w:t xml:space="preserve">417. Cerința de fonduri proprii a băncii pentru riscul de poziție este suma cerințelor de fonduri proprii pentru riscul general și cel specific aferente pozițiilor sale pe instrumente de datorie și de capital. </w:t>
      </w:r>
      <w:r w:rsidRPr="008A6895">
        <w:rPr>
          <w:rFonts w:ascii="Times New Roman" w:hAnsi="Times New Roman" w:cs="Times New Roman"/>
          <w:sz w:val="24"/>
          <w:szCs w:val="24"/>
          <w:lang w:val="it-IT"/>
        </w:rPr>
        <w:t>Pozițiile din securitizare din portofoliul de tranzacționare sunt tratate ca instrumente de datorie.</w:t>
      </w:r>
    </w:p>
    <w:p w14:paraId="14AAAAC8" w14:textId="2713AE0F" w:rsidR="008A6895" w:rsidRPr="00CC1E9B" w:rsidRDefault="008A6895" w:rsidP="004340D9">
      <w:pPr>
        <w:rPr>
          <w:rFonts w:ascii="Times New Roman" w:hAnsi="Times New Roman" w:cs="Times New Roman"/>
          <w:b/>
          <w:bCs/>
          <w:i/>
          <w:iCs/>
          <w:sz w:val="24"/>
          <w:szCs w:val="24"/>
        </w:rPr>
      </w:pPr>
      <w:bookmarkStart w:id="71" w:name="_Hlk195099294"/>
      <w:r w:rsidRPr="00CC1E9B">
        <w:rPr>
          <w:rFonts w:ascii="Times New Roman" w:hAnsi="Times New Roman" w:cs="Times New Roman"/>
          <w:b/>
          <w:bCs/>
          <w:i/>
          <w:iCs/>
          <w:sz w:val="24"/>
          <w:szCs w:val="24"/>
        </w:rPr>
        <w:t>Subsecțiunea 2. Compensare</w:t>
      </w:r>
      <w:bookmarkEnd w:id="71"/>
    </w:p>
    <w:p w14:paraId="7AE81B22" w14:textId="0AF02556" w:rsidR="008A6895" w:rsidRDefault="008A6895" w:rsidP="004340D9">
      <w:pPr>
        <w:rPr>
          <w:rFonts w:ascii="Times New Roman" w:hAnsi="Times New Roman" w:cs="Times New Roman"/>
          <w:sz w:val="24"/>
          <w:szCs w:val="24"/>
        </w:rPr>
      </w:pPr>
      <w:r w:rsidRPr="008A6895">
        <w:rPr>
          <w:rFonts w:ascii="Times New Roman" w:hAnsi="Times New Roman" w:cs="Times New Roman"/>
          <w:sz w:val="24"/>
          <w:szCs w:val="24"/>
        </w:rPr>
        <w:t xml:space="preserve">418.   Valoarea absolută a excedentului pozițiilor lungi (scurte) ale unei bănci față de pozițiile sale scurte (lungi) pe titluri de capital, instrumente de datorie și titluri convertibile, identice, precum și pe contracte financiare </w:t>
      </w:r>
      <w:proofErr w:type="spellStart"/>
      <w:r w:rsidRPr="008A6895">
        <w:rPr>
          <w:rFonts w:ascii="Times New Roman" w:hAnsi="Times New Roman" w:cs="Times New Roman"/>
          <w:sz w:val="24"/>
          <w:szCs w:val="24"/>
        </w:rPr>
        <w:t>futures</w:t>
      </w:r>
      <w:proofErr w:type="spellEnd"/>
      <w:r w:rsidRPr="008A6895">
        <w:rPr>
          <w:rFonts w:ascii="Times New Roman" w:hAnsi="Times New Roman" w:cs="Times New Roman"/>
          <w:sz w:val="24"/>
          <w:szCs w:val="24"/>
        </w:rPr>
        <w:t xml:space="preserve">, opțiuni, </w:t>
      </w:r>
      <w:proofErr w:type="spellStart"/>
      <w:r w:rsidRPr="008A6895">
        <w:rPr>
          <w:rFonts w:ascii="Times New Roman" w:hAnsi="Times New Roman" w:cs="Times New Roman"/>
          <w:sz w:val="24"/>
          <w:szCs w:val="24"/>
        </w:rPr>
        <w:t>warranturi</w:t>
      </w:r>
      <w:proofErr w:type="spellEnd"/>
      <w:r w:rsidRPr="008A6895">
        <w:rPr>
          <w:rFonts w:ascii="Times New Roman" w:hAnsi="Times New Roman" w:cs="Times New Roman"/>
          <w:sz w:val="24"/>
          <w:szCs w:val="24"/>
        </w:rPr>
        <w:t xml:space="preserve"> și </w:t>
      </w:r>
      <w:proofErr w:type="spellStart"/>
      <w:r w:rsidRPr="008A6895">
        <w:rPr>
          <w:rFonts w:ascii="Times New Roman" w:hAnsi="Times New Roman" w:cs="Times New Roman"/>
          <w:sz w:val="24"/>
          <w:szCs w:val="24"/>
        </w:rPr>
        <w:t>warranturi</w:t>
      </w:r>
      <w:proofErr w:type="spellEnd"/>
      <w:r w:rsidRPr="008A6895">
        <w:rPr>
          <w:rFonts w:ascii="Times New Roman" w:hAnsi="Times New Roman" w:cs="Times New Roman"/>
          <w:sz w:val="24"/>
          <w:szCs w:val="24"/>
        </w:rPr>
        <w:t xml:space="preserve"> acoperite, identice, reprezintă poziția sa netă pe fiecare dintre aceste instrumente diferite. La calcularea poziției nete, pozițiile pe instrumente financiare derivate se tratează conform dispozițiilor subsecțiunilor 3-5. În cazul în care banca deține instrumente de datorie proprii, acestea nu se iau în considerare la calcularea cerințelor de capital pentru riscul specific prevăzute la secțiunea 2 subsecțiunea 2 paragraful 2.</w:t>
      </w:r>
    </w:p>
    <w:p w14:paraId="6067F688" w14:textId="10828BC3" w:rsidR="008A6895" w:rsidRDefault="008A6895" w:rsidP="004340D9">
      <w:pPr>
        <w:rPr>
          <w:rFonts w:ascii="Times New Roman" w:hAnsi="Times New Roman" w:cs="Times New Roman"/>
          <w:sz w:val="24"/>
          <w:szCs w:val="24"/>
        </w:rPr>
      </w:pPr>
      <w:r w:rsidRPr="008A6895">
        <w:rPr>
          <w:rFonts w:ascii="Times New Roman" w:hAnsi="Times New Roman" w:cs="Times New Roman"/>
          <w:sz w:val="24"/>
          <w:szCs w:val="24"/>
        </w:rPr>
        <w:t>419.   Nu este permisă compensarea între un titlu convertibil și o poziție de semn opus pe instrumentul-suport al acestuia, cu excepția cazului în care BNM adoptă o abordare conform căreia se ia în considerare probabilitatea ca un anumit titlu convertibil să fie convertit sau impun o cerință de fonduri proprii pentru acoperirea oricărei pierderi pe care conversia ar putea să o determine.</w:t>
      </w:r>
    </w:p>
    <w:p w14:paraId="62294BBA" w14:textId="654B0585" w:rsidR="006F6D74" w:rsidRDefault="006F6D74" w:rsidP="004340D9">
      <w:pPr>
        <w:rPr>
          <w:rFonts w:ascii="Times New Roman" w:hAnsi="Times New Roman" w:cs="Times New Roman"/>
          <w:sz w:val="24"/>
          <w:szCs w:val="24"/>
        </w:rPr>
      </w:pPr>
      <w:r w:rsidRPr="006F6D74">
        <w:rPr>
          <w:rFonts w:ascii="Times New Roman" w:hAnsi="Times New Roman" w:cs="Times New Roman"/>
          <w:sz w:val="24"/>
          <w:szCs w:val="24"/>
        </w:rPr>
        <w:t>420.   Toate pozițiile nete, indiferent de semnul lor, se convertesc zilnic, înainte de a le agrega, în moneda de raportare folosind cel mai utilizat curs de schimb la vedere.</w:t>
      </w:r>
    </w:p>
    <w:p w14:paraId="1D19FAB9" w14:textId="2F6B4D56" w:rsidR="006F6D74" w:rsidRPr="00CC1E9B" w:rsidRDefault="006F6D74" w:rsidP="004340D9">
      <w:pPr>
        <w:rPr>
          <w:rFonts w:ascii="Times New Roman" w:hAnsi="Times New Roman" w:cs="Times New Roman"/>
          <w:b/>
          <w:bCs/>
          <w:i/>
          <w:iCs/>
          <w:sz w:val="24"/>
          <w:szCs w:val="24"/>
        </w:rPr>
      </w:pPr>
      <w:bookmarkStart w:id="72" w:name="_Hlk195099319"/>
      <w:r w:rsidRPr="00CC1E9B">
        <w:rPr>
          <w:rFonts w:ascii="Times New Roman" w:hAnsi="Times New Roman" w:cs="Times New Roman"/>
          <w:b/>
          <w:bCs/>
          <w:i/>
          <w:iCs/>
          <w:sz w:val="24"/>
          <w:szCs w:val="24"/>
        </w:rPr>
        <w:t xml:space="preserve">Subsecțiunea 3. Contracte </w:t>
      </w:r>
      <w:proofErr w:type="spellStart"/>
      <w:r w:rsidRPr="00CC1E9B">
        <w:rPr>
          <w:rFonts w:ascii="Times New Roman" w:hAnsi="Times New Roman" w:cs="Times New Roman"/>
          <w:b/>
          <w:bCs/>
          <w:i/>
          <w:iCs/>
          <w:sz w:val="24"/>
          <w:szCs w:val="24"/>
        </w:rPr>
        <w:t>futures</w:t>
      </w:r>
      <w:proofErr w:type="spellEnd"/>
      <w:r w:rsidRPr="00CC1E9B">
        <w:rPr>
          <w:rFonts w:ascii="Times New Roman" w:hAnsi="Times New Roman" w:cs="Times New Roman"/>
          <w:b/>
          <w:bCs/>
          <w:i/>
          <w:iCs/>
          <w:sz w:val="24"/>
          <w:szCs w:val="24"/>
        </w:rPr>
        <w:t xml:space="preserve"> și </w:t>
      </w:r>
      <w:proofErr w:type="spellStart"/>
      <w:r w:rsidRPr="00CC1E9B">
        <w:rPr>
          <w:rFonts w:ascii="Times New Roman" w:hAnsi="Times New Roman" w:cs="Times New Roman"/>
          <w:b/>
          <w:bCs/>
          <w:i/>
          <w:iCs/>
          <w:sz w:val="24"/>
          <w:szCs w:val="24"/>
        </w:rPr>
        <w:t>forward</w:t>
      </w:r>
      <w:proofErr w:type="spellEnd"/>
      <w:r w:rsidRPr="00CC1E9B">
        <w:rPr>
          <w:rFonts w:ascii="Times New Roman" w:hAnsi="Times New Roman" w:cs="Times New Roman"/>
          <w:b/>
          <w:bCs/>
          <w:i/>
          <w:iCs/>
          <w:sz w:val="24"/>
          <w:szCs w:val="24"/>
        </w:rPr>
        <w:t xml:space="preserve"> pe rata dobânzii</w:t>
      </w:r>
      <w:bookmarkEnd w:id="72"/>
    </w:p>
    <w:p w14:paraId="3F8186C2" w14:textId="3294FB16" w:rsidR="000120B4" w:rsidRDefault="006F6D74" w:rsidP="004340D9">
      <w:pPr>
        <w:rPr>
          <w:rFonts w:ascii="Times New Roman" w:hAnsi="Times New Roman" w:cs="Times New Roman"/>
          <w:sz w:val="24"/>
          <w:szCs w:val="24"/>
        </w:rPr>
      </w:pPr>
      <w:r w:rsidRPr="006F6D74">
        <w:rPr>
          <w:rFonts w:ascii="Times New Roman" w:hAnsi="Times New Roman" w:cs="Times New Roman"/>
          <w:sz w:val="24"/>
          <w:szCs w:val="24"/>
        </w:rPr>
        <w:t xml:space="preserve">421.   Contractele </w:t>
      </w:r>
      <w:proofErr w:type="spellStart"/>
      <w:r w:rsidRPr="006F6D74">
        <w:rPr>
          <w:rFonts w:ascii="Times New Roman" w:hAnsi="Times New Roman" w:cs="Times New Roman"/>
          <w:sz w:val="24"/>
          <w:szCs w:val="24"/>
        </w:rPr>
        <w:t>futures</w:t>
      </w:r>
      <w:proofErr w:type="spellEnd"/>
      <w:r w:rsidRPr="006F6D74">
        <w:rPr>
          <w:rFonts w:ascii="Times New Roman" w:hAnsi="Times New Roman" w:cs="Times New Roman"/>
          <w:sz w:val="24"/>
          <w:szCs w:val="24"/>
        </w:rPr>
        <w:t xml:space="preserve"> pe rata dobânzii, contractele </w:t>
      </w:r>
      <w:proofErr w:type="spellStart"/>
      <w:r w:rsidRPr="006F6D74">
        <w:rPr>
          <w:rFonts w:ascii="Times New Roman" w:hAnsi="Times New Roman" w:cs="Times New Roman"/>
          <w:sz w:val="24"/>
          <w:szCs w:val="24"/>
        </w:rPr>
        <w:t>forward</w:t>
      </w:r>
      <w:proofErr w:type="spellEnd"/>
      <w:r w:rsidRPr="006F6D74">
        <w:rPr>
          <w:rFonts w:ascii="Times New Roman" w:hAnsi="Times New Roman" w:cs="Times New Roman"/>
          <w:sz w:val="24"/>
          <w:szCs w:val="24"/>
        </w:rPr>
        <w:t xml:space="preserve"> pe rata dobânzii (FRA) și angajamentele </w:t>
      </w:r>
      <w:proofErr w:type="spellStart"/>
      <w:r w:rsidRPr="006F6D74">
        <w:rPr>
          <w:rFonts w:ascii="Times New Roman" w:hAnsi="Times New Roman" w:cs="Times New Roman"/>
          <w:sz w:val="24"/>
          <w:szCs w:val="24"/>
        </w:rPr>
        <w:t>forward</w:t>
      </w:r>
      <w:proofErr w:type="spellEnd"/>
      <w:r w:rsidRPr="006F6D74">
        <w:rPr>
          <w:rFonts w:ascii="Times New Roman" w:hAnsi="Times New Roman" w:cs="Times New Roman"/>
          <w:sz w:val="24"/>
          <w:szCs w:val="24"/>
        </w:rPr>
        <w:t xml:space="preserve"> de cumpărare sau vânzare a instrumentelor de datorie se tratează drept combinații de poziții lungi și scurte. Astfel, o poziție lungă pe un contract </w:t>
      </w:r>
      <w:proofErr w:type="spellStart"/>
      <w:r w:rsidRPr="006F6D74">
        <w:rPr>
          <w:rFonts w:ascii="Times New Roman" w:hAnsi="Times New Roman" w:cs="Times New Roman"/>
          <w:sz w:val="24"/>
          <w:szCs w:val="24"/>
        </w:rPr>
        <w:t>futures</w:t>
      </w:r>
      <w:proofErr w:type="spellEnd"/>
      <w:r w:rsidRPr="006F6D74">
        <w:rPr>
          <w:rFonts w:ascii="Times New Roman" w:hAnsi="Times New Roman" w:cs="Times New Roman"/>
          <w:sz w:val="24"/>
          <w:szCs w:val="24"/>
        </w:rPr>
        <w:t xml:space="preserve"> pe rata dobânzii se tratează ca o combinație între un împrumut luat, cu scadență la data livrării contractului </w:t>
      </w:r>
      <w:proofErr w:type="spellStart"/>
      <w:r w:rsidRPr="006F6D74">
        <w:rPr>
          <w:rFonts w:ascii="Times New Roman" w:hAnsi="Times New Roman" w:cs="Times New Roman"/>
          <w:sz w:val="24"/>
          <w:szCs w:val="24"/>
        </w:rPr>
        <w:t>futures</w:t>
      </w:r>
      <w:proofErr w:type="spellEnd"/>
      <w:r w:rsidRPr="006F6D74">
        <w:rPr>
          <w:rFonts w:ascii="Times New Roman" w:hAnsi="Times New Roman" w:cs="Times New Roman"/>
          <w:sz w:val="24"/>
          <w:szCs w:val="24"/>
        </w:rPr>
        <w:t xml:space="preserve"> și o deținere a unui activ cu o scadență egală cu cea a instrumentului sau a poziției noționale, reprezentând suport la contractul </w:t>
      </w:r>
      <w:proofErr w:type="spellStart"/>
      <w:r w:rsidRPr="006F6D74">
        <w:rPr>
          <w:rFonts w:ascii="Times New Roman" w:hAnsi="Times New Roman" w:cs="Times New Roman"/>
          <w:sz w:val="24"/>
          <w:szCs w:val="24"/>
        </w:rPr>
        <w:t>futures</w:t>
      </w:r>
      <w:proofErr w:type="spellEnd"/>
      <w:r w:rsidRPr="006F6D74">
        <w:rPr>
          <w:rFonts w:ascii="Times New Roman" w:hAnsi="Times New Roman" w:cs="Times New Roman"/>
          <w:sz w:val="24"/>
          <w:szCs w:val="24"/>
        </w:rPr>
        <w:t xml:space="preserve"> în cauză. În mod similar, un contract FRA vândut se tratează ca o poziție lungă, cu o scadență egală cu data decontării plus perioada contractului, și o poziție scurtă, cu o scadență egală cu data decontării. Atât împrumutul, cât și activul deținut se includ în prima categorie prevăzută în tabelul 1 de la secțiunea 2 subsecțiunea 1 paragraful 2, în scopul calculării cerinței de fonduri proprii pentru riscul specific aferent contractelor </w:t>
      </w:r>
      <w:proofErr w:type="spellStart"/>
      <w:r w:rsidRPr="006F6D74">
        <w:rPr>
          <w:rFonts w:ascii="Times New Roman" w:hAnsi="Times New Roman" w:cs="Times New Roman"/>
          <w:sz w:val="24"/>
          <w:szCs w:val="24"/>
        </w:rPr>
        <w:t>futures</w:t>
      </w:r>
      <w:proofErr w:type="spellEnd"/>
      <w:r w:rsidRPr="006F6D74">
        <w:rPr>
          <w:rFonts w:ascii="Times New Roman" w:hAnsi="Times New Roman" w:cs="Times New Roman"/>
          <w:sz w:val="24"/>
          <w:szCs w:val="24"/>
        </w:rPr>
        <w:t xml:space="preserve"> pe rata dobânzii și contractelor FRA. Un angajament </w:t>
      </w:r>
      <w:proofErr w:type="spellStart"/>
      <w:r w:rsidRPr="006F6D74">
        <w:rPr>
          <w:rFonts w:ascii="Times New Roman" w:hAnsi="Times New Roman" w:cs="Times New Roman"/>
          <w:sz w:val="24"/>
          <w:szCs w:val="24"/>
        </w:rPr>
        <w:t>forward</w:t>
      </w:r>
      <w:proofErr w:type="spellEnd"/>
      <w:r w:rsidRPr="006F6D74">
        <w:rPr>
          <w:rFonts w:ascii="Times New Roman" w:hAnsi="Times New Roman" w:cs="Times New Roman"/>
          <w:sz w:val="24"/>
          <w:szCs w:val="24"/>
        </w:rPr>
        <w:t xml:space="preserve"> de cumpărare a unui instrument de datorie se tratează ca o combinație între un împrumut cu scadență la data livrării și o poziție lungă (spot) pe însuși instrumentul de datorie. Împrumutul se include în prima categorie prevăzută în tabelul 1 de la secțiunea 2 subsecțiunea 1 paragraful 2, pentru scopurile riscului specific, iar instrumentul de datorie se include în coloana corespunzătoare din cadrul aceluiași tabel.</w:t>
      </w:r>
    </w:p>
    <w:p w14:paraId="2449EAE8" w14:textId="42C58705" w:rsidR="006F6D74" w:rsidRDefault="006F6D74" w:rsidP="004340D9">
      <w:pPr>
        <w:rPr>
          <w:rFonts w:ascii="Times New Roman" w:hAnsi="Times New Roman" w:cs="Times New Roman"/>
          <w:sz w:val="24"/>
          <w:szCs w:val="24"/>
        </w:rPr>
      </w:pPr>
      <w:r w:rsidRPr="006F6D74">
        <w:rPr>
          <w:rFonts w:ascii="Times New Roman" w:hAnsi="Times New Roman" w:cs="Times New Roman"/>
          <w:sz w:val="24"/>
          <w:szCs w:val="24"/>
        </w:rPr>
        <w:t>422.  În sensul prezentei subsecțiuni, „poziție lungă” înseamnă o poziție în care o bancă a fixat rata dobânzii pe care o va primi la un anumit moment în viitor, iar „poziție scurtă” înseamnă o poziție în care banca a fixat rata dobânzii pe care o va plăti la un anumit moment în viitor.</w:t>
      </w:r>
    </w:p>
    <w:p w14:paraId="27E7F384" w14:textId="45FBE2A4" w:rsidR="000120B4" w:rsidRPr="00CC1E9B" w:rsidRDefault="006F6D74" w:rsidP="004340D9">
      <w:pPr>
        <w:rPr>
          <w:rFonts w:ascii="Times New Roman" w:hAnsi="Times New Roman" w:cs="Times New Roman"/>
          <w:b/>
          <w:bCs/>
          <w:i/>
          <w:iCs/>
          <w:sz w:val="24"/>
          <w:szCs w:val="24"/>
        </w:rPr>
      </w:pPr>
      <w:bookmarkStart w:id="73" w:name="_Hlk195099439"/>
      <w:r w:rsidRPr="00CC1E9B">
        <w:rPr>
          <w:rFonts w:ascii="Times New Roman" w:hAnsi="Times New Roman" w:cs="Times New Roman"/>
          <w:b/>
          <w:bCs/>
          <w:i/>
          <w:iCs/>
          <w:sz w:val="24"/>
          <w:szCs w:val="24"/>
        </w:rPr>
        <w:t xml:space="preserve">Subsecțiunea 4. Opțiuni și </w:t>
      </w:r>
      <w:proofErr w:type="spellStart"/>
      <w:r w:rsidRPr="00CC1E9B">
        <w:rPr>
          <w:rFonts w:ascii="Times New Roman" w:hAnsi="Times New Roman" w:cs="Times New Roman"/>
          <w:b/>
          <w:bCs/>
          <w:i/>
          <w:iCs/>
          <w:sz w:val="24"/>
          <w:szCs w:val="24"/>
        </w:rPr>
        <w:t>warranturi</w:t>
      </w:r>
      <w:bookmarkEnd w:id="73"/>
      <w:proofErr w:type="spellEnd"/>
    </w:p>
    <w:p w14:paraId="2A6B73B8" w14:textId="68D30F24" w:rsidR="000120B4" w:rsidRDefault="006F6D74" w:rsidP="004340D9">
      <w:pPr>
        <w:rPr>
          <w:rFonts w:ascii="Times New Roman" w:hAnsi="Times New Roman" w:cs="Times New Roman"/>
          <w:sz w:val="24"/>
          <w:szCs w:val="24"/>
        </w:rPr>
      </w:pPr>
      <w:r w:rsidRPr="006F6D74">
        <w:rPr>
          <w:rFonts w:ascii="Times New Roman" w:hAnsi="Times New Roman" w:cs="Times New Roman"/>
          <w:sz w:val="24"/>
          <w:szCs w:val="24"/>
        </w:rPr>
        <w:t xml:space="preserve">423.  În sensul prezentului capitol, opțiunile și </w:t>
      </w:r>
      <w:proofErr w:type="spellStart"/>
      <w:r w:rsidRPr="006F6D74">
        <w:rPr>
          <w:rFonts w:ascii="Times New Roman" w:hAnsi="Times New Roman" w:cs="Times New Roman"/>
          <w:sz w:val="24"/>
          <w:szCs w:val="24"/>
        </w:rPr>
        <w:t>warranturile</w:t>
      </w:r>
      <w:proofErr w:type="spellEnd"/>
      <w:r w:rsidRPr="006F6D74">
        <w:rPr>
          <w:rFonts w:ascii="Times New Roman" w:hAnsi="Times New Roman" w:cs="Times New Roman"/>
          <w:sz w:val="24"/>
          <w:szCs w:val="24"/>
        </w:rPr>
        <w:t xml:space="preserve"> pe rata dobânzii, pe instrumente de datorie, pe titluri de capital, pe indici bursieri, pe contracte financiare </w:t>
      </w:r>
      <w:proofErr w:type="spellStart"/>
      <w:r w:rsidRPr="006F6D74">
        <w:rPr>
          <w:rFonts w:ascii="Times New Roman" w:hAnsi="Times New Roman" w:cs="Times New Roman"/>
          <w:sz w:val="24"/>
          <w:szCs w:val="24"/>
        </w:rPr>
        <w:t>futures</w:t>
      </w:r>
      <w:proofErr w:type="spellEnd"/>
      <w:r w:rsidRPr="006F6D74">
        <w:rPr>
          <w:rFonts w:ascii="Times New Roman" w:hAnsi="Times New Roman" w:cs="Times New Roman"/>
          <w:sz w:val="24"/>
          <w:szCs w:val="24"/>
        </w:rPr>
        <w:t xml:space="preserve">, pe </w:t>
      </w:r>
      <w:proofErr w:type="spellStart"/>
      <w:r w:rsidRPr="006F6D74">
        <w:rPr>
          <w:rFonts w:ascii="Times New Roman" w:hAnsi="Times New Roman" w:cs="Times New Roman"/>
          <w:sz w:val="24"/>
          <w:szCs w:val="24"/>
        </w:rPr>
        <w:t>swapuri</w:t>
      </w:r>
      <w:proofErr w:type="spellEnd"/>
      <w:r w:rsidRPr="006F6D74">
        <w:rPr>
          <w:rFonts w:ascii="Times New Roman" w:hAnsi="Times New Roman" w:cs="Times New Roman"/>
          <w:sz w:val="24"/>
          <w:szCs w:val="24"/>
        </w:rPr>
        <w:t xml:space="preserve"> și pe valute se tratează ca și </w:t>
      </w:r>
      <w:r w:rsidRPr="006F6D74">
        <w:rPr>
          <w:rFonts w:ascii="Times New Roman" w:hAnsi="Times New Roman" w:cs="Times New Roman"/>
          <w:sz w:val="24"/>
          <w:szCs w:val="24"/>
        </w:rPr>
        <w:lastRenderedPageBreak/>
        <w:t xml:space="preserve">cum ar fi poziții egale în valoare cu suma aferentă instrumentului-suport la care se referă opțiunea, înmulțită cu valoarea delta aferentă. Pozițiile astfel obținute pot fi compensate cu orice poziții de semn opus pe instrumente identice cu instrumentul-suport, sau pe instrumente financiare derivate identice cu instrumentul financiar derivat-suport. Valoarea delta utilizată este cea a bursei în cauză. În cazul opțiunilor pentru instrumente financiare derivate </w:t>
      </w:r>
      <w:proofErr w:type="spellStart"/>
      <w:r w:rsidRPr="006F6D74">
        <w:rPr>
          <w:rFonts w:ascii="Times New Roman" w:hAnsi="Times New Roman" w:cs="Times New Roman"/>
          <w:sz w:val="24"/>
          <w:szCs w:val="24"/>
        </w:rPr>
        <w:t>extrabursiere</w:t>
      </w:r>
      <w:proofErr w:type="spellEnd"/>
      <w:r w:rsidRPr="006F6D74">
        <w:rPr>
          <w:rFonts w:ascii="Times New Roman" w:hAnsi="Times New Roman" w:cs="Times New Roman"/>
          <w:sz w:val="24"/>
          <w:szCs w:val="24"/>
        </w:rPr>
        <w:t xml:space="preserve"> sau în cazul în care valoarea delta nu este disponibilă la bursa în cauză, banca poate calcula ea însăși valoarea delta cu ajutorul unui model adecvat, cu aprobarea BNM. Aprobarea se acordă dacă modelul estimează în mod adecvat rata de modificare a valorii opțiunii sau </w:t>
      </w:r>
      <w:proofErr w:type="spellStart"/>
      <w:r w:rsidRPr="006F6D74">
        <w:rPr>
          <w:rFonts w:ascii="Times New Roman" w:hAnsi="Times New Roman" w:cs="Times New Roman"/>
          <w:sz w:val="24"/>
          <w:szCs w:val="24"/>
        </w:rPr>
        <w:t>warrantului</w:t>
      </w:r>
      <w:proofErr w:type="spellEnd"/>
      <w:r w:rsidRPr="006F6D74">
        <w:rPr>
          <w:rFonts w:ascii="Times New Roman" w:hAnsi="Times New Roman" w:cs="Times New Roman"/>
          <w:sz w:val="24"/>
          <w:szCs w:val="24"/>
        </w:rPr>
        <w:t xml:space="preserve"> în raport cu modificări minore ale prețului de piață al suportului.</w:t>
      </w:r>
    </w:p>
    <w:p w14:paraId="11DD540E" w14:textId="2C0909DD" w:rsidR="006F6D74" w:rsidRDefault="006F6D74" w:rsidP="004340D9">
      <w:pPr>
        <w:rPr>
          <w:rFonts w:ascii="Times New Roman" w:hAnsi="Times New Roman" w:cs="Times New Roman"/>
          <w:sz w:val="24"/>
          <w:szCs w:val="24"/>
        </w:rPr>
      </w:pPr>
      <w:r w:rsidRPr="006F6D74">
        <w:rPr>
          <w:rFonts w:ascii="Times New Roman" w:hAnsi="Times New Roman" w:cs="Times New Roman"/>
          <w:sz w:val="24"/>
          <w:szCs w:val="24"/>
        </w:rPr>
        <w:t>424.   Băncile reflectă în mod adecvat riscurile, altele decât riscul delta, asociate cu opțiunile în cerințele de fonduri proprii în conformitate cu metodele prevăzute în anexa nr.5.</w:t>
      </w:r>
    </w:p>
    <w:p w14:paraId="45E169D5" w14:textId="73A5F109" w:rsidR="006F6D74" w:rsidRPr="00CC1E9B" w:rsidRDefault="006F6D74" w:rsidP="004340D9">
      <w:pPr>
        <w:rPr>
          <w:rFonts w:ascii="Times New Roman" w:hAnsi="Times New Roman" w:cs="Times New Roman"/>
          <w:b/>
          <w:bCs/>
          <w:i/>
          <w:iCs/>
          <w:sz w:val="24"/>
          <w:szCs w:val="24"/>
        </w:rPr>
      </w:pPr>
      <w:bookmarkStart w:id="74" w:name="_Hlk195099459"/>
      <w:r w:rsidRPr="00CC1E9B">
        <w:rPr>
          <w:rFonts w:ascii="Times New Roman" w:hAnsi="Times New Roman" w:cs="Times New Roman"/>
          <w:b/>
          <w:bCs/>
          <w:i/>
          <w:iCs/>
          <w:sz w:val="24"/>
          <w:szCs w:val="24"/>
        </w:rPr>
        <w:t xml:space="preserve">Subsecțiunea 5. </w:t>
      </w:r>
      <w:proofErr w:type="spellStart"/>
      <w:r w:rsidRPr="00CC1E9B">
        <w:rPr>
          <w:rFonts w:ascii="Times New Roman" w:hAnsi="Times New Roman" w:cs="Times New Roman"/>
          <w:b/>
          <w:bCs/>
          <w:i/>
          <w:iCs/>
          <w:sz w:val="24"/>
          <w:szCs w:val="24"/>
        </w:rPr>
        <w:t>Swapuri</w:t>
      </w:r>
      <w:bookmarkEnd w:id="74"/>
      <w:proofErr w:type="spellEnd"/>
    </w:p>
    <w:p w14:paraId="3CEE6677" w14:textId="5DC30CF9" w:rsidR="006F6D74" w:rsidRDefault="006F6D74" w:rsidP="004340D9">
      <w:pPr>
        <w:rPr>
          <w:rFonts w:ascii="Times New Roman" w:hAnsi="Times New Roman" w:cs="Times New Roman"/>
          <w:sz w:val="24"/>
          <w:szCs w:val="24"/>
        </w:rPr>
      </w:pPr>
      <w:r w:rsidRPr="006F6D74">
        <w:rPr>
          <w:rFonts w:ascii="Times New Roman" w:hAnsi="Times New Roman" w:cs="Times New Roman"/>
          <w:sz w:val="24"/>
          <w:szCs w:val="24"/>
        </w:rPr>
        <w:t xml:space="preserve">425. </w:t>
      </w:r>
      <w:proofErr w:type="spellStart"/>
      <w:r w:rsidRPr="006F6D74">
        <w:rPr>
          <w:rFonts w:ascii="Times New Roman" w:hAnsi="Times New Roman" w:cs="Times New Roman"/>
          <w:sz w:val="24"/>
          <w:szCs w:val="24"/>
        </w:rPr>
        <w:t>Swapurile</w:t>
      </w:r>
      <w:proofErr w:type="spellEnd"/>
      <w:r w:rsidRPr="006F6D74">
        <w:rPr>
          <w:rFonts w:ascii="Times New Roman" w:hAnsi="Times New Roman" w:cs="Times New Roman"/>
          <w:sz w:val="24"/>
          <w:szCs w:val="24"/>
        </w:rPr>
        <w:t xml:space="preserve"> se tratează pentru scopurile riscului de rată a dobânzii pe aceeași bază ca și instrumentele din bilanț. Astfel, un </w:t>
      </w:r>
      <w:proofErr w:type="spellStart"/>
      <w:r w:rsidRPr="006F6D74">
        <w:rPr>
          <w:rFonts w:ascii="Times New Roman" w:hAnsi="Times New Roman" w:cs="Times New Roman"/>
          <w:sz w:val="24"/>
          <w:szCs w:val="24"/>
        </w:rPr>
        <w:t>swap</w:t>
      </w:r>
      <w:proofErr w:type="spellEnd"/>
      <w:r w:rsidRPr="006F6D74">
        <w:rPr>
          <w:rFonts w:ascii="Times New Roman" w:hAnsi="Times New Roman" w:cs="Times New Roman"/>
          <w:sz w:val="24"/>
          <w:szCs w:val="24"/>
        </w:rPr>
        <w:t xml:space="preserve"> pe rata dobânzii, în cadrul căruia o bancă primește o rată a dobânzii variabilă și plătește o rată a dobânzii fixă, se tratează ca fiind echivalent cu o poziție lungă pe un instrument pe rată a dobânzii variabilă cu scadență egală cu perioada până la următoarea dată de fixare a ratei dobânzii și o poziție scurtă pe un instrument pe rată a dobânzii fixă cu aceeași scadență ca și </w:t>
      </w:r>
      <w:proofErr w:type="spellStart"/>
      <w:r w:rsidRPr="006F6D74">
        <w:rPr>
          <w:rFonts w:ascii="Times New Roman" w:hAnsi="Times New Roman" w:cs="Times New Roman"/>
          <w:sz w:val="24"/>
          <w:szCs w:val="24"/>
        </w:rPr>
        <w:t>swapul</w:t>
      </w:r>
      <w:proofErr w:type="spellEnd"/>
      <w:r w:rsidRPr="006F6D74">
        <w:rPr>
          <w:rFonts w:ascii="Times New Roman" w:hAnsi="Times New Roman" w:cs="Times New Roman"/>
          <w:sz w:val="24"/>
          <w:szCs w:val="24"/>
        </w:rPr>
        <w:t xml:space="preserve"> însuși.</w:t>
      </w:r>
    </w:p>
    <w:p w14:paraId="226DD57A" w14:textId="4691FEC4" w:rsidR="006F6D74" w:rsidRPr="00CC1E9B" w:rsidRDefault="006F6D74" w:rsidP="004340D9">
      <w:pPr>
        <w:rPr>
          <w:rFonts w:ascii="Times New Roman" w:hAnsi="Times New Roman" w:cs="Times New Roman"/>
          <w:b/>
          <w:bCs/>
          <w:i/>
          <w:iCs/>
          <w:sz w:val="24"/>
          <w:szCs w:val="24"/>
        </w:rPr>
      </w:pPr>
      <w:bookmarkStart w:id="75" w:name="_Hlk195099482"/>
      <w:r w:rsidRPr="00CC1E9B">
        <w:rPr>
          <w:rFonts w:ascii="Times New Roman" w:hAnsi="Times New Roman" w:cs="Times New Roman"/>
          <w:b/>
          <w:bCs/>
          <w:i/>
          <w:iCs/>
          <w:sz w:val="24"/>
          <w:szCs w:val="24"/>
        </w:rPr>
        <w:t>Subsecțiunea 6. Riscul de rată a dobânzii pentru instrumentele financiare derivate</w:t>
      </w:r>
      <w:bookmarkEnd w:id="75"/>
    </w:p>
    <w:p w14:paraId="7640A67C" w14:textId="07EB18E4" w:rsidR="006F6D74" w:rsidRDefault="006F6D74" w:rsidP="004340D9">
      <w:pPr>
        <w:rPr>
          <w:rFonts w:ascii="Times New Roman" w:hAnsi="Times New Roman" w:cs="Times New Roman"/>
          <w:sz w:val="24"/>
          <w:szCs w:val="24"/>
        </w:rPr>
      </w:pPr>
      <w:r w:rsidRPr="006F6D74">
        <w:rPr>
          <w:rFonts w:ascii="Times New Roman" w:hAnsi="Times New Roman" w:cs="Times New Roman"/>
          <w:sz w:val="24"/>
          <w:szCs w:val="24"/>
        </w:rPr>
        <w:t>426.   Băncile care marchează la piață și administrează riscul de rată a dobânzii pentru instrumentele financiare derivate reglementate de subsecțiunile 3-5 pe baza fluxurilor de numerar actualizate pot, cu aprobarea BNM, să utilizeze modelele de sensibilitate pentru a calcula pozițiile menționate la aceste subsecțiuni și le pot utiliza pentru orice obligațiune care este amortizată pe perioada reziduală, nu și pentru cele al căror principal este rambursat la final într-o singură rată. Aprobarea se acordă dacă aceste modele generează poziții care au aceeași sensibilitate la modificările ratei dobânzii ca și fluxurile de numerar-suport. Această sensibilitate se evaluează în raport cu variațiile independente ale unor rate eșantionate de-a lungul curbei de randament, care să comporte cel puțin un punct de sensibilitate în fiecare dintre benzile de scadență prevăzute în tabelul 2 de la secțiunea 2 subsecțiunea 2 paragraful 1. Pozițiile se includ în calculul cerințelor de fonduri proprii pentru riscul general al instrumentelor de datorie.</w:t>
      </w:r>
    </w:p>
    <w:p w14:paraId="664505DF" w14:textId="77777777" w:rsidR="001C7197" w:rsidRPr="001C7197" w:rsidRDefault="001C7197" w:rsidP="001C7197">
      <w:pPr>
        <w:rPr>
          <w:rFonts w:ascii="Times New Roman" w:hAnsi="Times New Roman" w:cs="Times New Roman"/>
          <w:sz w:val="24"/>
          <w:szCs w:val="24"/>
        </w:rPr>
      </w:pPr>
      <w:r w:rsidRPr="001C7197">
        <w:rPr>
          <w:rFonts w:ascii="Times New Roman" w:hAnsi="Times New Roman" w:cs="Times New Roman"/>
          <w:sz w:val="24"/>
          <w:szCs w:val="24"/>
        </w:rPr>
        <w:t>427.   Băncile care nu utilizează modelele prevăzute la pct.426 pot să compenseze integral toate pozițiile pe instrumente financiare derivate reglementate de subsecțiunile 3-5 care îndeplinesc cel puțin următoarele condiții:</w:t>
      </w:r>
    </w:p>
    <w:p w14:paraId="00FF19FA" w14:textId="77777777" w:rsidR="001C7197" w:rsidRPr="001C7197" w:rsidRDefault="001C7197" w:rsidP="001C7197">
      <w:pPr>
        <w:rPr>
          <w:rFonts w:ascii="Times New Roman" w:hAnsi="Times New Roman" w:cs="Times New Roman"/>
          <w:sz w:val="24"/>
          <w:szCs w:val="24"/>
        </w:rPr>
      </w:pPr>
      <w:r w:rsidRPr="001C7197">
        <w:rPr>
          <w:rFonts w:ascii="Times New Roman" w:hAnsi="Times New Roman" w:cs="Times New Roman"/>
          <w:sz w:val="24"/>
          <w:szCs w:val="24"/>
        </w:rPr>
        <w:t>427.1. pozițiile au aceeași valoare și sunt denominate în aceeași monedă;</w:t>
      </w:r>
    </w:p>
    <w:p w14:paraId="559436C1" w14:textId="77777777" w:rsidR="001C7197" w:rsidRPr="001C7197" w:rsidRDefault="001C7197" w:rsidP="001C7197">
      <w:pPr>
        <w:rPr>
          <w:rFonts w:ascii="Times New Roman" w:hAnsi="Times New Roman" w:cs="Times New Roman"/>
          <w:sz w:val="24"/>
          <w:szCs w:val="24"/>
        </w:rPr>
      </w:pPr>
      <w:r w:rsidRPr="001C7197">
        <w:rPr>
          <w:rFonts w:ascii="Times New Roman" w:hAnsi="Times New Roman" w:cs="Times New Roman"/>
          <w:sz w:val="24"/>
          <w:szCs w:val="24"/>
        </w:rPr>
        <w:t>427.2. rata de referință (pentru pozițiile pe rată variabilă) sau cuponul (pentru pozițiile pe rată fixă) are valoare apropiată;</w:t>
      </w:r>
    </w:p>
    <w:p w14:paraId="32056707" w14:textId="77777777" w:rsidR="001C7197" w:rsidRPr="001C7197" w:rsidRDefault="001C7197" w:rsidP="001C7197">
      <w:pPr>
        <w:rPr>
          <w:rFonts w:ascii="Times New Roman" w:hAnsi="Times New Roman" w:cs="Times New Roman"/>
          <w:sz w:val="24"/>
          <w:szCs w:val="24"/>
        </w:rPr>
      </w:pPr>
      <w:r w:rsidRPr="001C7197">
        <w:rPr>
          <w:rFonts w:ascii="Times New Roman" w:hAnsi="Times New Roman" w:cs="Times New Roman"/>
          <w:sz w:val="24"/>
          <w:szCs w:val="24"/>
        </w:rPr>
        <w:t>427.3. următoarea dată de fixare a dobânzii sau, pentru pozițiile pe cupon fix, scadența reziduală corespunde următoarelor limite:</w:t>
      </w:r>
    </w:p>
    <w:p w14:paraId="144E3F7A" w14:textId="77777777" w:rsidR="001C7197" w:rsidRPr="001C7197" w:rsidRDefault="001C7197" w:rsidP="001C7197">
      <w:pPr>
        <w:rPr>
          <w:rFonts w:ascii="Times New Roman" w:hAnsi="Times New Roman" w:cs="Times New Roman"/>
          <w:sz w:val="24"/>
          <w:szCs w:val="24"/>
        </w:rPr>
      </w:pPr>
      <w:r w:rsidRPr="001C7197">
        <w:rPr>
          <w:rFonts w:ascii="Times New Roman" w:hAnsi="Times New Roman" w:cs="Times New Roman"/>
          <w:sz w:val="24"/>
          <w:szCs w:val="24"/>
        </w:rPr>
        <w:t>427.3.1. mai puțin de o lună: aceeași zi;</w:t>
      </w:r>
    </w:p>
    <w:p w14:paraId="18E5ED2F" w14:textId="77777777" w:rsidR="001C7197" w:rsidRPr="001C7197" w:rsidRDefault="001C7197" w:rsidP="001C7197">
      <w:pPr>
        <w:rPr>
          <w:rFonts w:ascii="Times New Roman" w:hAnsi="Times New Roman" w:cs="Times New Roman"/>
          <w:sz w:val="24"/>
          <w:szCs w:val="24"/>
        </w:rPr>
      </w:pPr>
      <w:r w:rsidRPr="001C7197">
        <w:rPr>
          <w:rFonts w:ascii="Times New Roman" w:hAnsi="Times New Roman" w:cs="Times New Roman"/>
          <w:sz w:val="24"/>
          <w:szCs w:val="24"/>
        </w:rPr>
        <w:t>427.3.2. între o lună și un an: în șapte zile;</w:t>
      </w:r>
    </w:p>
    <w:p w14:paraId="4A780428" w14:textId="47C8F0F3" w:rsidR="001C7197" w:rsidRDefault="001C7197" w:rsidP="001C7197">
      <w:pPr>
        <w:rPr>
          <w:rFonts w:ascii="Times New Roman" w:hAnsi="Times New Roman" w:cs="Times New Roman"/>
          <w:sz w:val="24"/>
          <w:szCs w:val="24"/>
        </w:rPr>
      </w:pPr>
      <w:r w:rsidRPr="001C7197">
        <w:rPr>
          <w:rFonts w:ascii="Times New Roman" w:hAnsi="Times New Roman" w:cs="Times New Roman"/>
          <w:sz w:val="24"/>
          <w:szCs w:val="24"/>
        </w:rPr>
        <w:t>427.3.3. peste un an: în 30 de zile.</w:t>
      </w:r>
    </w:p>
    <w:p w14:paraId="363D8D9D" w14:textId="1094047A" w:rsidR="001C7197" w:rsidRPr="00CC1E9B" w:rsidRDefault="001C7197" w:rsidP="001C7197">
      <w:pPr>
        <w:rPr>
          <w:rFonts w:ascii="Times New Roman" w:hAnsi="Times New Roman" w:cs="Times New Roman"/>
          <w:b/>
          <w:bCs/>
          <w:i/>
          <w:iCs/>
          <w:sz w:val="24"/>
          <w:szCs w:val="24"/>
        </w:rPr>
      </w:pPr>
      <w:bookmarkStart w:id="76" w:name="_Hlk195099513"/>
      <w:r w:rsidRPr="00CC1E9B">
        <w:rPr>
          <w:rFonts w:ascii="Times New Roman" w:hAnsi="Times New Roman" w:cs="Times New Roman"/>
          <w:b/>
          <w:bCs/>
          <w:i/>
          <w:iCs/>
          <w:sz w:val="24"/>
          <w:szCs w:val="24"/>
        </w:rPr>
        <w:t>Subsecțiunea 7. Instrumente financiare derivate de credit</w:t>
      </w:r>
      <w:bookmarkEnd w:id="76"/>
    </w:p>
    <w:p w14:paraId="076D5DE3" w14:textId="77777777" w:rsidR="001C7197" w:rsidRPr="001C7197" w:rsidRDefault="001C7197" w:rsidP="001C7197">
      <w:pPr>
        <w:rPr>
          <w:rFonts w:ascii="Times New Roman" w:hAnsi="Times New Roman" w:cs="Times New Roman"/>
          <w:sz w:val="24"/>
          <w:szCs w:val="24"/>
        </w:rPr>
      </w:pPr>
      <w:r w:rsidRPr="001C7197">
        <w:rPr>
          <w:rFonts w:ascii="Times New Roman" w:hAnsi="Times New Roman" w:cs="Times New Roman"/>
          <w:sz w:val="24"/>
          <w:szCs w:val="24"/>
        </w:rPr>
        <w:t xml:space="preserve">428.   La calcularea cerinței de fonduri proprii pentru riscul general și riscul specific al părții care își asumă riscul de credit („vânzătorul protecției”) trebuie utilizat, dacă nu se specifică altfel, cuantumul noțional al instrumentului financiar derivat de credit, prevăzut în contract. În pofida primei teze, banca poate alege să </w:t>
      </w:r>
      <w:r w:rsidRPr="001C7197">
        <w:rPr>
          <w:rFonts w:ascii="Times New Roman" w:hAnsi="Times New Roman" w:cs="Times New Roman"/>
          <w:sz w:val="24"/>
          <w:szCs w:val="24"/>
        </w:rPr>
        <w:lastRenderedPageBreak/>
        <w:t xml:space="preserve">înlocuiască valoarea noțională cu valoarea noțională plus variația netă a valorii de piață a instrumentului financiar derivat de la inițierea tranzacției, reprezentând, din punctul de vedere al vânzătorului de protecție, o variație netă în sens descendent, de semn negativ. În scopul calculării cerinței de risc specific, alta decât pentru instrumentele de tipul total </w:t>
      </w:r>
      <w:proofErr w:type="spellStart"/>
      <w:r w:rsidRPr="001C7197">
        <w:rPr>
          <w:rFonts w:ascii="Times New Roman" w:hAnsi="Times New Roman" w:cs="Times New Roman"/>
          <w:sz w:val="24"/>
          <w:szCs w:val="24"/>
        </w:rPr>
        <w:t>return</w:t>
      </w:r>
      <w:proofErr w:type="spellEnd"/>
      <w:r w:rsidRPr="001C7197">
        <w:rPr>
          <w:rFonts w:ascii="Times New Roman" w:hAnsi="Times New Roman" w:cs="Times New Roman"/>
          <w:sz w:val="24"/>
          <w:szCs w:val="24"/>
        </w:rPr>
        <w:t xml:space="preserve"> </w:t>
      </w:r>
      <w:proofErr w:type="spellStart"/>
      <w:r w:rsidRPr="001C7197">
        <w:rPr>
          <w:rFonts w:ascii="Times New Roman" w:hAnsi="Times New Roman" w:cs="Times New Roman"/>
          <w:sz w:val="24"/>
          <w:szCs w:val="24"/>
        </w:rPr>
        <w:t>swap</w:t>
      </w:r>
      <w:proofErr w:type="spellEnd"/>
      <w:r w:rsidRPr="001C7197">
        <w:rPr>
          <w:rFonts w:ascii="Times New Roman" w:hAnsi="Times New Roman" w:cs="Times New Roman"/>
          <w:sz w:val="24"/>
          <w:szCs w:val="24"/>
        </w:rPr>
        <w:t>, se aplică scadența instrumentului financiar derivat de credit prevăzută în contract, și nu scadența obligației. Pozițiile se determină după cum urmează:</w:t>
      </w:r>
    </w:p>
    <w:p w14:paraId="09B78DE8" w14:textId="77777777" w:rsidR="001C7197" w:rsidRPr="001C7197" w:rsidRDefault="001C7197" w:rsidP="001C7197">
      <w:pPr>
        <w:rPr>
          <w:rFonts w:ascii="Times New Roman" w:hAnsi="Times New Roman" w:cs="Times New Roman"/>
          <w:sz w:val="24"/>
          <w:szCs w:val="24"/>
        </w:rPr>
      </w:pPr>
      <w:r w:rsidRPr="001C7197">
        <w:rPr>
          <w:rFonts w:ascii="Times New Roman" w:hAnsi="Times New Roman" w:cs="Times New Roman"/>
          <w:sz w:val="24"/>
          <w:szCs w:val="24"/>
        </w:rPr>
        <w:t xml:space="preserve">428.1. un instrument de tipul total </w:t>
      </w:r>
      <w:proofErr w:type="spellStart"/>
      <w:r w:rsidRPr="001C7197">
        <w:rPr>
          <w:rFonts w:ascii="Times New Roman" w:hAnsi="Times New Roman" w:cs="Times New Roman"/>
          <w:sz w:val="24"/>
          <w:szCs w:val="24"/>
        </w:rPr>
        <w:t>return</w:t>
      </w:r>
      <w:proofErr w:type="spellEnd"/>
      <w:r w:rsidRPr="001C7197">
        <w:rPr>
          <w:rFonts w:ascii="Times New Roman" w:hAnsi="Times New Roman" w:cs="Times New Roman"/>
          <w:sz w:val="24"/>
          <w:szCs w:val="24"/>
        </w:rPr>
        <w:t xml:space="preserve"> </w:t>
      </w:r>
      <w:proofErr w:type="spellStart"/>
      <w:r w:rsidRPr="001C7197">
        <w:rPr>
          <w:rFonts w:ascii="Times New Roman" w:hAnsi="Times New Roman" w:cs="Times New Roman"/>
          <w:sz w:val="24"/>
          <w:szCs w:val="24"/>
        </w:rPr>
        <w:t>swap</w:t>
      </w:r>
      <w:proofErr w:type="spellEnd"/>
      <w:r w:rsidRPr="001C7197">
        <w:rPr>
          <w:rFonts w:ascii="Times New Roman" w:hAnsi="Times New Roman" w:cs="Times New Roman"/>
          <w:sz w:val="24"/>
          <w:szCs w:val="24"/>
        </w:rPr>
        <w:t xml:space="preserve"> creează o poziție lungă pe riscul general al obligației de referință și o poziție scurtă pe riscul general al unui titlu de stat cu o scadență egală cu perioada până la următoarea dată de fixare a ratei dobânzii și care are atribuită o pondere de risc de 0 %, în temeiul Regulamentului nr.111/2018. De asemenea, acesta creează o poziție lungă pe riscul specific al obligației de referință;</w:t>
      </w:r>
    </w:p>
    <w:p w14:paraId="61CBB8D9" w14:textId="77777777" w:rsidR="001C7197" w:rsidRPr="001C7197" w:rsidRDefault="001C7197" w:rsidP="001C7197">
      <w:pPr>
        <w:rPr>
          <w:rFonts w:ascii="Times New Roman" w:hAnsi="Times New Roman" w:cs="Times New Roman"/>
          <w:sz w:val="24"/>
          <w:szCs w:val="24"/>
        </w:rPr>
      </w:pPr>
      <w:r w:rsidRPr="001C7197">
        <w:rPr>
          <w:rFonts w:ascii="Times New Roman" w:hAnsi="Times New Roman" w:cs="Times New Roman"/>
          <w:sz w:val="24"/>
          <w:szCs w:val="24"/>
        </w:rPr>
        <w:t xml:space="preserve">428.2. un instrument de tipul „credit </w:t>
      </w:r>
      <w:proofErr w:type="spellStart"/>
      <w:r w:rsidRPr="001C7197">
        <w:rPr>
          <w:rFonts w:ascii="Times New Roman" w:hAnsi="Times New Roman" w:cs="Times New Roman"/>
          <w:sz w:val="24"/>
          <w:szCs w:val="24"/>
        </w:rPr>
        <w:t>default</w:t>
      </w:r>
      <w:proofErr w:type="spellEnd"/>
      <w:r w:rsidRPr="001C7197">
        <w:rPr>
          <w:rFonts w:ascii="Times New Roman" w:hAnsi="Times New Roman" w:cs="Times New Roman"/>
          <w:sz w:val="24"/>
          <w:szCs w:val="24"/>
        </w:rPr>
        <w:t xml:space="preserve"> </w:t>
      </w:r>
      <w:proofErr w:type="spellStart"/>
      <w:r w:rsidRPr="001C7197">
        <w:rPr>
          <w:rFonts w:ascii="Times New Roman" w:hAnsi="Times New Roman" w:cs="Times New Roman"/>
          <w:sz w:val="24"/>
          <w:szCs w:val="24"/>
        </w:rPr>
        <w:t>swap</w:t>
      </w:r>
      <w:proofErr w:type="spellEnd"/>
      <w:r w:rsidRPr="001C7197">
        <w:rPr>
          <w:rFonts w:ascii="Times New Roman" w:hAnsi="Times New Roman" w:cs="Times New Roman"/>
          <w:sz w:val="24"/>
          <w:szCs w:val="24"/>
        </w:rPr>
        <w:t>” nu creează o poziție pe riscul general. Pentru scopurile riscului specific, banca înregistrează o poziție lungă sintetică pe o obligație aferentă entității de referință, cu excepția cazului în care instrumentul financiar derivat beneficiază de un rating extern și îndeplinește condițiile aferente unui titlu de datorie eligibil, caz în care se înregistrează o poziție lungă pe instrumentul financiar derivat. Dacă în cadrul produsului sunt datorate plăți sub formă de prime sau dobânzi, aceste fluxuri de numerar se reprezintă ca poziții noționale pe titluri de stat;</w:t>
      </w:r>
    </w:p>
    <w:p w14:paraId="5F7F462E" w14:textId="77777777" w:rsidR="001C7197" w:rsidRPr="001C7197" w:rsidRDefault="001C7197" w:rsidP="001C7197">
      <w:pPr>
        <w:rPr>
          <w:rFonts w:ascii="Times New Roman" w:hAnsi="Times New Roman" w:cs="Times New Roman"/>
          <w:sz w:val="24"/>
          <w:szCs w:val="24"/>
        </w:rPr>
      </w:pPr>
      <w:r w:rsidRPr="001C7197">
        <w:rPr>
          <w:rFonts w:ascii="Times New Roman" w:hAnsi="Times New Roman" w:cs="Times New Roman"/>
          <w:sz w:val="24"/>
          <w:szCs w:val="24"/>
        </w:rPr>
        <w:t xml:space="preserve">428.3. un instrument de tipul single </w:t>
      </w:r>
      <w:proofErr w:type="spellStart"/>
      <w:r w:rsidRPr="001C7197">
        <w:rPr>
          <w:rFonts w:ascii="Times New Roman" w:hAnsi="Times New Roman" w:cs="Times New Roman"/>
          <w:sz w:val="24"/>
          <w:szCs w:val="24"/>
        </w:rPr>
        <w:t>name</w:t>
      </w:r>
      <w:proofErr w:type="spellEnd"/>
      <w:r w:rsidRPr="001C7197">
        <w:rPr>
          <w:rFonts w:ascii="Times New Roman" w:hAnsi="Times New Roman" w:cs="Times New Roman"/>
          <w:sz w:val="24"/>
          <w:szCs w:val="24"/>
        </w:rPr>
        <w:t xml:space="preserve"> credit </w:t>
      </w:r>
      <w:proofErr w:type="spellStart"/>
      <w:r w:rsidRPr="001C7197">
        <w:rPr>
          <w:rFonts w:ascii="Times New Roman" w:hAnsi="Times New Roman" w:cs="Times New Roman"/>
          <w:sz w:val="24"/>
          <w:szCs w:val="24"/>
        </w:rPr>
        <w:t>linked</w:t>
      </w:r>
      <w:proofErr w:type="spellEnd"/>
      <w:r w:rsidRPr="001C7197">
        <w:rPr>
          <w:rFonts w:ascii="Times New Roman" w:hAnsi="Times New Roman" w:cs="Times New Roman"/>
          <w:sz w:val="24"/>
          <w:szCs w:val="24"/>
        </w:rPr>
        <w:t xml:space="preserve"> note creează o poziție lungă pe riscul general al instrumentului însuși, ca și un instrument pe rata dobânzii. Pentru scopul riscului specific se creează o poziție lungă sintetică pe o obligație aferentă entității de referință. Pentru emitentul titlului se creează o poziție lungă suplimentară. În cazul în care un instrument de tipul credit </w:t>
      </w:r>
      <w:proofErr w:type="spellStart"/>
      <w:r w:rsidRPr="001C7197">
        <w:rPr>
          <w:rFonts w:ascii="Times New Roman" w:hAnsi="Times New Roman" w:cs="Times New Roman"/>
          <w:sz w:val="24"/>
          <w:szCs w:val="24"/>
        </w:rPr>
        <w:t>linked</w:t>
      </w:r>
      <w:proofErr w:type="spellEnd"/>
      <w:r w:rsidRPr="001C7197">
        <w:rPr>
          <w:rFonts w:ascii="Times New Roman" w:hAnsi="Times New Roman" w:cs="Times New Roman"/>
          <w:sz w:val="24"/>
          <w:szCs w:val="24"/>
        </w:rPr>
        <w:t xml:space="preserve"> note beneficiază de un rating extern și îndeplinește condițiile aferente unui titlu de datorie eligibil, este necesar să se înregistreze doar o singură poziție lungă pe riscul specific al instrumentului respectiv;</w:t>
      </w:r>
    </w:p>
    <w:p w14:paraId="30B43B63" w14:textId="77777777" w:rsidR="001C7197" w:rsidRPr="001C7197" w:rsidRDefault="001C7197" w:rsidP="001C7197">
      <w:pPr>
        <w:rPr>
          <w:rFonts w:ascii="Times New Roman" w:hAnsi="Times New Roman" w:cs="Times New Roman"/>
          <w:sz w:val="24"/>
          <w:szCs w:val="24"/>
        </w:rPr>
      </w:pPr>
      <w:r w:rsidRPr="001C7197">
        <w:rPr>
          <w:rFonts w:ascii="Times New Roman" w:hAnsi="Times New Roman" w:cs="Times New Roman"/>
          <w:sz w:val="24"/>
          <w:szCs w:val="24"/>
        </w:rPr>
        <w:t xml:space="preserve">428.4. Pe lângă o poziție lungă pe riscul specific al emitentului instrumentului, un instrument de tipul multiple </w:t>
      </w:r>
      <w:proofErr w:type="spellStart"/>
      <w:r w:rsidRPr="001C7197">
        <w:rPr>
          <w:rFonts w:ascii="Times New Roman" w:hAnsi="Times New Roman" w:cs="Times New Roman"/>
          <w:sz w:val="24"/>
          <w:szCs w:val="24"/>
        </w:rPr>
        <w:t>name</w:t>
      </w:r>
      <w:proofErr w:type="spellEnd"/>
      <w:r w:rsidRPr="001C7197">
        <w:rPr>
          <w:rFonts w:ascii="Times New Roman" w:hAnsi="Times New Roman" w:cs="Times New Roman"/>
          <w:sz w:val="24"/>
          <w:szCs w:val="24"/>
        </w:rPr>
        <w:t xml:space="preserve"> credit </w:t>
      </w:r>
      <w:proofErr w:type="spellStart"/>
      <w:r w:rsidRPr="001C7197">
        <w:rPr>
          <w:rFonts w:ascii="Times New Roman" w:hAnsi="Times New Roman" w:cs="Times New Roman"/>
          <w:sz w:val="24"/>
          <w:szCs w:val="24"/>
        </w:rPr>
        <w:t>linked</w:t>
      </w:r>
      <w:proofErr w:type="spellEnd"/>
      <w:r w:rsidRPr="001C7197">
        <w:rPr>
          <w:rFonts w:ascii="Times New Roman" w:hAnsi="Times New Roman" w:cs="Times New Roman"/>
          <w:sz w:val="24"/>
          <w:szCs w:val="24"/>
        </w:rPr>
        <w:t xml:space="preserve"> note, care oferă protecție proporțională, creează o poziție pe fiecare entitate de referință, suma noțională totală a contractului fiind repartizată între poziții, proporțional cu ponderea pe care o are fiecare expunere față de o entitate de referință. Atunci când se pot selecta mai multe obligații aferente unei entități de referință, obligația cu cea mai mare pondere de risc determină riscul specific.</w:t>
      </w:r>
    </w:p>
    <w:p w14:paraId="0D57154B" w14:textId="77777777" w:rsidR="001C7197" w:rsidRPr="001C7197" w:rsidRDefault="001C7197" w:rsidP="001C7197">
      <w:pPr>
        <w:rPr>
          <w:rFonts w:ascii="Times New Roman" w:hAnsi="Times New Roman" w:cs="Times New Roman"/>
          <w:sz w:val="24"/>
          <w:szCs w:val="24"/>
        </w:rPr>
      </w:pPr>
      <w:r w:rsidRPr="001C7197">
        <w:rPr>
          <w:rFonts w:ascii="Times New Roman" w:hAnsi="Times New Roman" w:cs="Times New Roman"/>
          <w:sz w:val="24"/>
          <w:szCs w:val="24"/>
        </w:rPr>
        <w:t>428.5. un instrument financiar derivat de credit de tipul „</w:t>
      </w:r>
      <w:proofErr w:type="spellStart"/>
      <w:r w:rsidRPr="001C7197">
        <w:rPr>
          <w:rFonts w:ascii="Times New Roman" w:hAnsi="Times New Roman" w:cs="Times New Roman"/>
          <w:sz w:val="24"/>
          <w:szCs w:val="24"/>
        </w:rPr>
        <w:t>first-asset-to-default</w:t>
      </w:r>
      <w:proofErr w:type="spellEnd"/>
      <w:r w:rsidRPr="001C7197">
        <w:rPr>
          <w:rFonts w:ascii="Times New Roman" w:hAnsi="Times New Roman" w:cs="Times New Roman"/>
          <w:sz w:val="24"/>
          <w:szCs w:val="24"/>
        </w:rPr>
        <w:t>” (primul activ în stare de nerambursare) creează o poziție, de valoare egală cu suma noțională, pe o obligație aferentă fiecărei entități de referință. În cazul în care valoarea maximă a plății pentru un eveniment de credit este mai mică decât cerința de fonduri proprii conform metodei de la prima teză a prezentei litere, cuantumul maxim al plății poate fi considerat drept cerința de fonduri proprii pentru riscul specific.</w:t>
      </w:r>
    </w:p>
    <w:p w14:paraId="60D886EE" w14:textId="77777777" w:rsidR="001C7197" w:rsidRPr="001C7197" w:rsidRDefault="001C7197" w:rsidP="001C7197">
      <w:pPr>
        <w:rPr>
          <w:rFonts w:ascii="Times New Roman" w:hAnsi="Times New Roman" w:cs="Times New Roman"/>
          <w:sz w:val="24"/>
          <w:szCs w:val="24"/>
        </w:rPr>
      </w:pPr>
      <w:r w:rsidRPr="001C7197">
        <w:rPr>
          <w:rFonts w:ascii="Times New Roman" w:hAnsi="Times New Roman" w:cs="Times New Roman"/>
          <w:sz w:val="24"/>
          <w:szCs w:val="24"/>
        </w:rPr>
        <w:t>429. Un instrument financiar derivat de credit de tipul „n-</w:t>
      </w:r>
      <w:proofErr w:type="spellStart"/>
      <w:r w:rsidRPr="001C7197">
        <w:rPr>
          <w:rFonts w:ascii="Times New Roman" w:hAnsi="Times New Roman" w:cs="Times New Roman"/>
          <w:sz w:val="24"/>
          <w:szCs w:val="24"/>
        </w:rPr>
        <w:t>th</w:t>
      </w:r>
      <w:proofErr w:type="spellEnd"/>
      <w:r w:rsidRPr="001C7197">
        <w:rPr>
          <w:rFonts w:ascii="Times New Roman" w:hAnsi="Times New Roman" w:cs="Times New Roman"/>
          <w:sz w:val="24"/>
          <w:szCs w:val="24"/>
        </w:rPr>
        <w:t>-</w:t>
      </w:r>
      <w:proofErr w:type="spellStart"/>
      <w:r w:rsidRPr="001C7197">
        <w:rPr>
          <w:rFonts w:ascii="Times New Roman" w:hAnsi="Times New Roman" w:cs="Times New Roman"/>
          <w:sz w:val="24"/>
          <w:szCs w:val="24"/>
        </w:rPr>
        <w:t>asset-to-default</w:t>
      </w:r>
      <w:proofErr w:type="spellEnd"/>
      <w:r w:rsidRPr="001C7197">
        <w:rPr>
          <w:rFonts w:ascii="Times New Roman" w:hAnsi="Times New Roman" w:cs="Times New Roman"/>
          <w:sz w:val="24"/>
          <w:szCs w:val="24"/>
        </w:rPr>
        <w:t>” (al n-lea activ în stare de nerambursare) creează o poziție, de valoare egală cu suma noțională, pe o obligație aferentă fiecărei entități de referință, cu excepția a n-1 entități de referință care au cea mai mică cerință de fonduri proprii pentru riscul specific. În cazul în care valoarea maximă a plății pentru un eveniment de credit este mai mică decât cerința de fonduri proprii conform metodei de la prima teză a pct.428, această sumă poate fi considerată drept cerința de fonduri proprii pentru riscul specific.</w:t>
      </w:r>
    </w:p>
    <w:p w14:paraId="0F8E4793" w14:textId="6DBD4A80" w:rsidR="006F6D74" w:rsidRDefault="001C7197" w:rsidP="001C7197">
      <w:pPr>
        <w:rPr>
          <w:rFonts w:ascii="Times New Roman" w:hAnsi="Times New Roman" w:cs="Times New Roman"/>
          <w:sz w:val="24"/>
          <w:szCs w:val="24"/>
        </w:rPr>
      </w:pPr>
      <w:r w:rsidRPr="001C7197">
        <w:rPr>
          <w:rFonts w:ascii="Times New Roman" w:hAnsi="Times New Roman" w:cs="Times New Roman"/>
          <w:sz w:val="24"/>
          <w:szCs w:val="24"/>
        </w:rPr>
        <w:t>430. Atunci când un instrument financiar derivat de credit de tipul „n-</w:t>
      </w:r>
      <w:proofErr w:type="spellStart"/>
      <w:r w:rsidRPr="001C7197">
        <w:rPr>
          <w:rFonts w:ascii="Times New Roman" w:hAnsi="Times New Roman" w:cs="Times New Roman"/>
          <w:sz w:val="24"/>
          <w:szCs w:val="24"/>
        </w:rPr>
        <w:t>th</w:t>
      </w:r>
      <w:proofErr w:type="spellEnd"/>
      <w:r w:rsidRPr="001C7197">
        <w:rPr>
          <w:rFonts w:ascii="Times New Roman" w:hAnsi="Times New Roman" w:cs="Times New Roman"/>
          <w:sz w:val="24"/>
          <w:szCs w:val="24"/>
        </w:rPr>
        <w:t>-</w:t>
      </w:r>
      <w:proofErr w:type="spellStart"/>
      <w:r w:rsidRPr="001C7197">
        <w:rPr>
          <w:rFonts w:ascii="Times New Roman" w:hAnsi="Times New Roman" w:cs="Times New Roman"/>
          <w:sz w:val="24"/>
          <w:szCs w:val="24"/>
        </w:rPr>
        <w:t>to-default</w:t>
      </w:r>
      <w:proofErr w:type="spellEnd"/>
      <w:r w:rsidRPr="001C7197">
        <w:rPr>
          <w:rFonts w:ascii="Times New Roman" w:hAnsi="Times New Roman" w:cs="Times New Roman"/>
          <w:sz w:val="24"/>
          <w:szCs w:val="24"/>
        </w:rPr>
        <w:t>” beneficiază de un rating extern, vânzătorul protecției calculează cerința de fonduri proprii pentru riscul specific utilizând ratingul instrumentului financiar derivat și aplică ponderile de risc corespunzătoare aferente securitizării, după caz.</w:t>
      </w:r>
    </w:p>
    <w:p w14:paraId="67BBC946" w14:textId="722193FC" w:rsidR="001C7197" w:rsidRDefault="001C7197" w:rsidP="001C7197">
      <w:pPr>
        <w:rPr>
          <w:rFonts w:ascii="Times New Roman" w:hAnsi="Times New Roman" w:cs="Times New Roman"/>
          <w:sz w:val="24"/>
          <w:szCs w:val="24"/>
        </w:rPr>
      </w:pPr>
      <w:r w:rsidRPr="001C7197">
        <w:rPr>
          <w:rFonts w:ascii="Times New Roman" w:hAnsi="Times New Roman" w:cs="Times New Roman"/>
          <w:sz w:val="24"/>
          <w:szCs w:val="24"/>
        </w:rPr>
        <w:t xml:space="preserve">431.   Pentru partea care transferă riscul de credit („cumpărătorul protecției”), pozițiile sunt determinate prin simetrie cu cele înregistrate de vânzătorul protecției, cu excepția instrumentelor de tipul credit </w:t>
      </w:r>
      <w:proofErr w:type="spellStart"/>
      <w:r w:rsidRPr="001C7197">
        <w:rPr>
          <w:rFonts w:ascii="Times New Roman" w:hAnsi="Times New Roman" w:cs="Times New Roman"/>
          <w:sz w:val="24"/>
          <w:szCs w:val="24"/>
        </w:rPr>
        <w:t>linked</w:t>
      </w:r>
      <w:proofErr w:type="spellEnd"/>
      <w:r w:rsidRPr="001C7197">
        <w:rPr>
          <w:rFonts w:ascii="Times New Roman" w:hAnsi="Times New Roman" w:cs="Times New Roman"/>
          <w:sz w:val="24"/>
          <w:szCs w:val="24"/>
        </w:rPr>
        <w:t xml:space="preserve"> note (care nu generează poziții scurte pe emitent). La calcularea cerinței de fonduri proprii pentru „cumpărătorul protecției”, se utilizează cuantumul noțional al instrumentului financiar derivat de credit, prevăzut în </w:t>
      </w:r>
      <w:r w:rsidRPr="001C7197">
        <w:rPr>
          <w:rFonts w:ascii="Times New Roman" w:hAnsi="Times New Roman" w:cs="Times New Roman"/>
          <w:sz w:val="24"/>
          <w:szCs w:val="24"/>
        </w:rPr>
        <w:lastRenderedPageBreak/>
        <w:t xml:space="preserve">contract. În pofida primei teze, banca poate alege să înlocuiască valoarea noțională cu valoarea noțională plus variația netă a valorii de piață a instrumentului financiar derivat de la inițierea tranzacției, reprezentând, din punctul de vedere al vânzătorului de protecție, o variație netă în sens descendent, de semn negativ. Dacă la un moment dat există o opțiune </w:t>
      </w:r>
      <w:proofErr w:type="spellStart"/>
      <w:r w:rsidRPr="001C7197">
        <w:rPr>
          <w:rFonts w:ascii="Times New Roman" w:hAnsi="Times New Roman" w:cs="Times New Roman"/>
          <w:sz w:val="24"/>
          <w:szCs w:val="24"/>
        </w:rPr>
        <w:t>call</w:t>
      </w:r>
      <w:proofErr w:type="spellEnd"/>
      <w:r w:rsidRPr="001C7197">
        <w:rPr>
          <w:rFonts w:ascii="Times New Roman" w:hAnsi="Times New Roman" w:cs="Times New Roman"/>
          <w:sz w:val="24"/>
          <w:szCs w:val="24"/>
        </w:rPr>
        <w:t xml:space="preserve"> în combinație cu un step-</w:t>
      </w:r>
      <w:proofErr w:type="spellStart"/>
      <w:r w:rsidRPr="001C7197">
        <w:rPr>
          <w:rFonts w:ascii="Times New Roman" w:hAnsi="Times New Roman" w:cs="Times New Roman"/>
          <w:sz w:val="24"/>
          <w:szCs w:val="24"/>
        </w:rPr>
        <w:t>up</w:t>
      </w:r>
      <w:proofErr w:type="spellEnd"/>
      <w:r w:rsidRPr="001C7197">
        <w:rPr>
          <w:rFonts w:ascii="Times New Roman" w:hAnsi="Times New Roman" w:cs="Times New Roman"/>
          <w:sz w:val="24"/>
          <w:szCs w:val="24"/>
        </w:rPr>
        <w:t>, un asemenea moment este considerat ca fiind scadența protecției.</w:t>
      </w:r>
    </w:p>
    <w:p w14:paraId="58C537B1" w14:textId="1525FCB8" w:rsidR="006F6D74" w:rsidRDefault="001C7197" w:rsidP="004340D9">
      <w:pPr>
        <w:rPr>
          <w:rFonts w:ascii="Times New Roman" w:hAnsi="Times New Roman" w:cs="Times New Roman"/>
          <w:sz w:val="24"/>
          <w:szCs w:val="24"/>
        </w:rPr>
      </w:pPr>
      <w:r w:rsidRPr="001C7197">
        <w:rPr>
          <w:rFonts w:ascii="Times New Roman" w:hAnsi="Times New Roman" w:cs="Times New Roman"/>
          <w:sz w:val="24"/>
          <w:szCs w:val="24"/>
        </w:rPr>
        <w:t>432.   Instrumentele financiare derivate de credit, în conformitate cu pct.75-76 sau 78, sunt incluse numai în stabilirea cerinței de fonduri proprii pentru riscul specific conform</w:t>
      </w:r>
      <w:r w:rsidR="00601551">
        <w:rPr>
          <w:rFonts w:ascii="Times New Roman" w:hAnsi="Times New Roman" w:cs="Times New Roman"/>
          <w:sz w:val="24"/>
          <w:szCs w:val="24"/>
        </w:rPr>
        <w:t xml:space="preserve"> </w:t>
      </w:r>
      <w:r w:rsidR="00B15B20" w:rsidRPr="00CC1E9B">
        <w:rPr>
          <w:rFonts w:ascii="Times New Roman" w:hAnsi="Times New Roman" w:cs="Times New Roman"/>
          <w:sz w:val="24"/>
          <w:szCs w:val="24"/>
        </w:rPr>
        <w:t>pct.448</w:t>
      </w:r>
      <w:r w:rsidRPr="00CC1E9B">
        <w:rPr>
          <w:rFonts w:ascii="Times New Roman" w:hAnsi="Times New Roman" w:cs="Times New Roman"/>
          <w:sz w:val="24"/>
          <w:szCs w:val="24"/>
        </w:rPr>
        <w:t>.</w:t>
      </w:r>
    </w:p>
    <w:p w14:paraId="78A327B0" w14:textId="6B5582FA" w:rsidR="001C7197" w:rsidRPr="00CC1E9B" w:rsidRDefault="001C7197" w:rsidP="004340D9">
      <w:pPr>
        <w:rPr>
          <w:rFonts w:ascii="Times New Roman" w:hAnsi="Times New Roman" w:cs="Times New Roman"/>
          <w:b/>
          <w:bCs/>
          <w:i/>
          <w:iCs/>
          <w:sz w:val="24"/>
          <w:szCs w:val="24"/>
        </w:rPr>
      </w:pPr>
      <w:bookmarkStart w:id="77" w:name="_Hlk199515511"/>
      <w:bookmarkStart w:id="78" w:name="_Hlk195099542"/>
      <w:r w:rsidRPr="00CC1E9B">
        <w:rPr>
          <w:rFonts w:ascii="Times New Roman" w:hAnsi="Times New Roman" w:cs="Times New Roman"/>
          <w:b/>
          <w:bCs/>
          <w:i/>
          <w:iCs/>
          <w:sz w:val="24"/>
          <w:szCs w:val="24"/>
        </w:rPr>
        <w:t xml:space="preserve">Subsecțiunea </w:t>
      </w:r>
      <w:bookmarkEnd w:id="77"/>
      <w:r w:rsidRPr="00CC1E9B">
        <w:rPr>
          <w:rFonts w:ascii="Times New Roman" w:hAnsi="Times New Roman" w:cs="Times New Roman"/>
          <w:b/>
          <w:bCs/>
          <w:i/>
          <w:iCs/>
          <w:sz w:val="24"/>
          <w:szCs w:val="24"/>
        </w:rPr>
        <w:t xml:space="preserve">8. Titluri vândute în cadrul unui acord </w:t>
      </w:r>
      <w:proofErr w:type="spellStart"/>
      <w:r w:rsidRPr="00CC1E9B">
        <w:rPr>
          <w:rFonts w:ascii="Times New Roman" w:hAnsi="Times New Roman" w:cs="Times New Roman"/>
          <w:b/>
          <w:bCs/>
          <w:i/>
          <w:iCs/>
          <w:sz w:val="24"/>
          <w:szCs w:val="24"/>
        </w:rPr>
        <w:t>repo</w:t>
      </w:r>
      <w:proofErr w:type="spellEnd"/>
      <w:r w:rsidRPr="00CC1E9B">
        <w:rPr>
          <w:rFonts w:ascii="Times New Roman" w:hAnsi="Times New Roman" w:cs="Times New Roman"/>
          <w:b/>
          <w:bCs/>
          <w:i/>
          <w:iCs/>
          <w:sz w:val="24"/>
          <w:szCs w:val="24"/>
        </w:rPr>
        <w:t xml:space="preserve"> sau împrumutate</w:t>
      </w:r>
      <w:bookmarkEnd w:id="78"/>
    </w:p>
    <w:p w14:paraId="20182112" w14:textId="59DD31AB" w:rsidR="001C7197" w:rsidRPr="001C7197" w:rsidRDefault="001C7197" w:rsidP="004340D9">
      <w:pPr>
        <w:rPr>
          <w:rFonts w:ascii="Times New Roman" w:hAnsi="Times New Roman" w:cs="Times New Roman"/>
          <w:sz w:val="24"/>
          <w:szCs w:val="24"/>
        </w:rPr>
      </w:pPr>
      <w:r w:rsidRPr="001C7197">
        <w:rPr>
          <w:rFonts w:ascii="Times New Roman" w:hAnsi="Times New Roman" w:cs="Times New Roman"/>
          <w:sz w:val="24"/>
          <w:szCs w:val="24"/>
        </w:rPr>
        <w:t xml:space="preserve">433. O bancă, în cazul în care transferă titluri sau drepturi garantate referitoare la proprietatea titlurilor, în cadrul unui acord </w:t>
      </w:r>
      <w:proofErr w:type="spellStart"/>
      <w:r w:rsidRPr="001C7197">
        <w:rPr>
          <w:rFonts w:ascii="Times New Roman" w:hAnsi="Times New Roman" w:cs="Times New Roman"/>
          <w:sz w:val="24"/>
          <w:szCs w:val="24"/>
        </w:rPr>
        <w:t>repo</w:t>
      </w:r>
      <w:proofErr w:type="spellEnd"/>
      <w:r w:rsidRPr="001C7197">
        <w:rPr>
          <w:rFonts w:ascii="Times New Roman" w:hAnsi="Times New Roman" w:cs="Times New Roman"/>
          <w:sz w:val="24"/>
          <w:szCs w:val="24"/>
        </w:rPr>
        <w:t xml:space="preserve"> sau în cazul în care dă cu împrumut titlurile în cadrul unei operațiuni de dare de titluri cu împrumut trebuie să includă titlurile respective în calculul cerinței de fonduri proprii, conform prezentului capitol, cu condiția ca aceste titluri să fie poziții din portofoliul de tranzacționare.</w:t>
      </w:r>
    </w:p>
    <w:p w14:paraId="2A493541" w14:textId="319FE3BB" w:rsidR="006F6D74" w:rsidRDefault="001C7197" w:rsidP="001C7197">
      <w:pPr>
        <w:rPr>
          <w:rFonts w:ascii="Times New Roman" w:hAnsi="Times New Roman" w:cs="Times New Roman"/>
          <w:b/>
          <w:bCs/>
          <w:sz w:val="24"/>
          <w:szCs w:val="24"/>
        </w:rPr>
      </w:pPr>
      <w:bookmarkStart w:id="79" w:name="_Hlk195099565"/>
      <w:r w:rsidRPr="001C7197">
        <w:rPr>
          <w:rFonts w:ascii="Times New Roman" w:hAnsi="Times New Roman" w:cs="Times New Roman"/>
          <w:b/>
          <w:bCs/>
          <w:sz w:val="24"/>
          <w:szCs w:val="24"/>
        </w:rPr>
        <w:t>Secțiunea 2</w:t>
      </w:r>
      <w:r>
        <w:rPr>
          <w:rFonts w:ascii="Times New Roman" w:hAnsi="Times New Roman" w:cs="Times New Roman"/>
          <w:b/>
          <w:bCs/>
          <w:sz w:val="24"/>
          <w:szCs w:val="24"/>
        </w:rPr>
        <w:t xml:space="preserve">. </w:t>
      </w:r>
      <w:r w:rsidRPr="001C7197">
        <w:rPr>
          <w:rFonts w:ascii="Times New Roman" w:hAnsi="Times New Roman" w:cs="Times New Roman"/>
          <w:b/>
          <w:bCs/>
          <w:sz w:val="24"/>
          <w:szCs w:val="24"/>
        </w:rPr>
        <w:t>Instrumente de datorie</w:t>
      </w:r>
      <w:bookmarkEnd w:id="79"/>
      <w:r w:rsidRPr="001C7197">
        <w:rPr>
          <w:rFonts w:ascii="Times New Roman" w:hAnsi="Times New Roman" w:cs="Times New Roman"/>
          <w:b/>
          <w:bCs/>
          <w:sz w:val="24"/>
          <w:szCs w:val="24"/>
        </w:rPr>
        <w:t xml:space="preserve"> și poziții nete pe instrumente de datorie</w:t>
      </w:r>
    </w:p>
    <w:p w14:paraId="53F4ED1F" w14:textId="2A715447" w:rsidR="00396908" w:rsidRDefault="00396908" w:rsidP="001C7197">
      <w:pPr>
        <w:rPr>
          <w:rFonts w:ascii="Times New Roman" w:hAnsi="Times New Roman" w:cs="Times New Roman"/>
          <w:sz w:val="24"/>
          <w:szCs w:val="24"/>
        </w:rPr>
      </w:pPr>
      <w:r w:rsidRPr="00396908">
        <w:rPr>
          <w:rFonts w:ascii="Times New Roman" w:hAnsi="Times New Roman" w:cs="Times New Roman"/>
          <w:sz w:val="24"/>
          <w:szCs w:val="24"/>
        </w:rPr>
        <w:t>434. Pozițiile nete se clasifică corespunzător monedei în care acestea sunt denominate, iar cerința de fonduri proprii pentru riscul general și riscul specific se calculează separat pentru fiecare monedă individuală.</w:t>
      </w:r>
    </w:p>
    <w:p w14:paraId="281E2FC9" w14:textId="530948B6" w:rsidR="00396908" w:rsidRPr="00CC1E9B" w:rsidRDefault="00396908" w:rsidP="00396908">
      <w:pPr>
        <w:rPr>
          <w:rFonts w:ascii="Times New Roman" w:hAnsi="Times New Roman" w:cs="Times New Roman"/>
          <w:b/>
          <w:bCs/>
          <w:i/>
          <w:iCs/>
          <w:sz w:val="24"/>
          <w:szCs w:val="24"/>
        </w:rPr>
      </w:pPr>
      <w:bookmarkStart w:id="80" w:name="_Hlk195099622"/>
      <w:r w:rsidRPr="00CC1E9B">
        <w:rPr>
          <w:rFonts w:ascii="Times New Roman" w:hAnsi="Times New Roman" w:cs="Times New Roman"/>
          <w:b/>
          <w:bCs/>
          <w:i/>
          <w:iCs/>
          <w:sz w:val="24"/>
          <w:szCs w:val="24"/>
        </w:rPr>
        <w:t>Subsecțiunea 1. Risc specific</w:t>
      </w:r>
    </w:p>
    <w:p w14:paraId="58EE0944" w14:textId="291BFD06" w:rsidR="00396908" w:rsidRDefault="00396908" w:rsidP="00396908">
      <w:pPr>
        <w:rPr>
          <w:rFonts w:ascii="Times New Roman" w:hAnsi="Times New Roman" w:cs="Times New Roman"/>
          <w:b/>
          <w:bCs/>
          <w:sz w:val="24"/>
          <w:szCs w:val="24"/>
        </w:rPr>
      </w:pPr>
      <w:r w:rsidRPr="00396908">
        <w:rPr>
          <w:rFonts w:ascii="Times New Roman" w:hAnsi="Times New Roman" w:cs="Times New Roman"/>
          <w:i/>
          <w:iCs/>
          <w:sz w:val="24"/>
          <w:szCs w:val="24"/>
        </w:rPr>
        <w:t xml:space="preserve">Paragraful 1. </w:t>
      </w:r>
      <w:r w:rsidRPr="00396908">
        <w:rPr>
          <w:rFonts w:ascii="Times New Roman" w:hAnsi="Times New Roman" w:cs="Times New Roman"/>
          <w:b/>
          <w:bCs/>
          <w:sz w:val="24"/>
          <w:szCs w:val="24"/>
        </w:rPr>
        <w:t>Plafon privind cerința de fonduri proprii pentru o poziție netă</w:t>
      </w:r>
      <w:bookmarkEnd w:id="80"/>
    </w:p>
    <w:p w14:paraId="222CEE69" w14:textId="1ADD5E43" w:rsidR="00396908" w:rsidRPr="00143035" w:rsidRDefault="00396908" w:rsidP="00396908">
      <w:pPr>
        <w:rPr>
          <w:rFonts w:ascii="Times New Roman" w:hAnsi="Times New Roman" w:cs="Times New Roman"/>
          <w:sz w:val="24"/>
          <w:szCs w:val="24"/>
        </w:rPr>
      </w:pPr>
      <w:r w:rsidRPr="00143035">
        <w:rPr>
          <w:rFonts w:ascii="Times New Roman" w:hAnsi="Times New Roman" w:cs="Times New Roman"/>
          <w:sz w:val="24"/>
          <w:szCs w:val="24"/>
        </w:rPr>
        <w:t>435. Banca poate plafona cerința de fonduri proprii pentru riscul specific al unei poziții nete pe un instrument de datorie la valoarea maximă a pierderii posibile ca urmare a riscului de nerambursare. În cazul unei poziții scurte, această limită poate fi calculată ca o modificare a valorii determinată de titlu sau, unde este cazul, de faptul că numele-suport devin imediat lipsite de risc de nerambursare.</w:t>
      </w:r>
    </w:p>
    <w:p w14:paraId="09222ABB" w14:textId="4C6B53D8" w:rsidR="00396908" w:rsidRDefault="00396908" w:rsidP="00396908">
      <w:pPr>
        <w:rPr>
          <w:rFonts w:ascii="Times New Roman" w:hAnsi="Times New Roman" w:cs="Times New Roman"/>
          <w:b/>
          <w:bCs/>
          <w:sz w:val="24"/>
          <w:szCs w:val="24"/>
        </w:rPr>
      </w:pPr>
      <w:bookmarkStart w:id="81" w:name="_Hlk195099654"/>
      <w:r w:rsidRPr="00396908">
        <w:rPr>
          <w:rFonts w:ascii="Times New Roman" w:hAnsi="Times New Roman" w:cs="Times New Roman"/>
          <w:i/>
          <w:iCs/>
          <w:sz w:val="24"/>
          <w:szCs w:val="24"/>
        </w:rPr>
        <w:t xml:space="preserve">Paragraful 2. </w:t>
      </w:r>
      <w:r w:rsidRPr="00396908">
        <w:rPr>
          <w:rFonts w:ascii="Times New Roman" w:hAnsi="Times New Roman" w:cs="Times New Roman"/>
          <w:b/>
          <w:bCs/>
          <w:sz w:val="24"/>
          <w:szCs w:val="24"/>
        </w:rPr>
        <w:t>Cerință de fonduri proprii pentru instrumentele de datorie care nu sunt poziții din securitizare</w:t>
      </w:r>
      <w:bookmarkEnd w:id="81"/>
    </w:p>
    <w:p w14:paraId="453D719C" w14:textId="77777777" w:rsidR="00396908" w:rsidRPr="00396908" w:rsidRDefault="00396908" w:rsidP="00396908">
      <w:pPr>
        <w:rPr>
          <w:rFonts w:ascii="Times New Roman" w:hAnsi="Times New Roman" w:cs="Times New Roman"/>
          <w:sz w:val="24"/>
          <w:szCs w:val="24"/>
        </w:rPr>
      </w:pPr>
      <w:r w:rsidRPr="00396908">
        <w:rPr>
          <w:rFonts w:ascii="Times New Roman" w:hAnsi="Times New Roman" w:cs="Times New Roman"/>
          <w:sz w:val="24"/>
          <w:szCs w:val="24"/>
        </w:rPr>
        <w:t>436.   Banca atribuie pozițiile nete din portofoliul de tranzacționare pe instrumente care nu sunt poziții din securitizare, calculate conform secțiunii 1 subsecțiunea 2, categoriilor corespunzătoare din tabelul 1 în funcție de emitent/debitor, evaluarea externă sau internă a creditului, precum și în funcție de scadența reziduală, și, în continuare, le înmulțește cu ponderile prevăzute în tabelul menționat. Banca însumează pozițiile ponderate care rezultă din aplicarea prezentului paragraf, indiferent dacă acestea sunt lungi sau scurte, în vederea calculării cerinței de fonduri proprii pentru acoperirea riscului specific.</w:t>
      </w:r>
    </w:p>
    <w:p w14:paraId="4D2E361B" w14:textId="77777777" w:rsidR="00396908" w:rsidRPr="00CC1E9B" w:rsidRDefault="00396908" w:rsidP="00CC1E9B">
      <w:pPr>
        <w:rPr>
          <w:rFonts w:ascii="Times New Roman" w:hAnsi="Times New Roman" w:cs="Times New Roman"/>
          <w:b/>
          <w:bCs/>
          <w:i/>
          <w:iCs/>
          <w:sz w:val="24"/>
          <w:szCs w:val="24"/>
        </w:rPr>
      </w:pPr>
      <w:r w:rsidRPr="00CC1E9B">
        <w:rPr>
          <w:rFonts w:ascii="Times New Roman" w:hAnsi="Times New Roman" w:cs="Times New Roman"/>
          <w:b/>
          <w:bCs/>
          <w:i/>
          <w:iCs/>
          <w:sz w:val="24"/>
          <w:szCs w:val="24"/>
        </w:rPr>
        <w:t>Tabelul 1</w:t>
      </w:r>
    </w:p>
    <w:tbl>
      <w:tblPr>
        <w:tblW w:w="9072" w:type="dxa"/>
        <w:tblInd w:w="-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962"/>
        <w:gridCol w:w="4110"/>
      </w:tblGrid>
      <w:tr w:rsidR="00396908" w:rsidRPr="00396908" w14:paraId="057EF0AC" w14:textId="77777777" w:rsidTr="00396908">
        <w:tc>
          <w:tcPr>
            <w:tcW w:w="4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DE7B43" w14:textId="77777777" w:rsidR="00396908" w:rsidRPr="00396908" w:rsidRDefault="00396908" w:rsidP="00396908">
            <w:pPr>
              <w:rPr>
                <w:rFonts w:ascii="Times New Roman" w:hAnsi="Times New Roman" w:cs="Times New Roman"/>
                <w:b/>
                <w:bCs/>
                <w:sz w:val="24"/>
                <w:szCs w:val="24"/>
              </w:rPr>
            </w:pPr>
            <w:r w:rsidRPr="00396908">
              <w:rPr>
                <w:rFonts w:ascii="Times New Roman" w:hAnsi="Times New Roman" w:cs="Times New Roman"/>
                <w:b/>
                <w:bCs/>
                <w:sz w:val="24"/>
                <w:szCs w:val="24"/>
              </w:rPr>
              <w:t>Categorii</w:t>
            </w:r>
          </w:p>
        </w:tc>
        <w:tc>
          <w:tcPr>
            <w:tcW w:w="41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2B62EC" w14:textId="77777777" w:rsidR="00396908" w:rsidRPr="00396908" w:rsidRDefault="00396908" w:rsidP="00396908">
            <w:pPr>
              <w:rPr>
                <w:rFonts w:ascii="Times New Roman" w:hAnsi="Times New Roman" w:cs="Times New Roman"/>
                <w:b/>
                <w:bCs/>
                <w:sz w:val="24"/>
                <w:szCs w:val="24"/>
              </w:rPr>
            </w:pPr>
            <w:r w:rsidRPr="00396908">
              <w:rPr>
                <w:rFonts w:ascii="Times New Roman" w:hAnsi="Times New Roman" w:cs="Times New Roman"/>
                <w:b/>
                <w:bCs/>
                <w:sz w:val="24"/>
                <w:szCs w:val="24"/>
              </w:rPr>
              <w:t>Cerință de fonduri proprii pentru riscul specific</w:t>
            </w:r>
          </w:p>
        </w:tc>
      </w:tr>
      <w:tr w:rsidR="00396908" w:rsidRPr="00396908" w14:paraId="549CE2EE" w14:textId="77777777" w:rsidTr="00396908">
        <w:tc>
          <w:tcPr>
            <w:tcW w:w="4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E3BBF1" w14:textId="77777777" w:rsidR="00396908" w:rsidRPr="00396908" w:rsidRDefault="00396908" w:rsidP="00396908">
            <w:pPr>
              <w:rPr>
                <w:rFonts w:ascii="Times New Roman" w:hAnsi="Times New Roman" w:cs="Times New Roman"/>
                <w:sz w:val="24"/>
                <w:szCs w:val="24"/>
              </w:rPr>
            </w:pPr>
            <w:r w:rsidRPr="00396908">
              <w:rPr>
                <w:rFonts w:ascii="Times New Roman" w:hAnsi="Times New Roman" w:cs="Times New Roman"/>
                <w:sz w:val="24"/>
                <w:szCs w:val="24"/>
              </w:rPr>
              <w:t>Titluri de datorie care ar beneficia de o pondere de risc egală cu 0 % conform abordării standardizate pentru riscul de credit.</w:t>
            </w:r>
          </w:p>
        </w:tc>
        <w:tc>
          <w:tcPr>
            <w:tcW w:w="41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ADF500" w14:textId="77777777" w:rsidR="00396908" w:rsidRPr="00396908" w:rsidRDefault="00396908" w:rsidP="00396908">
            <w:pPr>
              <w:rPr>
                <w:rFonts w:ascii="Times New Roman" w:hAnsi="Times New Roman" w:cs="Times New Roman"/>
                <w:sz w:val="24"/>
                <w:szCs w:val="24"/>
              </w:rPr>
            </w:pPr>
            <w:r w:rsidRPr="00396908">
              <w:rPr>
                <w:rFonts w:ascii="Times New Roman" w:hAnsi="Times New Roman" w:cs="Times New Roman"/>
                <w:sz w:val="24"/>
                <w:szCs w:val="24"/>
              </w:rPr>
              <w:t>0 %</w:t>
            </w:r>
          </w:p>
        </w:tc>
      </w:tr>
      <w:tr w:rsidR="00396908" w:rsidRPr="00396908" w14:paraId="438EABF1" w14:textId="77777777" w:rsidTr="00396908">
        <w:tc>
          <w:tcPr>
            <w:tcW w:w="4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BAADD0" w14:textId="77777777" w:rsidR="00396908" w:rsidRPr="00396908" w:rsidRDefault="00396908" w:rsidP="00396908">
            <w:pPr>
              <w:rPr>
                <w:rFonts w:ascii="Times New Roman" w:hAnsi="Times New Roman" w:cs="Times New Roman"/>
                <w:sz w:val="24"/>
                <w:szCs w:val="24"/>
              </w:rPr>
            </w:pPr>
            <w:r w:rsidRPr="00396908">
              <w:rPr>
                <w:rFonts w:ascii="Times New Roman" w:hAnsi="Times New Roman" w:cs="Times New Roman"/>
                <w:sz w:val="24"/>
                <w:szCs w:val="24"/>
              </w:rPr>
              <w:t>Titluri de datorie care ar beneficia de o pondere de risc egală cu 20 % sau 50 % conform abordării standardizate pentru riscul de credit și alte elemente eligibile așa cum sunt definite la pct.439.</w:t>
            </w:r>
          </w:p>
        </w:tc>
        <w:tc>
          <w:tcPr>
            <w:tcW w:w="41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AAC6E1" w14:textId="77777777" w:rsidR="00396908" w:rsidRPr="00396908" w:rsidRDefault="00396908" w:rsidP="00396908">
            <w:pPr>
              <w:rPr>
                <w:rFonts w:ascii="Times New Roman" w:hAnsi="Times New Roman" w:cs="Times New Roman"/>
                <w:sz w:val="24"/>
                <w:szCs w:val="24"/>
              </w:rPr>
            </w:pPr>
            <w:r w:rsidRPr="00396908">
              <w:rPr>
                <w:rFonts w:ascii="Times New Roman" w:hAnsi="Times New Roman" w:cs="Times New Roman"/>
                <w:sz w:val="24"/>
                <w:szCs w:val="24"/>
              </w:rPr>
              <w:t>0,25 % (durata reziduală până la scadența finală este mai mică sau egală cu 6 luni)</w:t>
            </w:r>
          </w:p>
          <w:p w14:paraId="5F9C4FB2" w14:textId="77777777" w:rsidR="00396908" w:rsidRPr="00396908" w:rsidRDefault="00396908" w:rsidP="00396908">
            <w:pPr>
              <w:rPr>
                <w:rFonts w:ascii="Times New Roman" w:hAnsi="Times New Roman" w:cs="Times New Roman"/>
                <w:sz w:val="24"/>
                <w:szCs w:val="24"/>
              </w:rPr>
            </w:pPr>
            <w:r w:rsidRPr="00396908">
              <w:rPr>
                <w:rFonts w:ascii="Times New Roman" w:hAnsi="Times New Roman" w:cs="Times New Roman"/>
                <w:sz w:val="24"/>
                <w:szCs w:val="24"/>
              </w:rPr>
              <w:t>1,00 % (durata reziduală până la scadența finală este mai mare de 6 luni și mai mică sau egală cu 24 de luni)</w:t>
            </w:r>
          </w:p>
          <w:p w14:paraId="0AAA5515" w14:textId="77777777" w:rsidR="00396908" w:rsidRPr="00396908" w:rsidRDefault="00396908" w:rsidP="00396908">
            <w:pPr>
              <w:rPr>
                <w:rFonts w:ascii="Times New Roman" w:hAnsi="Times New Roman" w:cs="Times New Roman"/>
                <w:sz w:val="24"/>
                <w:szCs w:val="24"/>
              </w:rPr>
            </w:pPr>
            <w:r w:rsidRPr="00396908">
              <w:rPr>
                <w:rFonts w:ascii="Times New Roman" w:hAnsi="Times New Roman" w:cs="Times New Roman"/>
                <w:sz w:val="24"/>
                <w:szCs w:val="24"/>
              </w:rPr>
              <w:lastRenderedPageBreak/>
              <w:t>1,60 % (durata reziduală până la scadența finală este mai mare de 24 de luni)</w:t>
            </w:r>
          </w:p>
        </w:tc>
      </w:tr>
      <w:tr w:rsidR="00396908" w:rsidRPr="00396908" w14:paraId="6245BFCE" w14:textId="77777777" w:rsidTr="00396908">
        <w:tc>
          <w:tcPr>
            <w:tcW w:w="4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6727EC" w14:textId="77777777" w:rsidR="00396908" w:rsidRPr="00396908" w:rsidRDefault="00396908" w:rsidP="00396908">
            <w:pPr>
              <w:rPr>
                <w:rFonts w:ascii="Times New Roman" w:hAnsi="Times New Roman" w:cs="Times New Roman"/>
                <w:sz w:val="24"/>
                <w:szCs w:val="24"/>
              </w:rPr>
            </w:pPr>
            <w:r w:rsidRPr="00396908">
              <w:rPr>
                <w:rFonts w:ascii="Times New Roman" w:hAnsi="Times New Roman" w:cs="Times New Roman"/>
                <w:sz w:val="24"/>
                <w:szCs w:val="24"/>
              </w:rPr>
              <w:lastRenderedPageBreak/>
              <w:t>Titluri de datorie care ar beneficia de o pondere de risc egală cu 100 % conform abordării standardizate pentru riscul de credit.</w:t>
            </w:r>
          </w:p>
        </w:tc>
        <w:tc>
          <w:tcPr>
            <w:tcW w:w="41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736DBD" w14:textId="77777777" w:rsidR="00396908" w:rsidRPr="00396908" w:rsidRDefault="00396908" w:rsidP="00396908">
            <w:pPr>
              <w:rPr>
                <w:rFonts w:ascii="Times New Roman" w:hAnsi="Times New Roman" w:cs="Times New Roman"/>
                <w:sz w:val="24"/>
                <w:szCs w:val="24"/>
              </w:rPr>
            </w:pPr>
            <w:r w:rsidRPr="00396908">
              <w:rPr>
                <w:rFonts w:ascii="Times New Roman" w:hAnsi="Times New Roman" w:cs="Times New Roman"/>
                <w:sz w:val="24"/>
                <w:szCs w:val="24"/>
              </w:rPr>
              <w:t>8,00 %</w:t>
            </w:r>
          </w:p>
        </w:tc>
      </w:tr>
      <w:tr w:rsidR="00396908" w:rsidRPr="00396908" w14:paraId="11AE47B1" w14:textId="77777777" w:rsidTr="00396908">
        <w:tc>
          <w:tcPr>
            <w:tcW w:w="496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DC1B01" w14:textId="77777777" w:rsidR="00396908" w:rsidRPr="00396908" w:rsidRDefault="00396908" w:rsidP="00396908">
            <w:pPr>
              <w:rPr>
                <w:rFonts w:ascii="Times New Roman" w:hAnsi="Times New Roman" w:cs="Times New Roman"/>
                <w:sz w:val="24"/>
                <w:szCs w:val="24"/>
              </w:rPr>
            </w:pPr>
            <w:r w:rsidRPr="00396908">
              <w:rPr>
                <w:rFonts w:ascii="Times New Roman" w:hAnsi="Times New Roman" w:cs="Times New Roman"/>
                <w:sz w:val="24"/>
                <w:szCs w:val="24"/>
              </w:rPr>
              <w:t>Titluri de datorie care ar beneficia de o pondere de risc egală cu 150 % conform abordării standardizate pentru riscul de credit.</w:t>
            </w:r>
          </w:p>
        </w:tc>
        <w:tc>
          <w:tcPr>
            <w:tcW w:w="411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04AEB0" w14:textId="77777777" w:rsidR="00396908" w:rsidRPr="00396908" w:rsidRDefault="00396908" w:rsidP="00396908">
            <w:pPr>
              <w:rPr>
                <w:rFonts w:ascii="Times New Roman" w:hAnsi="Times New Roman" w:cs="Times New Roman"/>
                <w:sz w:val="24"/>
                <w:szCs w:val="24"/>
              </w:rPr>
            </w:pPr>
            <w:r w:rsidRPr="00396908">
              <w:rPr>
                <w:rFonts w:ascii="Times New Roman" w:hAnsi="Times New Roman" w:cs="Times New Roman"/>
                <w:sz w:val="24"/>
                <w:szCs w:val="24"/>
              </w:rPr>
              <w:t>12,00 %</w:t>
            </w:r>
          </w:p>
        </w:tc>
      </w:tr>
    </w:tbl>
    <w:p w14:paraId="3E497E76" w14:textId="77777777" w:rsidR="006C2812" w:rsidRDefault="006C2812" w:rsidP="00396908">
      <w:pPr>
        <w:rPr>
          <w:rFonts w:ascii="Times New Roman" w:hAnsi="Times New Roman" w:cs="Times New Roman"/>
          <w:sz w:val="24"/>
          <w:szCs w:val="24"/>
        </w:rPr>
      </w:pPr>
    </w:p>
    <w:p w14:paraId="476014EA" w14:textId="1C031BAD" w:rsidR="00396908" w:rsidRPr="00396908" w:rsidRDefault="006C2812" w:rsidP="00396908">
      <w:pPr>
        <w:rPr>
          <w:rFonts w:ascii="Times New Roman" w:hAnsi="Times New Roman" w:cs="Times New Roman"/>
          <w:sz w:val="24"/>
          <w:szCs w:val="24"/>
        </w:rPr>
      </w:pPr>
      <w:r w:rsidRPr="006C2812">
        <w:rPr>
          <w:rFonts w:ascii="Times New Roman" w:hAnsi="Times New Roman" w:cs="Times New Roman"/>
          <w:sz w:val="24"/>
          <w:szCs w:val="24"/>
        </w:rPr>
        <w:t>437.  Pentru ca băncile care aplică abordarea IRB clasei de expuneri căreia îi aparține emitentul instrumentului de datorie să poată beneficia de o pondere de risc conform abordării standardizate pentru riscul de credit, menționată la pct.436, emitentul expunerii trebuie să aibă un rating intern cu o probabilitate de nerambursare echivalentă cu sau mai scăzută decât cea asociată cu nivelul corespunzător de calitate a creditului conform abordării standardizate.</w:t>
      </w:r>
    </w:p>
    <w:p w14:paraId="15A69F58" w14:textId="6F06B1A8" w:rsidR="006F6D74" w:rsidRPr="006C2812" w:rsidRDefault="006C2812" w:rsidP="004340D9">
      <w:pPr>
        <w:rPr>
          <w:rFonts w:ascii="Times New Roman" w:hAnsi="Times New Roman" w:cs="Times New Roman"/>
          <w:sz w:val="24"/>
          <w:szCs w:val="24"/>
        </w:rPr>
      </w:pPr>
      <w:r w:rsidRPr="006C2812">
        <w:rPr>
          <w:rFonts w:ascii="Times New Roman" w:hAnsi="Times New Roman" w:cs="Times New Roman"/>
          <w:color w:val="000000" w:themeColor="text1"/>
          <w:kern w:val="0"/>
          <w:sz w:val="24"/>
          <w:szCs w:val="24"/>
          <w14:ligatures w14:val="none"/>
        </w:rPr>
        <w:t>438.   Băncile pot calcula cerințele pentru riscul specific aferent oricăror obligațiuni care îndeplinesc condițiile pentru o pondere de risc egală cu 10 %, în conformitate cu tratamentul de la pct.75</w:t>
      </w:r>
      <w:r w:rsidRPr="006C2812">
        <w:rPr>
          <w:rFonts w:ascii="Times New Roman" w:hAnsi="Times New Roman" w:cs="Times New Roman"/>
          <w:color w:val="000000" w:themeColor="text1"/>
          <w:kern w:val="0"/>
          <w:sz w:val="24"/>
          <w:szCs w:val="24"/>
          <w:vertAlign w:val="superscript"/>
          <w14:ligatures w14:val="none"/>
        </w:rPr>
        <w:t>14</w:t>
      </w:r>
      <w:r w:rsidRPr="006C2812">
        <w:rPr>
          <w:rFonts w:ascii="Times New Roman" w:hAnsi="Times New Roman" w:cs="Times New Roman"/>
          <w:color w:val="000000" w:themeColor="text1"/>
          <w:kern w:val="0"/>
          <w:sz w:val="24"/>
          <w:szCs w:val="24"/>
          <w14:ligatures w14:val="none"/>
        </w:rPr>
        <w:t xml:space="preserve"> și 75</w:t>
      </w:r>
      <w:r w:rsidRPr="006C2812">
        <w:rPr>
          <w:rFonts w:ascii="Times New Roman" w:hAnsi="Times New Roman" w:cs="Times New Roman"/>
          <w:color w:val="000000" w:themeColor="text1"/>
          <w:kern w:val="0"/>
          <w:sz w:val="24"/>
          <w:szCs w:val="24"/>
          <w:vertAlign w:val="superscript"/>
          <w14:ligatures w14:val="none"/>
        </w:rPr>
        <w:t>15</w:t>
      </w:r>
      <w:r w:rsidRPr="006C2812">
        <w:rPr>
          <w:rFonts w:ascii="Times New Roman" w:hAnsi="Times New Roman" w:cs="Times New Roman"/>
          <w:color w:val="000000" w:themeColor="text1"/>
          <w:kern w:val="0"/>
          <w:sz w:val="24"/>
          <w:szCs w:val="24"/>
          <w14:ligatures w14:val="none"/>
        </w:rPr>
        <w:t xml:space="preserve"> din </w:t>
      </w:r>
      <w:r w:rsidRPr="00CC1E9B">
        <w:rPr>
          <w:rFonts w:ascii="Times New Roman" w:hAnsi="Times New Roman" w:cs="Times New Roman"/>
          <w:color w:val="000000" w:themeColor="text1"/>
          <w:kern w:val="0"/>
          <w:sz w:val="24"/>
          <w:szCs w:val="24"/>
          <w14:ligatures w14:val="none"/>
        </w:rPr>
        <w:t>Regulamentul nr.111/2018</w:t>
      </w:r>
      <w:r w:rsidRPr="00124F11">
        <w:rPr>
          <w:rFonts w:ascii="Times New Roman" w:hAnsi="Times New Roman" w:cs="Times New Roman"/>
          <w:color w:val="000000" w:themeColor="text1"/>
          <w:kern w:val="0"/>
          <w:sz w:val="24"/>
          <w:szCs w:val="24"/>
          <w14:ligatures w14:val="none"/>
        </w:rPr>
        <w:t>, ca</w:t>
      </w:r>
      <w:r w:rsidRPr="006C2812">
        <w:rPr>
          <w:rFonts w:ascii="Times New Roman" w:hAnsi="Times New Roman" w:cs="Times New Roman"/>
          <w:color w:val="000000" w:themeColor="text1"/>
          <w:kern w:val="0"/>
          <w:sz w:val="24"/>
          <w:szCs w:val="24"/>
          <w14:ligatures w14:val="none"/>
        </w:rPr>
        <w:t xml:space="preserve"> jumătate din cerința de fonduri proprii pentru riscul specific aplicabilă celei de a doua categorii din tabelul 1.</w:t>
      </w:r>
    </w:p>
    <w:p w14:paraId="0E0A1009" w14:textId="77777777" w:rsidR="006C2812" w:rsidRPr="006C2812" w:rsidRDefault="006C2812" w:rsidP="006C2812">
      <w:pPr>
        <w:spacing w:after="0" w:line="276" w:lineRule="auto"/>
        <w:jc w:val="both"/>
        <w:rPr>
          <w:rFonts w:ascii="Times New Roman" w:hAnsi="Times New Roman" w:cs="Times New Roman"/>
          <w:color w:val="000000" w:themeColor="text1"/>
          <w:kern w:val="0"/>
          <w:sz w:val="24"/>
          <w:szCs w:val="24"/>
          <w14:ligatures w14:val="none"/>
        </w:rPr>
      </w:pPr>
      <w:r w:rsidRPr="006C2812">
        <w:rPr>
          <w:rFonts w:ascii="Times New Roman" w:hAnsi="Times New Roman" w:cs="Times New Roman"/>
          <w:color w:val="000000" w:themeColor="text1"/>
          <w:kern w:val="0"/>
          <w:sz w:val="24"/>
          <w:szCs w:val="24"/>
          <w14:ligatures w14:val="none"/>
        </w:rPr>
        <w:t>439.   Alte elemente eligibile:</w:t>
      </w:r>
    </w:p>
    <w:p w14:paraId="3315E570" w14:textId="77777777" w:rsidR="006C2812" w:rsidRPr="006C2812" w:rsidRDefault="006C2812" w:rsidP="006C2812">
      <w:pPr>
        <w:spacing w:after="0" w:line="276" w:lineRule="auto"/>
        <w:jc w:val="both"/>
        <w:rPr>
          <w:rFonts w:ascii="Times New Roman" w:hAnsi="Times New Roman" w:cs="Times New Roman"/>
          <w:color w:val="000000" w:themeColor="text1"/>
          <w:kern w:val="0"/>
          <w:sz w:val="24"/>
          <w:szCs w:val="24"/>
          <w14:ligatures w14:val="none"/>
        </w:rPr>
      </w:pPr>
      <w:r w:rsidRPr="006C2812">
        <w:rPr>
          <w:rFonts w:ascii="Times New Roman" w:hAnsi="Times New Roman" w:cs="Times New Roman"/>
          <w:color w:val="000000" w:themeColor="text1"/>
          <w:kern w:val="0"/>
          <w:sz w:val="24"/>
          <w:szCs w:val="24"/>
          <w14:ligatures w14:val="none"/>
        </w:rPr>
        <w:t>439.1. poziții lungi și scurte pe active pentru care nu este disponibilă o evaluare din partea unei ECAI desemnate, și care îndeplinesc următoarele condiții:</w:t>
      </w:r>
    </w:p>
    <w:p w14:paraId="6A0FCE0E" w14:textId="77777777" w:rsidR="006C2812" w:rsidRPr="006C2812" w:rsidRDefault="006C2812" w:rsidP="006C2812">
      <w:pPr>
        <w:spacing w:after="0" w:line="276" w:lineRule="auto"/>
        <w:jc w:val="both"/>
        <w:rPr>
          <w:rFonts w:ascii="Times New Roman" w:hAnsi="Times New Roman" w:cs="Times New Roman"/>
          <w:color w:val="000000" w:themeColor="text1"/>
          <w:kern w:val="0"/>
          <w:sz w:val="24"/>
          <w:szCs w:val="24"/>
          <w14:ligatures w14:val="none"/>
        </w:rPr>
      </w:pPr>
      <w:r w:rsidRPr="006C2812">
        <w:rPr>
          <w:rFonts w:ascii="Times New Roman" w:hAnsi="Times New Roman" w:cs="Times New Roman"/>
          <w:color w:val="000000" w:themeColor="text1"/>
          <w:kern w:val="0"/>
          <w:sz w:val="24"/>
          <w:szCs w:val="24"/>
          <w14:ligatures w14:val="none"/>
        </w:rPr>
        <w:t>439.1.1. sunt considerate suficient de lichide de către banca în cauză;</w:t>
      </w:r>
    </w:p>
    <w:p w14:paraId="7B60DD27" w14:textId="77777777" w:rsidR="006C2812" w:rsidRPr="006C2812" w:rsidRDefault="006C2812" w:rsidP="006C2812">
      <w:pPr>
        <w:spacing w:after="0" w:line="276" w:lineRule="auto"/>
        <w:jc w:val="both"/>
        <w:rPr>
          <w:rFonts w:ascii="Times New Roman" w:hAnsi="Times New Roman" w:cs="Times New Roman"/>
          <w:color w:val="000000" w:themeColor="text1"/>
          <w:kern w:val="0"/>
          <w:sz w:val="24"/>
          <w:szCs w:val="24"/>
          <w14:ligatures w14:val="none"/>
        </w:rPr>
      </w:pPr>
      <w:r w:rsidRPr="006C2812">
        <w:rPr>
          <w:rFonts w:ascii="Times New Roman" w:hAnsi="Times New Roman" w:cs="Times New Roman"/>
          <w:color w:val="000000" w:themeColor="text1"/>
          <w:kern w:val="0"/>
          <w:sz w:val="24"/>
          <w:szCs w:val="24"/>
          <w14:ligatures w14:val="none"/>
        </w:rPr>
        <w:t>439.1.2. calitatea lor investițională este, în opinia băncii, cel puțin echivalentă cu cea a activelor menționate în tabelul 1 al doilea rând;</w:t>
      </w:r>
    </w:p>
    <w:p w14:paraId="4E111ADA" w14:textId="3B9FD70D" w:rsidR="006C2812" w:rsidRPr="006C2812" w:rsidRDefault="006C2812" w:rsidP="006C2812">
      <w:pPr>
        <w:spacing w:after="0" w:line="276" w:lineRule="auto"/>
        <w:jc w:val="both"/>
        <w:rPr>
          <w:rFonts w:ascii="Times New Roman" w:hAnsi="Times New Roman" w:cs="Times New Roman"/>
          <w:color w:val="000000" w:themeColor="text1"/>
          <w:kern w:val="0"/>
          <w:sz w:val="24"/>
          <w:szCs w:val="24"/>
          <w14:ligatures w14:val="none"/>
        </w:rPr>
      </w:pPr>
      <w:r w:rsidRPr="006C2812">
        <w:rPr>
          <w:rFonts w:ascii="Times New Roman" w:hAnsi="Times New Roman" w:cs="Times New Roman"/>
          <w:color w:val="000000" w:themeColor="text1"/>
          <w:kern w:val="0"/>
          <w:sz w:val="24"/>
          <w:szCs w:val="24"/>
          <w14:ligatures w14:val="none"/>
        </w:rPr>
        <w:t>439.1.3. sunt admise la tranzacționare pe cel puțin o piață reglementată dintr-un stat membru sau pe o bursă (</w:t>
      </w:r>
      <w:proofErr w:type="spellStart"/>
      <w:r w:rsidRPr="006C2812">
        <w:rPr>
          <w:rFonts w:ascii="Times New Roman" w:hAnsi="Times New Roman" w:cs="Times New Roman"/>
          <w:color w:val="000000" w:themeColor="text1"/>
          <w:kern w:val="0"/>
          <w:sz w:val="24"/>
          <w:szCs w:val="24"/>
          <w14:ligatures w14:val="none"/>
        </w:rPr>
        <w:t>stock</w:t>
      </w:r>
      <w:proofErr w:type="spellEnd"/>
      <w:r w:rsidRPr="006C2812">
        <w:rPr>
          <w:rFonts w:ascii="Times New Roman" w:hAnsi="Times New Roman" w:cs="Times New Roman"/>
          <w:color w:val="000000" w:themeColor="text1"/>
          <w:kern w:val="0"/>
          <w:sz w:val="24"/>
          <w:szCs w:val="24"/>
          <w14:ligatures w14:val="none"/>
        </w:rPr>
        <w:t xml:space="preserve"> </w:t>
      </w:r>
      <w:proofErr w:type="spellStart"/>
      <w:r w:rsidRPr="006C2812">
        <w:rPr>
          <w:rFonts w:ascii="Times New Roman" w:hAnsi="Times New Roman" w:cs="Times New Roman"/>
          <w:color w:val="000000" w:themeColor="text1"/>
          <w:kern w:val="0"/>
          <w:sz w:val="24"/>
          <w:szCs w:val="24"/>
          <w14:ligatures w14:val="none"/>
        </w:rPr>
        <w:t>exchange</w:t>
      </w:r>
      <w:proofErr w:type="spellEnd"/>
      <w:r w:rsidRPr="006C2812">
        <w:rPr>
          <w:rFonts w:ascii="Times New Roman" w:hAnsi="Times New Roman" w:cs="Times New Roman"/>
          <w:color w:val="000000" w:themeColor="text1"/>
          <w:kern w:val="0"/>
          <w:sz w:val="24"/>
          <w:szCs w:val="24"/>
          <w14:ligatures w14:val="none"/>
        </w:rPr>
        <w:t xml:space="preserve">) </w:t>
      </w:r>
      <w:r w:rsidR="005F2163">
        <w:rPr>
          <w:rFonts w:ascii="Times New Roman" w:hAnsi="Times New Roman" w:cs="Times New Roman"/>
          <w:color w:val="000000" w:themeColor="text1"/>
          <w:kern w:val="0"/>
          <w:sz w:val="24"/>
          <w:szCs w:val="24"/>
          <w14:ligatures w14:val="none"/>
        </w:rPr>
        <w:t>dintr-un alt stat</w:t>
      </w:r>
      <w:r w:rsidRPr="006C2812">
        <w:rPr>
          <w:rFonts w:ascii="Times New Roman" w:hAnsi="Times New Roman" w:cs="Times New Roman"/>
          <w:color w:val="000000" w:themeColor="text1"/>
          <w:kern w:val="0"/>
          <w:sz w:val="24"/>
          <w:szCs w:val="24"/>
          <w14:ligatures w14:val="none"/>
        </w:rPr>
        <w:t>, cu condiția ca bursa respectivă să fie recunoscută de autoritățile competente din statul membru respectiv;</w:t>
      </w:r>
    </w:p>
    <w:p w14:paraId="013FF670" w14:textId="77777777" w:rsidR="006C2812" w:rsidRPr="006C2812" w:rsidRDefault="006C2812" w:rsidP="006C2812">
      <w:pPr>
        <w:spacing w:after="0" w:line="276" w:lineRule="auto"/>
        <w:jc w:val="both"/>
        <w:rPr>
          <w:rFonts w:ascii="Times New Roman" w:hAnsi="Times New Roman" w:cs="Times New Roman"/>
          <w:color w:val="000000" w:themeColor="text1"/>
          <w:kern w:val="0"/>
          <w:sz w:val="24"/>
          <w:szCs w:val="24"/>
          <w14:ligatures w14:val="none"/>
        </w:rPr>
      </w:pPr>
      <w:r w:rsidRPr="006C2812">
        <w:rPr>
          <w:rFonts w:ascii="Times New Roman" w:hAnsi="Times New Roman" w:cs="Times New Roman"/>
          <w:color w:val="000000" w:themeColor="text1"/>
          <w:kern w:val="0"/>
          <w:sz w:val="24"/>
          <w:szCs w:val="24"/>
          <w14:ligatures w14:val="none"/>
        </w:rPr>
        <w:t>439.2. poziții lungi și scurte pe active, emise de bănci supuse cerințelor de fonduri proprii prevăzute în Regulamentul nr.109/2018, care sunt considerate de către banca în cauză suficient de lichide și a căror calitate investițională este, în opinia băncii, cel puțin echivalentă cu cea a activelor menționate în tabelul 1 al doilea rând;</w:t>
      </w:r>
    </w:p>
    <w:p w14:paraId="0DDDE6FB" w14:textId="77777777" w:rsidR="006C2812" w:rsidRPr="006C2812" w:rsidRDefault="006C2812" w:rsidP="006C2812">
      <w:pPr>
        <w:spacing w:after="0" w:line="276" w:lineRule="auto"/>
        <w:jc w:val="both"/>
        <w:rPr>
          <w:rFonts w:ascii="Times New Roman" w:hAnsi="Times New Roman" w:cs="Times New Roman"/>
          <w:color w:val="000000" w:themeColor="text1"/>
          <w:kern w:val="0"/>
          <w:sz w:val="24"/>
          <w:szCs w:val="24"/>
          <w14:ligatures w14:val="none"/>
        </w:rPr>
      </w:pPr>
      <w:r w:rsidRPr="006C2812">
        <w:rPr>
          <w:rFonts w:ascii="Times New Roman" w:hAnsi="Times New Roman" w:cs="Times New Roman"/>
          <w:color w:val="000000" w:themeColor="text1"/>
          <w:kern w:val="0"/>
          <w:sz w:val="24"/>
          <w:szCs w:val="24"/>
          <w14:ligatures w14:val="none"/>
        </w:rPr>
        <w:t>439.3. titluri emise de bănci care sunt considerate a avea un nivel de calitate a creditului echivalent sau mai ridicat decât cele asociate nivelului 2 de calitate a creditului, conform abordării standardizate pentru riscul de credit al expunerilor față de bănci, și care sunt supuse unor mecanisme de supraveghere și reglementare comparabile cu cele prevăzute în actele normative aferente domeniului prudențial și în Legea nr.202/2017.</w:t>
      </w:r>
    </w:p>
    <w:p w14:paraId="70A0C73F" w14:textId="14F2D8D2" w:rsidR="006F6D74" w:rsidRDefault="006C2812" w:rsidP="006C2812">
      <w:pPr>
        <w:rPr>
          <w:rFonts w:ascii="Times New Roman" w:hAnsi="Times New Roman" w:cs="Times New Roman"/>
          <w:color w:val="000000" w:themeColor="text1"/>
          <w:kern w:val="0"/>
          <w:sz w:val="24"/>
          <w:szCs w:val="24"/>
          <w14:ligatures w14:val="none"/>
        </w:rPr>
      </w:pPr>
      <w:r w:rsidRPr="006C2812">
        <w:rPr>
          <w:rFonts w:ascii="Times New Roman" w:hAnsi="Times New Roman" w:cs="Times New Roman"/>
          <w:color w:val="000000" w:themeColor="text1"/>
          <w:kern w:val="0"/>
          <w:sz w:val="24"/>
          <w:szCs w:val="24"/>
          <w14:ligatures w14:val="none"/>
        </w:rPr>
        <w:t>440. Băncile care aplică subpct.439.1 sau 439.2 trebuie să dispună de o metodologie documentată pe baza căreia evaluează dacă activele îndeplinesc cerințele de la subpunctele respective și să notifice această metodologie BNM.</w:t>
      </w:r>
    </w:p>
    <w:p w14:paraId="59E797DA" w14:textId="7959AA74" w:rsidR="006C2812" w:rsidRPr="006C2812" w:rsidRDefault="006C2812" w:rsidP="006C2812">
      <w:pPr>
        <w:rPr>
          <w:rFonts w:ascii="Times New Roman" w:hAnsi="Times New Roman" w:cs="Times New Roman"/>
          <w:sz w:val="24"/>
          <w:szCs w:val="24"/>
        </w:rPr>
      </w:pPr>
      <w:bookmarkStart w:id="82" w:name="_Hlk195099684"/>
      <w:r w:rsidRPr="006C2812">
        <w:rPr>
          <w:rFonts w:ascii="Times New Roman" w:hAnsi="Times New Roman" w:cs="Times New Roman"/>
          <w:i/>
          <w:iCs/>
          <w:sz w:val="24"/>
          <w:szCs w:val="24"/>
        </w:rPr>
        <w:t xml:space="preserve">Paragraful 3. </w:t>
      </w:r>
      <w:r w:rsidRPr="006C2812">
        <w:rPr>
          <w:rFonts w:ascii="Times New Roman" w:hAnsi="Times New Roman" w:cs="Times New Roman"/>
          <w:b/>
          <w:bCs/>
          <w:sz w:val="24"/>
          <w:szCs w:val="24"/>
        </w:rPr>
        <w:t>Cerința de fonduri proprii pentru instrumentele care sunt poziții din securitizare</w:t>
      </w:r>
      <w:bookmarkEnd w:id="82"/>
    </w:p>
    <w:p w14:paraId="5E3C1185" w14:textId="668F9392" w:rsidR="006F6D74" w:rsidRDefault="006C2812" w:rsidP="004340D9">
      <w:pPr>
        <w:rPr>
          <w:rFonts w:ascii="Times New Roman" w:hAnsi="Times New Roman" w:cs="Times New Roman"/>
          <w:sz w:val="24"/>
          <w:szCs w:val="24"/>
        </w:rPr>
      </w:pPr>
      <w:r w:rsidRPr="006C2812">
        <w:rPr>
          <w:rFonts w:ascii="Times New Roman" w:hAnsi="Times New Roman" w:cs="Times New Roman"/>
          <w:sz w:val="24"/>
          <w:szCs w:val="24"/>
        </w:rPr>
        <w:t xml:space="preserve">441.   Pentru instrumentele din portofoliul de tranzacționare care sunt poziții din securitizare, banca aplică pozițiilor sale nete, calculate în conformitate cu pct.418, o pondere egală cu </w:t>
      </w:r>
      <w:r w:rsidR="007049C6">
        <w:rPr>
          <w:rFonts w:ascii="Times New Roman" w:hAnsi="Times New Roman" w:cs="Times New Roman"/>
          <w:sz w:val="24"/>
          <w:szCs w:val="24"/>
        </w:rPr>
        <w:t>10</w:t>
      </w:r>
      <w:r w:rsidR="007049C6" w:rsidRPr="006C2812">
        <w:rPr>
          <w:rFonts w:ascii="Times New Roman" w:hAnsi="Times New Roman" w:cs="Times New Roman"/>
          <w:sz w:val="24"/>
          <w:szCs w:val="24"/>
        </w:rPr>
        <w:t> </w:t>
      </w:r>
      <w:r w:rsidRPr="006C2812">
        <w:rPr>
          <w:rFonts w:ascii="Times New Roman" w:hAnsi="Times New Roman" w:cs="Times New Roman"/>
          <w:sz w:val="24"/>
          <w:szCs w:val="24"/>
        </w:rPr>
        <w:t xml:space="preserve">% din ponderea de risc pe care banca ar aplica-o poziției din afara portofoliului de tranzacționare, conform capitolului IV secțiunea 3 din Regulamentul privind tratamentul </w:t>
      </w:r>
      <w:proofErr w:type="spellStart"/>
      <w:r w:rsidRPr="006C2812">
        <w:rPr>
          <w:rFonts w:ascii="Times New Roman" w:hAnsi="Times New Roman" w:cs="Times New Roman"/>
          <w:sz w:val="24"/>
          <w:szCs w:val="24"/>
        </w:rPr>
        <w:t>prudenţial</w:t>
      </w:r>
      <w:proofErr w:type="spellEnd"/>
      <w:r w:rsidRPr="006C2812">
        <w:rPr>
          <w:rFonts w:ascii="Times New Roman" w:hAnsi="Times New Roman" w:cs="Times New Roman"/>
          <w:sz w:val="24"/>
          <w:szCs w:val="24"/>
        </w:rPr>
        <w:t xml:space="preserve"> al securitizărilor, aprobat prin HCE al BNM nr.221/2025 (în continuare – Regulamentul nr.221/2025).</w:t>
      </w:r>
    </w:p>
    <w:p w14:paraId="567D4803" w14:textId="1799201D" w:rsidR="006C2812" w:rsidRDefault="006C2812" w:rsidP="004340D9">
      <w:pPr>
        <w:rPr>
          <w:rFonts w:ascii="Times New Roman" w:hAnsi="Times New Roman" w:cs="Times New Roman"/>
          <w:sz w:val="24"/>
          <w:szCs w:val="24"/>
        </w:rPr>
      </w:pPr>
      <w:r w:rsidRPr="006C2812">
        <w:rPr>
          <w:rFonts w:ascii="Times New Roman" w:hAnsi="Times New Roman" w:cs="Times New Roman"/>
          <w:sz w:val="24"/>
          <w:szCs w:val="24"/>
        </w:rPr>
        <w:lastRenderedPageBreak/>
        <w:t>442.   Atunci când determină ponderile de risc în sensulpct.441, băncile utilizează exclusiv abordarea prevăzută în capitolul IV secțiunea 3 din Regulamentul nr.221/2025.</w:t>
      </w:r>
    </w:p>
    <w:p w14:paraId="30F81F9F" w14:textId="2D1D3B6E" w:rsidR="006C2812" w:rsidRDefault="006C2812" w:rsidP="004340D9">
      <w:pPr>
        <w:rPr>
          <w:rFonts w:ascii="Times New Roman" w:hAnsi="Times New Roman" w:cs="Times New Roman"/>
          <w:sz w:val="24"/>
          <w:szCs w:val="24"/>
        </w:rPr>
      </w:pPr>
      <w:r w:rsidRPr="006C2812">
        <w:rPr>
          <w:rFonts w:ascii="Times New Roman" w:hAnsi="Times New Roman" w:cs="Times New Roman"/>
          <w:sz w:val="24"/>
          <w:szCs w:val="24"/>
        </w:rPr>
        <w:t xml:space="preserve">443.   În cazul pozițiilor din securitizare cărora li se aplică o pondere de risc suplimentară în conformitate cu pct.24 din Regulamentul nr.221/2025, se aplică </w:t>
      </w:r>
      <w:r w:rsidR="007049C6">
        <w:rPr>
          <w:rFonts w:ascii="Times New Roman" w:hAnsi="Times New Roman" w:cs="Times New Roman"/>
          <w:sz w:val="24"/>
          <w:szCs w:val="24"/>
        </w:rPr>
        <w:t>10</w:t>
      </w:r>
      <w:r w:rsidR="007049C6" w:rsidRPr="006C2812">
        <w:rPr>
          <w:rFonts w:ascii="Times New Roman" w:hAnsi="Times New Roman" w:cs="Times New Roman"/>
          <w:sz w:val="24"/>
          <w:szCs w:val="24"/>
        </w:rPr>
        <w:t> </w:t>
      </w:r>
      <w:r w:rsidRPr="006C2812">
        <w:rPr>
          <w:rFonts w:ascii="Times New Roman" w:hAnsi="Times New Roman" w:cs="Times New Roman"/>
          <w:sz w:val="24"/>
          <w:szCs w:val="24"/>
        </w:rPr>
        <w:t>% din ponderea de risc totală.</w:t>
      </w:r>
    </w:p>
    <w:p w14:paraId="5E102673" w14:textId="53A640C1" w:rsidR="006C2812" w:rsidRDefault="006C2812" w:rsidP="004340D9">
      <w:pPr>
        <w:rPr>
          <w:rFonts w:ascii="Times New Roman" w:hAnsi="Times New Roman" w:cs="Times New Roman"/>
          <w:sz w:val="24"/>
          <w:szCs w:val="24"/>
        </w:rPr>
      </w:pPr>
      <w:r w:rsidRPr="006C2812">
        <w:rPr>
          <w:rFonts w:ascii="Times New Roman" w:hAnsi="Times New Roman" w:cs="Times New Roman"/>
          <w:sz w:val="24"/>
          <w:szCs w:val="24"/>
        </w:rPr>
        <w:t>444.   Banca însumează pozițiile sale ponderate care rezultă din aplicarea pct.441-443, indiferent dacă acestea sunt lungi sau scurte, pentru a-și calcula cerința de fonduri proprii pentru un risc specific, cu excepția pozițiilor din securitizare cărora li se aplică</w:t>
      </w:r>
      <w:r w:rsidR="00601551">
        <w:rPr>
          <w:rFonts w:ascii="Times New Roman" w:hAnsi="Times New Roman" w:cs="Times New Roman"/>
          <w:sz w:val="24"/>
          <w:szCs w:val="24"/>
        </w:rPr>
        <w:t xml:space="preserve"> </w:t>
      </w:r>
      <w:r w:rsidRPr="006C2812">
        <w:rPr>
          <w:rFonts w:ascii="Times New Roman" w:hAnsi="Times New Roman" w:cs="Times New Roman"/>
          <w:sz w:val="24"/>
          <w:szCs w:val="24"/>
        </w:rPr>
        <w:t>pct.448.</w:t>
      </w:r>
    </w:p>
    <w:p w14:paraId="15E495BC" w14:textId="77777777" w:rsidR="006C2812" w:rsidRPr="006C2812" w:rsidRDefault="006C2812" w:rsidP="006C2812">
      <w:pPr>
        <w:rPr>
          <w:rFonts w:ascii="Times New Roman" w:hAnsi="Times New Roman" w:cs="Times New Roman"/>
          <w:sz w:val="24"/>
          <w:szCs w:val="24"/>
        </w:rPr>
      </w:pPr>
      <w:r w:rsidRPr="006C2812">
        <w:rPr>
          <w:rFonts w:ascii="Times New Roman" w:hAnsi="Times New Roman" w:cs="Times New Roman"/>
          <w:sz w:val="24"/>
          <w:szCs w:val="24"/>
        </w:rPr>
        <w:t>445. În cazul în care banca inițiatoare a unei securitizări tradiționale nu îndeplinește condițiile necesare pentru transferul unei părți semnificative a riscului prevăzute la capitolul III secțiunea 1 din Regulamentul nr.221/2025, banca inițiatoare include expunerile-suport din securitizare în calculul său referitor la cerința de fonduri proprii, ca și cum aceste expuneri nu ar fi fost securitizate.</w:t>
      </w:r>
    </w:p>
    <w:p w14:paraId="4B9D80C8" w14:textId="7D5108B6" w:rsidR="006C2812" w:rsidRDefault="006C2812" w:rsidP="006C2812">
      <w:pPr>
        <w:rPr>
          <w:rFonts w:ascii="Times New Roman" w:hAnsi="Times New Roman" w:cs="Times New Roman"/>
          <w:sz w:val="24"/>
          <w:szCs w:val="24"/>
        </w:rPr>
      </w:pPr>
      <w:r w:rsidRPr="006C2812">
        <w:rPr>
          <w:rFonts w:ascii="Times New Roman" w:hAnsi="Times New Roman" w:cs="Times New Roman"/>
          <w:sz w:val="24"/>
          <w:szCs w:val="24"/>
        </w:rPr>
        <w:t>446. În cazul în care banca inițiatoare a unei securitizări sintetice nu îndeplinește condițiile necesare pentru transferul unei părți semnificative a riscului prevăzute la capitolul III secțiunea 2 din Regulamentul nr.221/2025, banca inițiatoare include expunerile-suport din securitizare în calculul său referitor la cerințele de fonduri proprii, ca și cum aceste expuneri nu ar fi fost securitizate și nu ține seama de efectul securitizării sintetice în scopul protecției creditului.</w:t>
      </w:r>
    </w:p>
    <w:p w14:paraId="4A79D164" w14:textId="7C13927B" w:rsidR="006C2812" w:rsidRDefault="006C2812" w:rsidP="004340D9">
      <w:pPr>
        <w:rPr>
          <w:rFonts w:ascii="Times New Roman" w:hAnsi="Times New Roman" w:cs="Times New Roman"/>
          <w:b/>
          <w:bCs/>
          <w:sz w:val="24"/>
          <w:szCs w:val="24"/>
        </w:rPr>
      </w:pPr>
      <w:bookmarkStart w:id="83" w:name="_Hlk195099714"/>
      <w:r w:rsidRPr="006C2812">
        <w:rPr>
          <w:rFonts w:ascii="Times New Roman" w:hAnsi="Times New Roman" w:cs="Times New Roman"/>
          <w:i/>
          <w:iCs/>
          <w:sz w:val="24"/>
          <w:szCs w:val="24"/>
        </w:rPr>
        <w:t xml:space="preserve">Paragraful 4. </w:t>
      </w:r>
      <w:r w:rsidRPr="006C2812">
        <w:rPr>
          <w:rFonts w:ascii="Times New Roman" w:hAnsi="Times New Roman" w:cs="Times New Roman"/>
          <w:b/>
          <w:bCs/>
          <w:sz w:val="24"/>
          <w:szCs w:val="24"/>
        </w:rPr>
        <w:t>Cerință de fonduri proprii pentru portofoliul de tranzacționare pe bază de corelație</w:t>
      </w:r>
      <w:bookmarkEnd w:id="83"/>
    </w:p>
    <w:p w14:paraId="7D8EB2A6" w14:textId="2438809B" w:rsidR="006C2812" w:rsidRDefault="006C2812" w:rsidP="004340D9">
      <w:pPr>
        <w:rPr>
          <w:rFonts w:ascii="Times New Roman" w:hAnsi="Times New Roman" w:cs="Times New Roman"/>
          <w:sz w:val="24"/>
          <w:szCs w:val="24"/>
        </w:rPr>
      </w:pPr>
      <w:r w:rsidRPr="006C2812">
        <w:rPr>
          <w:rFonts w:ascii="Times New Roman" w:hAnsi="Times New Roman" w:cs="Times New Roman"/>
          <w:sz w:val="24"/>
          <w:szCs w:val="24"/>
        </w:rPr>
        <w:t>447.   În sensul prezentului articol, o bancă își stabilește portofoliul de tranzacționare pe bază de corelație în conformitate cu pct.75-78.</w:t>
      </w:r>
    </w:p>
    <w:p w14:paraId="435D9FF9" w14:textId="77777777" w:rsidR="006C2812" w:rsidRPr="006C2812" w:rsidRDefault="006C2812" w:rsidP="006C2812">
      <w:pPr>
        <w:rPr>
          <w:rFonts w:ascii="Times New Roman" w:hAnsi="Times New Roman" w:cs="Times New Roman"/>
          <w:sz w:val="24"/>
          <w:szCs w:val="24"/>
        </w:rPr>
      </w:pPr>
      <w:r w:rsidRPr="006C2812">
        <w:rPr>
          <w:rFonts w:ascii="Times New Roman" w:hAnsi="Times New Roman" w:cs="Times New Roman"/>
          <w:sz w:val="24"/>
          <w:szCs w:val="24"/>
        </w:rPr>
        <w:t>448.   O bancă determină cel mai mare dintre următoarele cuantumuri ca cerință de fonduri proprii pentru riscul specific în ceea ce privește portofoliul de tranzacționare pe bază de corelație:</w:t>
      </w:r>
    </w:p>
    <w:p w14:paraId="79CEE31A" w14:textId="77777777" w:rsidR="006C2812" w:rsidRPr="006C2812" w:rsidRDefault="006C2812" w:rsidP="006C2812">
      <w:pPr>
        <w:rPr>
          <w:rFonts w:ascii="Times New Roman" w:hAnsi="Times New Roman" w:cs="Times New Roman"/>
          <w:sz w:val="24"/>
          <w:szCs w:val="24"/>
        </w:rPr>
      </w:pPr>
      <w:r w:rsidRPr="006C2812">
        <w:rPr>
          <w:rFonts w:ascii="Times New Roman" w:hAnsi="Times New Roman" w:cs="Times New Roman"/>
          <w:sz w:val="24"/>
          <w:szCs w:val="24"/>
        </w:rPr>
        <w:t>448.1. cerința totală de fonduri proprii pentru riscul specific care s-ar aplica exclusiv pozițiilor nete lungi din portofoliul de tranzacționare pe bază de corelație;</w:t>
      </w:r>
    </w:p>
    <w:p w14:paraId="4E67AF45" w14:textId="10EB5FDF" w:rsidR="006C2812" w:rsidRPr="006C2812" w:rsidRDefault="006C2812" w:rsidP="006C2812">
      <w:pPr>
        <w:rPr>
          <w:rFonts w:ascii="Times New Roman" w:hAnsi="Times New Roman" w:cs="Times New Roman"/>
          <w:sz w:val="24"/>
          <w:szCs w:val="24"/>
        </w:rPr>
      </w:pPr>
      <w:r w:rsidRPr="006C2812">
        <w:rPr>
          <w:rFonts w:ascii="Times New Roman" w:hAnsi="Times New Roman" w:cs="Times New Roman"/>
          <w:sz w:val="24"/>
          <w:szCs w:val="24"/>
        </w:rPr>
        <w:t>448.2. cerința totală de fonduri proprii pentru riscul specific care s-ar aplica exclusiv pozițiilor nete scurte din portofoliul de tranzacționare pe bază de corelație.</w:t>
      </w:r>
    </w:p>
    <w:p w14:paraId="564B3263" w14:textId="5661A4DF" w:rsidR="006C2812" w:rsidRPr="00CC1E9B" w:rsidRDefault="006C2812" w:rsidP="006C2812">
      <w:pPr>
        <w:rPr>
          <w:rFonts w:ascii="Times New Roman" w:hAnsi="Times New Roman" w:cs="Times New Roman"/>
          <w:b/>
          <w:bCs/>
          <w:i/>
          <w:iCs/>
          <w:sz w:val="24"/>
          <w:szCs w:val="24"/>
        </w:rPr>
      </w:pPr>
      <w:bookmarkStart w:id="84" w:name="_Hlk195099738"/>
      <w:r w:rsidRPr="00CC1E9B">
        <w:rPr>
          <w:rFonts w:ascii="Times New Roman" w:hAnsi="Times New Roman" w:cs="Times New Roman"/>
          <w:b/>
          <w:bCs/>
          <w:i/>
          <w:iCs/>
          <w:sz w:val="24"/>
          <w:szCs w:val="24"/>
        </w:rPr>
        <w:t>Subsecțiunea 2. Risc general</w:t>
      </w:r>
    </w:p>
    <w:p w14:paraId="5D0ABB88" w14:textId="1DD8E6E2" w:rsidR="006F6D74" w:rsidRDefault="006C2812" w:rsidP="006C2812">
      <w:pPr>
        <w:rPr>
          <w:rFonts w:ascii="Times New Roman" w:hAnsi="Times New Roman" w:cs="Times New Roman"/>
          <w:sz w:val="24"/>
          <w:szCs w:val="24"/>
        </w:rPr>
      </w:pPr>
      <w:r w:rsidRPr="006C2812">
        <w:rPr>
          <w:rFonts w:ascii="Times New Roman" w:hAnsi="Times New Roman" w:cs="Times New Roman"/>
          <w:i/>
          <w:iCs/>
          <w:sz w:val="24"/>
          <w:szCs w:val="24"/>
        </w:rPr>
        <w:t xml:space="preserve">Paragraful 1. </w:t>
      </w:r>
      <w:r w:rsidRPr="006C2812">
        <w:rPr>
          <w:rFonts w:ascii="Times New Roman" w:hAnsi="Times New Roman" w:cs="Times New Roman"/>
          <w:b/>
          <w:bCs/>
          <w:sz w:val="24"/>
          <w:szCs w:val="24"/>
        </w:rPr>
        <w:t>Calcularea riscului general pe baza scadenței</w:t>
      </w:r>
      <w:bookmarkEnd w:id="84"/>
    </w:p>
    <w:p w14:paraId="65BF4987" w14:textId="7102AC2F" w:rsidR="006F6D74" w:rsidRDefault="006C2812" w:rsidP="004340D9">
      <w:pPr>
        <w:rPr>
          <w:rFonts w:ascii="Times New Roman" w:hAnsi="Times New Roman" w:cs="Times New Roman"/>
          <w:sz w:val="24"/>
          <w:szCs w:val="24"/>
        </w:rPr>
      </w:pPr>
      <w:r w:rsidRPr="006C2812">
        <w:rPr>
          <w:rFonts w:ascii="Times New Roman" w:hAnsi="Times New Roman" w:cs="Times New Roman"/>
          <w:sz w:val="24"/>
          <w:szCs w:val="24"/>
        </w:rPr>
        <w:t>449. În vederea calculării cerințelor de fonduri proprii pentru acoperirea riscului general, toate pozițiile se ponderează corespunzător scadenței, astfel cum se explică la</w:t>
      </w:r>
      <w:r w:rsidR="00204746">
        <w:rPr>
          <w:rFonts w:ascii="Times New Roman" w:hAnsi="Times New Roman" w:cs="Times New Roman"/>
          <w:sz w:val="24"/>
          <w:szCs w:val="24"/>
        </w:rPr>
        <w:t xml:space="preserve"> </w:t>
      </w:r>
      <w:r w:rsidRPr="006C2812">
        <w:rPr>
          <w:rFonts w:ascii="Times New Roman" w:hAnsi="Times New Roman" w:cs="Times New Roman"/>
          <w:sz w:val="24"/>
          <w:szCs w:val="24"/>
        </w:rPr>
        <w:t>pct.450, în vederea calculării cerinței de fonduri proprii necesare pentru acoperirea acestora. Această cerință se reduce în cazul în care o poziție ponderată este deținută în paralel cu o poziție ponderată de semn opus, în cadrul aceleiași benzi de scadență. Reducerea cerinței se efectuează de asemenea în cazul în care pozițiile ponderate de semn opus se încadrează în benzi de scadență diferite, nivelul reducerii depinzând atât de faptul că cele două poziții aparțin sau nu aceleiași zone, cât și de zonele specifice în care se încadrează.</w:t>
      </w:r>
    </w:p>
    <w:p w14:paraId="7559A114" w14:textId="7F19B19E" w:rsidR="006F6D74" w:rsidRDefault="00FD058B" w:rsidP="004340D9">
      <w:pPr>
        <w:rPr>
          <w:rFonts w:ascii="Times New Roman" w:hAnsi="Times New Roman" w:cs="Times New Roman"/>
          <w:sz w:val="24"/>
          <w:szCs w:val="24"/>
        </w:rPr>
      </w:pPr>
      <w:r w:rsidRPr="00FD058B">
        <w:rPr>
          <w:rFonts w:ascii="Times New Roman" w:hAnsi="Times New Roman" w:cs="Times New Roman"/>
          <w:sz w:val="24"/>
          <w:szCs w:val="24"/>
        </w:rPr>
        <w:t>450.   Banca încadrează pozițiile nete în benzile de scadență corespunzătoare din coloana 2 sau, după caz, coloana 3 a tabelului 2 de la</w:t>
      </w:r>
      <w:r w:rsidR="0083411F">
        <w:rPr>
          <w:rFonts w:ascii="Times New Roman" w:hAnsi="Times New Roman" w:cs="Times New Roman"/>
          <w:sz w:val="24"/>
          <w:szCs w:val="24"/>
        </w:rPr>
        <w:t xml:space="preserve"> </w:t>
      </w:r>
      <w:r w:rsidRPr="00FD058B">
        <w:rPr>
          <w:rFonts w:ascii="Times New Roman" w:hAnsi="Times New Roman" w:cs="Times New Roman"/>
          <w:sz w:val="24"/>
          <w:szCs w:val="24"/>
        </w:rPr>
        <w:t>pct.452. Banca realizează acest lucru pe baza scadenței reziduale, în cazul instrumentelor cu rată fixă și pe baza perioadei rămase până la următoarea fixare a ratei dobânzii, în cazul instrumentelor la care rata dobânzii este variabilă înainte de scadența finală. Banca face, de asemenea, distincție între instrumentele de datorie cu un cupon de 3 % sau mai mult și cele cu un cupon sub 3 % și, în consecință, le încadrează în coloana 2 sau coloana 3 a tabelului 2. Apoi, banca le înmulțește pe fiecare dintre acestea cu ponderea aferentă benzii de scadență în cauză din coloana 4 a tabelului 2.</w:t>
      </w:r>
    </w:p>
    <w:p w14:paraId="3A3F04CB" w14:textId="5C395A58" w:rsidR="006F6D74" w:rsidRDefault="00FD058B" w:rsidP="004340D9">
      <w:pPr>
        <w:rPr>
          <w:rFonts w:ascii="Times New Roman" w:hAnsi="Times New Roman" w:cs="Times New Roman"/>
          <w:sz w:val="24"/>
          <w:szCs w:val="24"/>
        </w:rPr>
      </w:pPr>
      <w:r w:rsidRPr="00FD058B">
        <w:rPr>
          <w:rFonts w:ascii="Times New Roman" w:hAnsi="Times New Roman" w:cs="Times New Roman"/>
          <w:sz w:val="24"/>
          <w:szCs w:val="24"/>
        </w:rPr>
        <w:lastRenderedPageBreak/>
        <w:t>451.   Ulterior, banca calculează suma pozițiilor lungi ponderate și suma pozițiilor scurte ponderate din fiecare dintre benzile de scadență. Suma rezultată din punerea în corespondență a celor două sume amintite, într-o bandă de scadență dată, reprezintă poziția ponderată pusă în corespondență în acea bandă, în timp ce poziția lungă reziduală sau poziția scurtă reziduală reprezintă poziția ponderată nepusă în corespondență în aceeași bandă. Apoi, se calculează totalul pozițiilor ponderate puse în corespondență din toate benzile.</w:t>
      </w:r>
    </w:p>
    <w:p w14:paraId="48129997"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452.  Pentru benzile incluse în fiecare dintre zonele din tabelul 2, banca calculează totalurile pozițiilor lungi ponderate nepuse în corespondență, în vederea determinării poziției lungi ponderate nepuse în corespondență pentru fiecare zonă. În mod similar, totalurile aferente pozițiilor scurte ponderate nepuse în corespondență, de la fiecare bandă dintr-o anumită zonă, se însumează în vederea determinării poziției scurte ponderate nepuse în corespondență pentru acea zonă. Partea aferentă poziției lungi ponderate nepuse în corespondență pentru o zonă dată, care este pusă în corespondență cu poziția scurtă ponderată, nepusă în corespondență pentru aceeași zonă, reprezintă poziția ponderată pusă în corespondență pentru zona respectivă. Partea poziției lungi ponderate, nepuse în corespondență, sau a poziției scurte ponderate, nepuse în corespondență pentru o zonă, care nu poate fi astfel pusă în corespondență, reprezintă poziția ponderată nepusă în corespondență pentru zona respectivă.</w:t>
      </w:r>
    </w:p>
    <w:p w14:paraId="02FA231D" w14:textId="77777777" w:rsidR="00FD058B" w:rsidRPr="00CC1E9B" w:rsidRDefault="00FD058B" w:rsidP="00CC1E9B">
      <w:pPr>
        <w:rPr>
          <w:rFonts w:ascii="Times New Roman" w:hAnsi="Times New Roman" w:cs="Times New Roman"/>
          <w:b/>
          <w:bCs/>
          <w:i/>
          <w:iCs/>
          <w:sz w:val="24"/>
          <w:szCs w:val="24"/>
        </w:rPr>
      </w:pPr>
      <w:r w:rsidRPr="00CC1E9B">
        <w:rPr>
          <w:rFonts w:ascii="Times New Roman" w:hAnsi="Times New Roman" w:cs="Times New Roman"/>
          <w:b/>
          <w:bCs/>
          <w:i/>
          <w:iCs/>
          <w:sz w:val="24"/>
          <w:szCs w:val="24"/>
        </w:rPr>
        <w:t>Tabelul 2</w:t>
      </w:r>
    </w:p>
    <w:tbl>
      <w:tblPr>
        <w:tblW w:w="7061"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85"/>
        <w:gridCol w:w="1417"/>
        <w:gridCol w:w="1418"/>
        <w:gridCol w:w="1468"/>
        <w:gridCol w:w="1773"/>
      </w:tblGrid>
      <w:tr w:rsidR="00FD058B" w:rsidRPr="00FD058B" w14:paraId="22668975" w14:textId="77777777" w:rsidTr="00FD058B">
        <w:trPr>
          <w:jc w:val="center"/>
        </w:trPr>
        <w:tc>
          <w:tcPr>
            <w:tcW w:w="98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21CDF3" w14:textId="77777777" w:rsidR="00FD058B" w:rsidRPr="00FD058B" w:rsidRDefault="00FD058B" w:rsidP="00FD058B">
            <w:pPr>
              <w:rPr>
                <w:rFonts w:ascii="Times New Roman" w:hAnsi="Times New Roman" w:cs="Times New Roman"/>
                <w:b/>
                <w:bCs/>
                <w:sz w:val="24"/>
                <w:szCs w:val="24"/>
              </w:rPr>
            </w:pPr>
            <w:r w:rsidRPr="00FD058B">
              <w:rPr>
                <w:rFonts w:ascii="Times New Roman" w:hAnsi="Times New Roman" w:cs="Times New Roman"/>
                <w:b/>
                <w:bCs/>
                <w:sz w:val="24"/>
                <w:szCs w:val="24"/>
              </w:rPr>
              <w:t>Zonă</w:t>
            </w:r>
          </w:p>
        </w:tc>
        <w:tc>
          <w:tcPr>
            <w:tcW w:w="2835"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E6C8E3" w14:textId="77777777" w:rsidR="00FD058B" w:rsidRPr="00FD058B" w:rsidRDefault="00FD058B" w:rsidP="00FD058B">
            <w:pPr>
              <w:rPr>
                <w:rFonts w:ascii="Times New Roman" w:hAnsi="Times New Roman" w:cs="Times New Roman"/>
                <w:b/>
                <w:bCs/>
                <w:sz w:val="24"/>
                <w:szCs w:val="24"/>
              </w:rPr>
            </w:pPr>
            <w:r w:rsidRPr="00FD058B">
              <w:rPr>
                <w:rFonts w:ascii="Times New Roman" w:hAnsi="Times New Roman" w:cs="Times New Roman"/>
                <w:b/>
                <w:bCs/>
                <w:sz w:val="24"/>
                <w:szCs w:val="24"/>
              </w:rPr>
              <w:t>Bandă de scadență</w:t>
            </w:r>
          </w:p>
        </w:tc>
        <w:tc>
          <w:tcPr>
            <w:tcW w:w="1468"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B55C44" w14:textId="77777777" w:rsidR="00FD058B" w:rsidRPr="00FD058B" w:rsidRDefault="00FD058B" w:rsidP="00FD058B">
            <w:pPr>
              <w:rPr>
                <w:rFonts w:ascii="Times New Roman" w:hAnsi="Times New Roman" w:cs="Times New Roman"/>
                <w:b/>
                <w:bCs/>
                <w:sz w:val="24"/>
                <w:szCs w:val="24"/>
              </w:rPr>
            </w:pPr>
            <w:r w:rsidRPr="00FD058B">
              <w:rPr>
                <w:rFonts w:ascii="Times New Roman" w:hAnsi="Times New Roman" w:cs="Times New Roman"/>
                <w:b/>
                <w:bCs/>
                <w:sz w:val="24"/>
                <w:szCs w:val="24"/>
              </w:rPr>
              <w:t>Pondere (%)</w:t>
            </w:r>
          </w:p>
        </w:tc>
        <w:tc>
          <w:tcPr>
            <w:tcW w:w="1773"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A19890" w14:textId="77777777" w:rsidR="00FD058B" w:rsidRPr="00FD058B" w:rsidRDefault="00FD058B" w:rsidP="00FD058B">
            <w:pPr>
              <w:rPr>
                <w:rFonts w:ascii="Times New Roman" w:hAnsi="Times New Roman" w:cs="Times New Roman"/>
                <w:b/>
                <w:bCs/>
                <w:sz w:val="24"/>
                <w:szCs w:val="24"/>
              </w:rPr>
            </w:pPr>
            <w:r w:rsidRPr="00FD058B">
              <w:rPr>
                <w:rFonts w:ascii="Times New Roman" w:hAnsi="Times New Roman" w:cs="Times New Roman"/>
                <w:b/>
                <w:bCs/>
                <w:sz w:val="24"/>
                <w:szCs w:val="24"/>
              </w:rPr>
              <w:t>Variația presupusă a ratei dobânzii (%)</w:t>
            </w:r>
          </w:p>
        </w:tc>
      </w:tr>
      <w:tr w:rsidR="00FD058B" w:rsidRPr="00FD058B" w14:paraId="311076E6" w14:textId="77777777" w:rsidTr="00FD058B">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52B4095F" w14:textId="77777777" w:rsidR="00FD058B" w:rsidRPr="00FD058B" w:rsidRDefault="00FD058B" w:rsidP="00FD058B">
            <w:pPr>
              <w:rPr>
                <w:rFonts w:ascii="Times New Roman" w:hAnsi="Times New Roman" w:cs="Times New Roman"/>
                <w:b/>
                <w:bCs/>
                <w:sz w:val="24"/>
                <w:szCs w:val="24"/>
              </w:rPr>
            </w:pP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D8605F" w14:textId="77777777" w:rsidR="00FD058B" w:rsidRPr="00FD058B" w:rsidRDefault="00FD058B" w:rsidP="00FD058B">
            <w:pPr>
              <w:rPr>
                <w:rFonts w:ascii="Times New Roman" w:hAnsi="Times New Roman" w:cs="Times New Roman"/>
                <w:b/>
                <w:bCs/>
                <w:sz w:val="24"/>
                <w:szCs w:val="24"/>
              </w:rPr>
            </w:pPr>
            <w:r w:rsidRPr="00FD058B">
              <w:rPr>
                <w:rFonts w:ascii="Times New Roman" w:hAnsi="Times New Roman" w:cs="Times New Roman"/>
                <w:b/>
                <w:bCs/>
                <w:sz w:val="24"/>
                <w:szCs w:val="24"/>
              </w:rPr>
              <w:t>Cupon de 3 % sau mai mult</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F5F4B5" w14:textId="77777777" w:rsidR="00FD058B" w:rsidRPr="00FD058B" w:rsidRDefault="00FD058B" w:rsidP="00FD058B">
            <w:pPr>
              <w:rPr>
                <w:rFonts w:ascii="Times New Roman" w:hAnsi="Times New Roman" w:cs="Times New Roman"/>
                <w:b/>
                <w:bCs/>
                <w:sz w:val="24"/>
                <w:szCs w:val="24"/>
              </w:rPr>
            </w:pPr>
            <w:r w:rsidRPr="00FD058B">
              <w:rPr>
                <w:rFonts w:ascii="Times New Roman" w:hAnsi="Times New Roman" w:cs="Times New Roman"/>
                <w:b/>
                <w:bCs/>
                <w:sz w:val="24"/>
                <w:szCs w:val="24"/>
              </w:rPr>
              <w:t>Cupon sub 3 %</w:t>
            </w:r>
          </w:p>
        </w:tc>
        <w:tc>
          <w:tcPr>
            <w:tcW w:w="1468" w:type="dxa"/>
            <w:vMerge/>
            <w:tcBorders>
              <w:top w:val="outset" w:sz="6" w:space="0" w:color="auto"/>
              <w:left w:val="outset" w:sz="6" w:space="0" w:color="auto"/>
              <w:bottom w:val="outset" w:sz="6" w:space="0" w:color="auto"/>
              <w:right w:val="outset" w:sz="6" w:space="0" w:color="auto"/>
            </w:tcBorders>
            <w:vAlign w:val="center"/>
            <w:hideMark/>
          </w:tcPr>
          <w:p w14:paraId="18B96F37" w14:textId="77777777" w:rsidR="00FD058B" w:rsidRPr="00FD058B" w:rsidRDefault="00FD058B" w:rsidP="00FD058B">
            <w:pPr>
              <w:rPr>
                <w:rFonts w:ascii="Times New Roman" w:hAnsi="Times New Roman" w:cs="Times New Roman"/>
                <w:b/>
                <w:bCs/>
                <w:sz w:val="24"/>
                <w:szCs w:val="24"/>
              </w:rPr>
            </w:pPr>
          </w:p>
        </w:tc>
        <w:tc>
          <w:tcPr>
            <w:tcW w:w="1773" w:type="dxa"/>
            <w:vMerge/>
            <w:tcBorders>
              <w:top w:val="outset" w:sz="6" w:space="0" w:color="auto"/>
              <w:left w:val="outset" w:sz="6" w:space="0" w:color="auto"/>
              <w:bottom w:val="outset" w:sz="6" w:space="0" w:color="auto"/>
              <w:right w:val="outset" w:sz="6" w:space="0" w:color="auto"/>
            </w:tcBorders>
            <w:vAlign w:val="center"/>
            <w:hideMark/>
          </w:tcPr>
          <w:p w14:paraId="1CEC51F2" w14:textId="77777777" w:rsidR="00FD058B" w:rsidRPr="00FD058B" w:rsidRDefault="00FD058B" w:rsidP="00FD058B">
            <w:pPr>
              <w:rPr>
                <w:rFonts w:ascii="Times New Roman" w:hAnsi="Times New Roman" w:cs="Times New Roman"/>
                <w:b/>
                <w:bCs/>
                <w:sz w:val="24"/>
                <w:szCs w:val="24"/>
              </w:rPr>
            </w:pPr>
          </w:p>
        </w:tc>
      </w:tr>
      <w:tr w:rsidR="00FD058B" w:rsidRPr="00FD058B" w14:paraId="60F77C29" w14:textId="77777777" w:rsidTr="00FD058B">
        <w:trPr>
          <w:jc w:val="center"/>
        </w:trPr>
        <w:tc>
          <w:tcPr>
            <w:tcW w:w="98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AE220E"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Unu</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5D5E62"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0 ≤ 1 lună</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FAB3A3"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0 ≤ 1 lună</w:t>
            </w:r>
          </w:p>
        </w:tc>
        <w:tc>
          <w:tcPr>
            <w:tcW w:w="14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CA4C7B"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0,00</w:t>
            </w:r>
          </w:p>
        </w:tc>
        <w:tc>
          <w:tcPr>
            <w:tcW w:w="1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E4E379"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w:t>
            </w:r>
          </w:p>
        </w:tc>
      </w:tr>
      <w:tr w:rsidR="00FD058B" w:rsidRPr="00FD058B" w14:paraId="7E60D18C" w14:textId="77777777" w:rsidTr="00FD058B">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11631D9E" w14:textId="77777777" w:rsidR="00FD058B" w:rsidRPr="00FD058B" w:rsidRDefault="00FD058B" w:rsidP="00FD058B">
            <w:pPr>
              <w:rPr>
                <w:rFonts w:ascii="Times New Roman" w:hAnsi="Times New Roman" w:cs="Times New Roman"/>
                <w:sz w:val="24"/>
                <w:szCs w:val="24"/>
              </w:rPr>
            </w:pP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73FF61"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1 ≤ 3 luni</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1902EE"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1 ≤ 3 luni</w:t>
            </w:r>
          </w:p>
        </w:tc>
        <w:tc>
          <w:tcPr>
            <w:tcW w:w="14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92445E"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0,20</w:t>
            </w:r>
          </w:p>
        </w:tc>
        <w:tc>
          <w:tcPr>
            <w:tcW w:w="1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55B72C"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1,00</w:t>
            </w:r>
          </w:p>
        </w:tc>
      </w:tr>
      <w:tr w:rsidR="00FD058B" w:rsidRPr="00FD058B" w14:paraId="7D17EF3C" w14:textId="77777777" w:rsidTr="00FD058B">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6353DB66" w14:textId="77777777" w:rsidR="00FD058B" w:rsidRPr="00FD058B" w:rsidRDefault="00FD058B" w:rsidP="00FD058B">
            <w:pPr>
              <w:rPr>
                <w:rFonts w:ascii="Times New Roman" w:hAnsi="Times New Roman" w:cs="Times New Roman"/>
                <w:sz w:val="24"/>
                <w:szCs w:val="24"/>
              </w:rPr>
            </w:pP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14B57E"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3 ≤ 6 luni</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8369A7"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3 ≤ 6 luni</w:t>
            </w:r>
          </w:p>
        </w:tc>
        <w:tc>
          <w:tcPr>
            <w:tcW w:w="14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79256E"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0,40</w:t>
            </w:r>
          </w:p>
        </w:tc>
        <w:tc>
          <w:tcPr>
            <w:tcW w:w="1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9DA6E2"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1,00</w:t>
            </w:r>
          </w:p>
        </w:tc>
      </w:tr>
      <w:tr w:rsidR="00FD058B" w:rsidRPr="00FD058B" w14:paraId="6345D559" w14:textId="77777777" w:rsidTr="00FD058B">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1A41C769" w14:textId="77777777" w:rsidR="00FD058B" w:rsidRPr="00FD058B" w:rsidRDefault="00FD058B" w:rsidP="00FD058B">
            <w:pPr>
              <w:rPr>
                <w:rFonts w:ascii="Times New Roman" w:hAnsi="Times New Roman" w:cs="Times New Roman"/>
                <w:sz w:val="24"/>
                <w:szCs w:val="24"/>
              </w:rPr>
            </w:pP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8BCF4C"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6 ≤ 12 luni</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9C93BD"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6 ≤ 12 luni</w:t>
            </w:r>
          </w:p>
        </w:tc>
        <w:tc>
          <w:tcPr>
            <w:tcW w:w="14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DCA089"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0,70</w:t>
            </w:r>
          </w:p>
        </w:tc>
        <w:tc>
          <w:tcPr>
            <w:tcW w:w="1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0790AB"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1,00</w:t>
            </w:r>
          </w:p>
        </w:tc>
      </w:tr>
      <w:tr w:rsidR="00FD058B" w:rsidRPr="00FD058B" w14:paraId="1ADBB8E6" w14:textId="77777777" w:rsidTr="00FD058B">
        <w:trPr>
          <w:jc w:val="center"/>
        </w:trPr>
        <w:tc>
          <w:tcPr>
            <w:tcW w:w="98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16A063"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Doi</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139C67"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1 ≤ 2 ani</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63FC3A"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1,0 ≤ 1,9 ani</w:t>
            </w:r>
          </w:p>
        </w:tc>
        <w:tc>
          <w:tcPr>
            <w:tcW w:w="14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D00A9E"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1,25</w:t>
            </w:r>
          </w:p>
        </w:tc>
        <w:tc>
          <w:tcPr>
            <w:tcW w:w="1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344F87"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0,90</w:t>
            </w:r>
          </w:p>
        </w:tc>
      </w:tr>
      <w:tr w:rsidR="00FD058B" w:rsidRPr="00FD058B" w14:paraId="29315EB4" w14:textId="77777777" w:rsidTr="00FD058B">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7A5114A3" w14:textId="77777777" w:rsidR="00FD058B" w:rsidRPr="00FD058B" w:rsidRDefault="00FD058B" w:rsidP="00FD058B">
            <w:pPr>
              <w:rPr>
                <w:rFonts w:ascii="Times New Roman" w:hAnsi="Times New Roman" w:cs="Times New Roman"/>
                <w:sz w:val="24"/>
                <w:szCs w:val="24"/>
              </w:rPr>
            </w:pP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919D31"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2 ≤ 3 ani</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480A89"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1,9 ≤ 2,8 ani</w:t>
            </w:r>
          </w:p>
        </w:tc>
        <w:tc>
          <w:tcPr>
            <w:tcW w:w="14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C90A46"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1,75</w:t>
            </w:r>
          </w:p>
        </w:tc>
        <w:tc>
          <w:tcPr>
            <w:tcW w:w="1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9C1DD6"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0,80</w:t>
            </w:r>
          </w:p>
        </w:tc>
      </w:tr>
      <w:tr w:rsidR="00FD058B" w:rsidRPr="00FD058B" w14:paraId="4A1E4DD8" w14:textId="77777777" w:rsidTr="00FD058B">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660AEF90" w14:textId="77777777" w:rsidR="00FD058B" w:rsidRPr="00FD058B" w:rsidRDefault="00FD058B" w:rsidP="00FD058B">
            <w:pPr>
              <w:rPr>
                <w:rFonts w:ascii="Times New Roman" w:hAnsi="Times New Roman" w:cs="Times New Roman"/>
                <w:sz w:val="24"/>
                <w:szCs w:val="24"/>
              </w:rPr>
            </w:pP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954ECA"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3 ≤ 4 ani</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FC6F4E"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2,8 ≤ 3,6 ani</w:t>
            </w:r>
          </w:p>
        </w:tc>
        <w:tc>
          <w:tcPr>
            <w:tcW w:w="14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46C798"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2,25</w:t>
            </w:r>
          </w:p>
        </w:tc>
        <w:tc>
          <w:tcPr>
            <w:tcW w:w="1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63FE44"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0,75</w:t>
            </w:r>
          </w:p>
        </w:tc>
      </w:tr>
      <w:tr w:rsidR="00FD058B" w:rsidRPr="00FD058B" w14:paraId="5785D042" w14:textId="77777777" w:rsidTr="00FD058B">
        <w:trPr>
          <w:jc w:val="center"/>
        </w:trPr>
        <w:tc>
          <w:tcPr>
            <w:tcW w:w="98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9D3AD4"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Trei</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E684F3"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4 ≤ 5 ani</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871F03"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3,6 ≤ 4,3 ani</w:t>
            </w:r>
          </w:p>
        </w:tc>
        <w:tc>
          <w:tcPr>
            <w:tcW w:w="14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BDB3E5"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2,75</w:t>
            </w:r>
          </w:p>
        </w:tc>
        <w:tc>
          <w:tcPr>
            <w:tcW w:w="1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AB310F"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0,75</w:t>
            </w:r>
          </w:p>
        </w:tc>
      </w:tr>
      <w:tr w:rsidR="00FD058B" w:rsidRPr="00FD058B" w14:paraId="459FF810" w14:textId="77777777" w:rsidTr="00FD058B">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43935C94" w14:textId="77777777" w:rsidR="00FD058B" w:rsidRPr="00FD058B" w:rsidRDefault="00FD058B" w:rsidP="00FD058B">
            <w:pPr>
              <w:rPr>
                <w:rFonts w:ascii="Times New Roman" w:hAnsi="Times New Roman" w:cs="Times New Roman"/>
                <w:sz w:val="24"/>
                <w:szCs w:val="24"/>
              </w:rPr>
            </w:pP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536320"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5 ≤ 7 ani</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0E6F6F"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4,3 ≤ 5,7 ani</w:t>
            </w:r>
          </w:p>
        </w:tc>
        <w:tc>
          <w:tcPr>
            <w:tcW w:w="14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D5C0A1"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3,25</w:t>
            </w:r>
          </w:p>
        </w:tc>
        <w:tc>
          <w:tcPr>
            <w:tcW w:w="1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4BA904"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0,70</w:t>
            </w:r>
          </w:p>
        </w:tc>
      </w:tr>
      <w:tr w:rsidR="00FD058B" w:rsidRPr="00FD058B" w14:paraId="55815935" w14:textId="77777777" w:rsidTr="00FD058B">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24FC5016" w14:textId="77777777" w:rsidR="00FD058B" w:rsidRPr="00FD058B" w:rsidRDefault="00FD058B" w:rsidP="00FD058B">
            <w:pPr>
              <w:rPr>
                <w:rFonts w:ascii="Times New Roman" w:hAnsi="Times New Roman" w:cs="Times New Roman"/>
                <w:sz w:val="24"/>
                <w:szCs w:val="24"/>
              </w:rPr>
            </w:pP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992066"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7 ≤ 10 ani</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7CE309"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5,7 ≤ 7,3 ani</w:t>
            </w:r>
          </w:p>
        </w:tc>
        <w:tc>
          <w:tcPr>
            <w:tcW w:w="14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1EC561"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3,75</w:t>
            </w:r>
          </w:p>
        </w:tc>
        <w:tc>
          <w:tcPr>
            <w:tcW w:w="1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8716C5"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0,65</w:t>
            </w:r>
          </w:p>
        </w:tc>
      </w:tr>
      <w:tr w:rsidR="00FD058B" w:rsidRPr="00FD058B" w14:paraId="1BD79EC1" w14:textId="77777777" w:rsidTr="00FD058B">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5E4837B2" w14:textId="77777777" w:rsidR="00FD058B" w:rsidRPr="00FD058B" w:rsidRDefault="00FD058B" w:rsidP="00FD058B">
            <w:pPr>
              <w:rPr>
                <w:rFonts w:ascii="Times New Roman" w:hAnsi="Times New Roman" w:cs="Times New Roman"/>
                <w:sz w:val="24"/>
                <w:szCs w:val="24"/>
              </w:rPr>
            </w:pP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8D81A8"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10 ≤ 15 ani</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B3C347"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7,3 ≤ 9,3 ani</w:t>
            </w:r>
          </w:p>
        </w:tc>
        <w:tc>
          <w:tcPr>
            <w:tcW w:w="14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574BF1"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4,50</w:t>
            </w:r>
          </w:p>
        </w:tc>
        <w:tc>
          <w:tcPr>
            <w:tcW w:w="1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092B87"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0,60</w:t>
            </w:r>
          </w:p>
        </w:tc>
      </w:tr>
      <w:tr w:rsidR="00FD058B" w:rsidRPr="00FD058B" w14:paraId="1D998DC3" w14:textId="77777777" w:rsidTr="00FD058B">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39F21B3E" w14:textId="77777777" w:rsidR="00FD058B" w:rsidRPr="00FD058B" w:rsidRDefault="00FD058B" w:rsidP="00FD058B">
            <w:pPr>
              <w:rPr>
                <w:rFonts w:ascii="Times New Roman" w:hAnsi="Times New Roman" w:cs="Times New Roman"/>
                <w:sz w:val="24"/>
                <w:szCs w:val="24"/>
              </w:rPr>
            </w:pP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0BFE28"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15 ≤ 20 ani</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21F5D6"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9,3 ≤ 10,6 ani</w:t>
            </w:r>
          </w:p>
        </w:tc>
        <w:tc>
          <w:tcPr>
            <w:tcW w:w="14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E0DA25"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5,25</w:t>
            </w:r>
          </w:p>
        </w:tc>
        <w:tc>
          <w:tcPr>
            <w:tcW w:w="1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1DC19D"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0,60</w:t>
            </w:r>
          </w:p>
        </w:tc>
      </w:tr>
      <w:tr w:rsidR="00FD058B" w:rsidRPr="00FD058B" w14:paraId="647E2F11" w14:textId="77777777" w:rsidTr="00FD058B">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26E030B5" w14:textId="77777777" w:rsidR="00FD058B" w:rsidRPr="00FD058B" w:rsidRDefault="00FD058B" w:rsidP="00FD058B">
            <w:pPr>
              <w:rPr>
                <w:rFonts w:ascii="Times New Roman" w:hAnsi="Times New Roman" w:cs="Times New Roman"/>
                <w:sz w:val="24"/>
                <w:szCs w:val="24"/>
              </w:rPr>
            </w:pP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B95272"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20 ani</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9C85DA"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10,6 ≤ 12,0 ani</w:t>
            </w:r>
          </w:p>
        </w:tc>
        <w:tc>
          <w:tcPr>
            <w:tcW w:w="14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C7DD01"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6,00</w:t>
            </w:r>
          </w:p>
        </w:tc>
        <w:tc>
          <w:tcPr>
            <w:tcW w:w="1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7653EA"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0,60</w:t>
            </w:r>
          </w:p>
        </w:tc>
      </w:tr>
      <w:tr w:rsidR="00FD058B" w:rsidRPr="00FD058B" w14:paraId="1DFCD2AD" w14:textId="77777777" w:rsidTr="00FD058B">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57E09111" w14:textId="77777777" w:rsidR="00FD058B" w:rsidRPr="00FD058B" w:rsidRDefault="00FD058B" w:rsidP="00FD058B">
            <w:pPr>
              <w:rPr>
                <w:rFonts w:ascii="Times New Roman" w:hAnsi="Times New Roman" w:cs="Times New Roman"/>
                <w:sz w:val="24"/>
                <w:szCs w:val="24"/>
              </w:rPr>
            </w:pP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2A169C"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 </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B24BEB"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12,0 ≤ 20,0 ani</w:t>
            </w:r>
          </w:p>
        </w:tc>
        <w:tc>
          <w:tcPr>
            <w:tcW w:w="14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1749C3"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8,00</w:t>
            </w:r>
          </w:p>
        </w:tc>
        <w:tc>
          <w:tcPr>
            <w:tcW w:w="1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75C46A"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0,60</w:t>
            </w:r>
          </w:p>
        </w:tc>
      </w:tr>
      <w:tr w:rsidR="00FD058B" w:rsidRPr="00FD058B" w14:paraId="7C63B6DF" w14:textId="77777777" w:rsidTr="00FD058B">
        <w:trPr>
          <w:jc w:val="center"/>
        </w:trPr>
        <w:tc>
          <w:tcPr>
            <w:tcW w:w="985" w:type="dxa"/>
            <w:vMerge/>
            <w:tcBorders>
              <w:top w:val="outset" w:sz="6" w:space="0" w:color="auto"/>
              <w:left w:val="outset" w:sz="6" w:space="0" w:color="auto"/>
              <w:bottom w:val="outset" w:sz="6" w:space="0" w:color="auto"/>
              <w:right w:val="outset" w:sz="6" w:space="0" w:color="auto"/>
            </w:tcBorders>
            <w:vAlign w:val="center"/>
            <w:hideMark/>
          </w:tcPr>
          <w:p w14:paraId="072B0B39" w14:textId="77777777" w:rsidR="00FD058B" w:rsidRPr="00FD058B" w:rsidRDefault="00FD058B" w:rsidP="00FD058B">
            <w:pPr>
              <w:rPr>
                <w:rFonts w:ascii="Times New Roman" w:hAnsi="Times New Roman" w:cs="Times New Roman"/>
                <w:sz w:val="24"/>
                <w:szCs w:val="24"/>
              </w:rPr>
            </w:pP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5A368E"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 </w:t>
            </w:r>
          </w:p>
        </w:tc>
        <w:tc>
          <w:tcPr>
            <w:tcW w:w="141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EBA131"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20 ani</w:t>
            </w:r>
          </w:p>
        </w:tc>
        <w:tc>
          <w:tcPr>
            <w:tcW w:w="14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93AE74"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12,50</w:t>
            </w:r>
          </w:p>
        </w:tc>
        <w:tc>
          <w:tcPr>
            <w:tcW w:w="177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986B94"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0,60</w:t>
            </w:r>
          </w:p>
        </w:tc>
      </w:tr>
    </w:tbl>
    <w:p w14:paraId="410F8C40" w14:textId="77777777" w:rsidR="00FD058B" w:rsidRDefault="00FD058B" w:rsidP="004340D9">
      <w:pPr>
        <w:rPr>
          <w:rFonts w:ascii="Times New Roman" w:hAnsi="Times New Roman" w:cs="Times New Roman"/>
          <w:sz w:val="24"/>
          <w:szCs w:val="24"/>
        </w:rPr>
      </w:pPr>
    </w:p>
    <w:p w14:paraId="250B8FB5" w14:textId="1222186B" w:rsidR="006F6D74" w:rsidRDefault="00FD058B" w:rsidP="004340D9">
      <w:pPr>
        <w:rPr>
          <w:rFonts w:ascii="Times New Roman" w:hAnsi="Times New Roman" w:cs="Times New Roman"/>
          <w:sz w:val="24"/>
          <w:szCs w:val="24"/>
        </w:rPr>
      </w:pPr>
      <w:r w:rsidRPr="00FD058B">
        <w:rPr>
          <w:rFonts w:ascii="Times New Roman" w:hAnsi="Times New Roman" w:cs="Times New Roman"/>
          <w:sz w:val="24"/>
          <w:szCs w:val="24"/>
        </w:rPr>
        <w:t>453.   Cuantumul aferent poziției lungi sau scurte ponderate, nepuse în corespondență în zona unu, care este pus în corespondență cu poziția scurtă sau lungă ponderată nepusă în corespondență din zona doi, reprezintă poziția ponderată pusă în corespondență între zonele unu și doi. Același calcul se realizează ulterior pentru partea rămasă din poziția ponderată nepusă în corespondență din zona doi și poziția ponderată nepusă în corespondență din zona trei, în vederea calculării poziției ponderate puse în corespondență între zonele doi și trei.</w:t>
      </w:r>
    </w:p>
    <w:p w14:paraId="49018EE0" w14:textId="317B11BA" w:rsidR="00FD058B" w:rsidRDefault="00FD058B" w:rsidP="004340D9">
      <w:pPr>
        <w:rPr>
          <w:rFonts w:ascii="Times New Roman" w:hAnsi="Times New Roman" w:cs="Times New Roman"/>
          <w:sz w:val="24"/>
          <w:szCs w:val="24"/>
        </w:rPr>
      </w:pPr>
      <w:r w:rsidRPr="00FD058B">
        <w:rPr>
          <w:rFonts w:ascii="Times New Roman" w:hAnsi="Times New Roman" w:cs="Times New Roman"/>
          <w:sz w:val="24"/>
          <w:szCs w:val="24"/>
        </w:rPr>
        <w:t>454.   Banca poate inversa ordinea de la</w:t>
      </w:r>
      <w:r w:rsidR="00FE0621">
        <w:rPr>
          <w:rFonts w:ascii="Times New Roman" w:hAnsi="Times New Roman" w:cs="Times New Roman"/>
          <w:sz w:val="24"/>
          <w:szCs w:val="24"/>
        </w:rPr>
        <w:t xml:space="preserve"> </w:t>
      </w:r>
      <w:r w:rsidRPr="00FD058B">
        <w:rPr>
          <w:rFonts w:ascii="Times New Roman" w:hAnsi="Times New Roman" w:cs="Times New Roman"/>
          <w:sz w:val="24"/>
          <w:szCs w:val="24"/>
        </w:rPr>
        <w:t>pct.453, astfel încât să calculeze poziția ponderată pusă în corespondență între zonele doi și trei înainte să calculeze poziția respectivă între zonele unu și doi.</w:t>
      </w:r>
    </w:p>
    <w:p w14:paraId="7DEB7DB4" w14:textId="758D8AA9" w:rsidR="00FD058B" w:rsidRDefault="00FD058B" w:rsidP="004340D9">
      <w:pPr>
        <w:rPr>
          <w:rFonts w:ascii="Times New Roman" w:hAnsi="Times New Roman" w:cs="Times New Roman"/>
          <w:sz w:val="24"/>
          <w:szCs w:val="24"/>
        </w:rPr>
      </w:pPr>
      <w:r w:rsidRPr="00FD058B">
        <w:rPr>
          <w:rFonts w:ascii="Times New Roman" w:hAnsi="Times New Roman" w:cs="Times New Roman"/>
          <w:sz w:val="24"/>
          <w:szCs w:val="24"/>
        </w:rPr>
        <w:t>455.   Apoi, în vederea determinării poziției ponderate puse în corespondență între zonele unu și trei, soldul poziției ponderate nepuse în corespondență din zona unu se pune în corespondență cu cel din zona trei, rămas după ce zona trei a fost pusă în corespondență cu zona doi.</w:t>
      </w:r>
    </w:p>
    <w:p w14:paraId="2FF10A33" w14:textId="7C48DC34" w:rsidR="00FD058B" w:rsidRDefault="00FD058B" w:rsidP="004340D9">
      <w:pPr>
        <w:rPr>
          <w:rFonts w:ascii="Times New Roman" w:hAnsi="Times New Roman" w:cs="Times New Roman"/>
          <w:sz w:val="24"/>
          <w:szCs w:val="24"/>
        </w:rPr>
      </w:pPr>
      <w:r w:rsidRPr="00FD058B">
        <w:rPr>
          <w:rFonts w:ascii="Times New Roman" w:hAnsi="Times New Roman" w:cs="Times New Roman"/>
          <w:sz w:val="24"/>
          <w:szCs w:val="24"/>
        </w:rPr>
        <w:t>456. Pozițiile reziduale rezultate în urma parcurgerii celor trei proceduri separate de calcul de punere în corespondență prevăzute la</w:t>
      </w:r>
      <w:r w:rsidR="00FE0621">
        <w:rPr>
          <w:rFonts w:ascii="Times New Roman" w:hAnsi="Times New Roman" w:cs="Times New Roman"/>
          <w:sz w:val="24"/>
          <w:szCs w:val="24"/>
        </w:rPr>
        <w:t xml:space="preserve"> </w:t>
      </w:r>
      <w:r w:rsidRPr="00FD058B">
        <w:rPr>
          <w:rFonts w:ascii="Times New Roman" w:hAnsi="Times New Roman" w:cs="Times New Roman"/>
          <w:sz w:val="24"/>
          <w:szCs w:val="24"/>
        </w:rPr>
        <w:t>pct.453, 454 și 455 se însumează.</w:t>
      </w:r>
    </w:p>
    <w:p w14:paraId="0D0E8AF6"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457.   Cerința de fonduri proprii a băncii se calculează prin însumarea următoarelor elemente:</w:t>
      </w:r>
    </w:p>
    <w:p w14:paraId="01F5B1DF"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457.1. 10 % din suma pozițiilor ponderate puse în corespondență în toate benzile de scadență;</w:t>
      </w:r>
    </w:p>
    <w:p w14:paraId="49B57BD2"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457.2. 40 % din poziția ponderată pusă în corespondență din zona unu;</w:t>
      </w:r>
    </w:p>
    <w:p w14:paraId="525C0FE4"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457.3. 30 % din poziția ponderată pusă în corespondență din zona doi;</w:t>
      </w:r>
    </w:p>
    <w:p w14:paraId="30DA7E30"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457.4. 30 % din poziția ponderată pusă în corespondență din zona trei;</w:t>
      </w:r>
    </w:p>
    <w:p w14:paraId="4927C18B"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457.5. 40 % din poziția ponderată pusă în corespondență între zonele unu și doi și între zonele doi și trei;</w:t>
      </w:r>
    </w:p>
    <w:p w14:paraId="1538BDA0"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457.6 150 % din poziția ponderată pusă în corespondență între zonele unu și trei;</w:t>
      </w:r>
    </w:p>
    <w:p w14:paraId="5FAAB19F" w14:textId="3CCF6B95" w:rsid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457.7. 100 % din pozițiile ponderate reziduale nepuse în corespondență.</w:t>
      </w:r>
    </w:p>
    <w:p w14:paraId="6C589F49" w14:textId="0C2A3277" w:rsidR="00FD058B" w:rsidRDefault="00FD058B" w:rsidP="00FD058B">
      <w:pPr>
        <w:rPr>
          <w:rFonts w:ascii="Times New Roman" w:hAnsi="Times New Roman" w:cs="Times New Roman"/>
          <w:b/>
          <w:bCs/>
          <w:sz w:val="24"/>
          <w:szCs w:val="24"/>
        </w:rPr>
      </w:pPr>
      <w:bookmarkStart w:id="85" w:name="_Hlk195099787"/>
      <w:r w:rsidRPr="00FD058B">
        <w:rPr>
          <w:rFonts w:ascii="Times New Roman" w:hAnsi="Times New Roman" w:cs="Times New Roman"/>
          <w:i/>
          <w:iCs/>
          <w:sz w:val="24"/>
          <w:szCs w:val="24"/>
        </w:rPr>
        <w:t xml:space="preserve">Paragraful 2. </w:t>
      </w:r>
      <w:r w:rsidRPr="00FD058B">
        <w:rPr>
          <w:rFonts w:ascii="Times New Roman" w:hAnsi="Times New Roman" w:cs="Times New Roman"/>
          <w:b/>
          <w:bCs/>
          <w:sz w:val="24"/>
          <w:szCs w:val="24"/>
        </w:rPr>
        <w:t>Calcularea riscului general pe baza duratei</w:t>
      </w:r>
      <w:bookmarkEnd w:id="85"/>
    </w:p>
    <w:p w14:paraId="140BD631" w14:textId="7C75BC3F" w:rsid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458.   Băncile pot utiliza în vederea calculării cerinței de fonduri proprii pentru riscul general, aferent instrumentelor de datorie, în locul abordării prevăzute la paragraful 1, o abordare care reflectă durata, cu condiția ca banca să utilizeze acest sistem în mod consecvent.</w:t>
      </w:r>
    </w:p>
    <w:p w14:paraId="7878F0E9" w14:textId="4882A865" w:rsid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459.   Conform abordării bazate pe durată menționate la pct.458, banca ia valoarea de piață a fiecărui instrument de datorie cu rată fixă și calculează randamentul la scadență al acestuia, care este rata de actualizare implicită pentru titlul respectiv. În cazul instrumentelor cu rată variabilă, banca ia valoarea de piață a fiecărui instrument și calculează randamentul pornind de la ipoteza că principalul este scadent la următoarea dată de fixare a ratei dobânzii.</w:t>
      </w:r>
    </w:p>
    <w:p w14:paraId="52752629"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460.   Apoi, banca calculează durata modificată pentru fiecare instrument de datorie pe baza următoarei formule:</w:t>
      </w:r>
    </w:p>
    <w:p w14:paraId="7345E036"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noProof/>
          <w:sz w:val="24"/>
          <w:szCs w:val="24"/>
        </w:rPr>
        <w:drawing>
          <wp:inline distT="0" distB="0" distL="0" distR="0" wp14:anchorId="55E5BC18" wp14:editId="696DCA78">
            <wp:extent cx="2755900" cy="590550"/>
            <wp:effectExtent l="0" t="0" r="6350" b="0"/>
            <wp:docPr id="211" name="Picture 2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image"/>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755900" cy="590550"/>
                    </a:xfrm>
                    <a:prstGeom prst="rect">
                      <a:avLst/>
                    </a:prstGeom>
                    <a:noFill/>
                    <a:ln>
                      <a:noFill/>
                    </a:ln>
                  </pic:spPr>
                </pic:pic>
              </a:graphicData>
            </a:graphic>
          </wp:inline>
        </w:drawing>
      </w:r>
    </w:p>
    <w:p w14:paraId="5AB77858"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lastRenderedPageBreak/>
        <w:t>unde:</w:t>
      </w:r>
    </w:p>
    <w:tbl>
      <w:tblPr>
        <w:tblW w:w="5000" w:type="pct"/>
        <w:tblLayout w:type="fixed"/>
        <w:tblCellMar>
          <w:left w:w="0" w:type="dxa"/>
          <w:right w:w="0" w:type="dxa"/>
        </w:tblCellMar>
        <w:tblLook w:val="04A0" w:firstRow="1" w:lastRow="0" w:firstColumn="1" w:lastColumn="0" w:noHBand="0" w:noVBand="1"/>
      </w:tblPr>
      <w:tblGrid>
        <w:gridCol w:w="333"/>
        <w:gridCol w:w="279"/>
        <w:gridCol w:w="9854"/>
      </w:tblGrid>
      <w:tr w:rsidR="00FD058B" w:rsidRPr="00FD058B" w14:paraId="7A48838E" w14:textId="77777777" w:rsidTr="00C15AE1">
        <w:tc>
          <w:tcPr>
            <w:tcW w:w="309" w:type="dxa"/>
            <w:hideMark/>
          </w:tcPr>
          <w:p w14:paraId="4B90A435"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D</w:t>
            </w:r>
          </w:p>
        </w:tc>
        <w:tc>
          <w:tcPr>
            <w:tcW w:w="258" w:type="dxa"/>
            <w:hideMark/>
          </w:tcPr>
          <w:p w14:paraId="06F84FBD"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w:t>
            </w:r>
          </w:p>
        </w:tc>
        <w:tc>
          <w:tcPr>
            <w:tcW w:w="9122" w:type="dxa"/>
            <w:hideMark/>
          </w:tcPr>
          <w:p w14:paraId="7F17A7E6"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durata calculată conform următoarei formule:</w:t>
            </w:r>
          </w:p>
          <w:p w14:paraId="49912322"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noProof/>
                <w:sz w:val="24"/>
                <w:szCs w:val="24"/>
              </w:rPr>
              <w:drawing>
                <wp:inline distT="0" distB="0" distL="0" distR="0" wp14:anchorId="33FD510F" wp14:editId="181B82C5">
                  <wp:extent cx="1860550" cy="869950"/>
                  <wp:effectExtent l="0" t="0" r="6350" b="6350"/>
                  <wp:docPr id="212" name="Picture 2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image"/>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860550" cy="869950"/>
                          </a:xfrm>
                          <a:prstGeom prst="rect">
                            <a:avLst/>
                          </a:prstGeom>
                          <a:noFill/>
                          <a:ln>
                            <a:noFill/>
                          </a:ln>
                        </pic:spPr>
                      </pic:pic>
                    </a:graphicData>
                  </a:graphic>
                </wp:inline>
              </w:drawing>
            </w:r>
          </w:p>
          <w:p w14:paraId="5FFD9D80"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unde:</w:t>
            </w:r>
          </w:p>
          <w:tbl>
            <w:tblPr>
              <w:tblW w:w="5000" w:type="pct"/>
              <w:tblLayout w:type="fixed"/>
              <w:tblCellMar>
                <w:left w:w="0" w:type="dxa"/>
                <w:right w:w="0" w:type="dxa"/>
              </w:tblCellMar>
              <w:tblLook w:val="04A0" w:firstRow="1" w:lastRow="0" w:firstColumn="1" w:lastColumn="0" w:noHBand="0" w:noVBand="1"/>
            </w:tblPr>
            <w:tblGrid>
              <w:gridCol w:w="514"/>
              <w:gridCol w:w="456"/>
              <w:gridCol w:w="8884"/>
            </w:tblGrid>
            <w:tr w:rsidR="00FD058B" w:rsidRPr="00FD058B" w14:paraId="5A1AE923" w14:textId="77777777" w:rsidTr="00C15AE1">
              <w:tc>
                <w:tcPr>
                  <w:tcW w:w="476" w:type="dxa"/>
                  <w:hideMark/>
                </w:tcPr>
                <w:p w14:paraId="1F9022A6"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R</w:t>
                  </w:r>
                </w:p>
              </w:tc>
              <w:tc>
                <w:tcPr>
                  <w:tcW w:w="422" w:type="dxa"/>
                  <w:hideMark/>
                </w:tcPr>
                <w:p w14:paraId="778E0A66"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w:t>
                  </w:r>
                </w:p>
              </w:tc>
              <w:tc>
                <w:tcPr>
                  <w:tcW w:w="8224" w:type="dxa"/>
                  <w:hideMark/>
                </w:tcPr>
                <w:p w14:paraId="1F31F1EE"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randamentul la scadență;</w:t>
                  </w:r>
                </w:p>
              </w:tc>
            </w:tr>
          </w:tbl>
          <w:p w14:paraId="556ECDF6" w14:textId="77777777" w:rsidR="00FD058B" w:rsidRPr="00FD058B" w:rsidRDefault="00FD058B" w:rsidP="00FD058B">
            <w:pPr>
              <w:rPr>
                <w:rFonts w:ascii="Times New Roman" w:hAnsi="Times New Roman" w:cs="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478"/>
              <w:gridCol w:w="367"/>
              <w:gridCol w:w="9009"/>
            </w:tblGrid>
            <w:tr w:rsidR="00FD058B" w:rsidRPr="00FD058B" w14:paraId="62596F70" w14:textId="77777777" w:rsidTr="00C15AE1">
              <w:tc>
                <w:tcPr>
                  <w:tcW w:w="442" w:type="dxa"/>
                  <w:hideMark/>
                </w:tcPr>
                <w:p w14:paraId="16E045F0" w14:textId="77777777" w:rsidR="00FD058B" w:rsidRPr="00FD058B" w:rsidRDefault="00FD058B" w:rsidP="00FD058B">
                  <w:pPr>
                    <w:rPr>
                      <w:rFonts w:ascii="Times New Roman" w:hAnsi="Times New Roman" w:cs="Times New Roman"/>
                      <w:sz w:val="24"/>
                      <w:szCs w:val="24"/>
                    </w:rPr>
                  </w:pPr>
                  <w:proofErr w:type="spellStart"/>
                  <w:r w:rsidRPr="00FD058B">
                    <w:rPr>
                      <w:rFonts w:ascii="Times New Roman" w:hAnsi="Times New Roman" w:cs="Times New Roman"/>
                      <w:sz w:val="24"/>
                      <w:szCs w:val="24"/>
                    </w:rPr>
                    <w:t>C</w:t>
                  </w:r>
                  <w:r w:rsidRPr="00FD058B">
                    <w:rPr>
                      <w:rFonts w:ascii="Times New Roman" w:hAnsi="Times New Roman" w:cs="Times New Roman"/>
                      <w:sz w:val="24"/>
                      <w:szCs w:val="24"/>
                      <w:vertAlign w:val="subscript"/>
                    </w:rPr>
                    <w:t>t</w:t>
                  </w:r>
                  <w:proofErr w:type="spellEnd"/>
                </w:p>
              </w:tc>
              <w:tc>
                <w:tcPr>
                  <w:tcW w:w="340" w:type="dxa"/>
                  <w:hideMark/>
                </w:tcPr>
                <w:p w14:paraId="34E7CD6C"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w:t>
                  </w:r>
                </w:p>
              </w:tc>
              <w:tc>
                <w:tcPr>
                  <w:tcW w:w="8340" w:type="dxa"/>
                  <w:hideMark/>
                </w:tcPr>
                <w:p w14:paraId="3BC07BC8"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plata în numerar la momentul t;</w:t>
                  </w:r>
                </w:p>
              </w:tc>
            </w:tr>
          </w:tbl>
          <w:p w14:paraId="1C14F5FB" w14:textId="77777777" w:rsidR="00FD058B" w:rsidRPr="00FD058B" w:rsidRDefault="00FD058B" w:rsidP="00FD058B">
            <w:pPr>
              <w:rPr>
                <w:rFonts w:ascii="Times New Roman" w:hAnsi="Times New Roman" w:cs="Times New Roman"/>
                <w:vanish/>
                <w:sz w:val="24"/>
                <w:szCs w:val="24"/>
              </w:rPr>
            </w:pPr>
          </w:p>
          <w:tbl>
            <w:tblPr>
              <w:tblW w:w="5000" w:type="pct"/>
              <w:tblLayout w:type="fixed"/>
              <w:tblCellMar>
                <w:left w:w="0" w:type="dxa"/>
                <w:right w:w="0" w:type="dxa"/>
              </w:tblCellMar>
              <w:tblLook w:val="04A0" w:firstRow="1" w:lastRow="0" w:firstColumn="1" w:lastColumn="0" w:noHBand="0" w:noVBand="1"/>
            </w:tblPr>
            <w:tblGrid>
              <w:gridCol w:w="1001"/>
              <w:gridCol w:w="679"/>
              <w:gridCol w:w="8174"/>
            </w:tblGrid>
            <w:tr w:rsidR="00FD058B" w:rsidRPr="00FD058B" w14:paraId="4061FEFF" w14:textId="77777777" w:rsidTr="00C15AE1">
              <w:tc>
                <w:tcPr>
                  <w:tcW w:w="926" w:type="dxa"/>
                  <w:hideMark/>
                </w:tcPr>
                <w:p w14:paraId="6B2D4CF0"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M</w:t>
                  </w:r>
                </w:p>
              </w:tc>
              <w:tc>
                <w:tcPr>
                  <w:tcW w:w="629" w:type="dxa"/>
                  <w:hideMark/>
                </w:tcPr>
                <w:p w14:paraId="43ED7A37"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w:t>
                  </w:r>
                </w:p>
              </w:tc>
              <w:tc>
                <w:tcPr>
                  <w:tcW w:w="7567" w:type="dxa"/>
                  <w:hideMark/>
                </w:tcPr>
                <w:p w14:paraId="08766088"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scadența totală.</w:t>
                  </w:r>
                </w:p>
              </w:tc>
            </w:tr>
          </w:tbl>
          <w:p w14:paraId="0A806251" w14:textId="77777777" w:rsidR="00FD058B" w:rsidRPr="00FD058B" w:rsidRDefault="00FD058B" w:rsidP="00FD058B">
            <w:pPr>
              <w:rPr>
                <w:rFonts w:ascii="Times New Roman" w:hAnsi="Times New Roman" w:cs="Times New Roman"/>
                <w:sz w:val="24"/>
                <w:szCs w:val="24"/>
              </w:rPr>
            </w:pPr>
          </w:p>
        </w:tc>
      </w:tr>
    </w:tbl>
    <w:p w14:paraId="3A7E2ABF" w14:textId="4AEBDF63" w:rsid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461. Se efectuează corecții ale calculului duratei modificate pentru instrumentele de datorie supuse riscului de plată anticipată.</w:t>
      </w:r>
    </w:p>
    <w:p w14:paraId="7EDB26CA" w14:textId="6B264B67" w:rsid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462.   Apoi, banca încadrează fiecare instrument de datorie în zona corespunzătoare a tabelului 3. Banca realizează acest lucru pe baza duratei modificate a fiecărui instrument.</w:t>
      </w:r>
    </w:p>
    <w:p w14:paraId="4D937082" w14:textId="77777777" w:rsidR="00FD058B" w:rsidRPr="00CC1E9B" w:rsidRDefault="00FD058B" w:rsidP="00CC1E9B">
      <w:pPr>
        <w:rPr>
          <w:rFonts w:ascii="Times New Roman" w:hAnsi="Times New Roman" w:cs="Times New Roman"/>
          <w:b/>
          <w:bCs/>
          <w:i/>
          <w:iCs/>
          <w:sz w:val="24"/>
          <w:szCs w:val="24"/>
        </w:rPr>
      </w:pPr>
      <w:r w:rsidRPr="00CC1E9B">
        <w:rPr>
          <w:rFonts w:ascii="Times New Roman" w:hAnsi="Times New Roman" w:cs="Times New Roman"/>
          <w:b/>
          <w:bCs/>
          <w:i/>
          <w:iCs/>
          <w:sz w:val="24"/>
          <w:szCs w:val="24"/>
        </w:rPr>
        <w:t>Tabelul 3</w:t>
      </w:r>
    </w:p>
    <w:tbl>
      <w:tblPr>
        <w:tblW w:w="4024"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85"/>
        <w:gridCol w:w="1299"/>
        <w:gridCol w:w="1740"/>
      </w:tblGrid>
      <w:tr w:rsidR="00FD058B" w:rsidRPr="00FD058B" w14:paraId="071B81BC" w14:textId="77777777" w:rsidTr="00FD058B">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5008BD" w14:textId="77777777" w:rsidR="00FD058B" w:rsidRPr="00FD058B" w:rsidRDefault="00FD058B" w:rsidP="00FD058B">
            <w:pPr>
              <w:rPr>
                <w:rFonts w:ascii="Times New Roman" w:hAnsi="Times New Roman" w:cs="Times New Roman"/>
                <w:b/>
                <w:bCs/>
                <w:sz w:val="24"/>
                <w:szCs w:val="24"/>
              </w:rPr>
            </w:pPr>
            <w:r w:rsidRPr="00FD058B">
              <w:rPr>
                <w:rFonts w:ascii="Times New Roman" w:hAnsi="Times New Roman" w:cs="Times New Roman"/>
                <w:b/>
                <w:bCs/>
                <w:sz w:val="24"/>
                <w:szCs w:val="24"/>
              </w:rPr>
              <w:t>Zonă</w:t>
            </w:r>
          </w:p>
        </w:tc>
        <w:tc>
          <w:tcPr>
            <w:tcW w:w="1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6C0883" w14:textId="77777777" w:rsidR="00FD058B" w:rsidRPr="00FD058B" w:rsidRDefault="00FD058B" w:rsidP="00FD058B">
            <w:pPr>
              <w:rPr>
                <w:rFonts w:ascii="Times New Roman" w:hAnsi="Times New Roman" w:cs="Times New Roman"/>
                <w:b/>
                <w:bCs/>
                <w:sz w:val="24"/>
                <w:szCs w:val="24"/>
              </w:rPr>
            </w:pPr>
            <w:r w:rsidRPr="00FD058B">
              <w:rPr>
                <w:rFonts w:ascii="Times New Roman" w:hAnsi="Times New Roman" w:cs="Times New Roman"/>
                <w:b/>
                <w:bCs/>
                <w:sz w:val="24"/>
                <w:szCs w:val="24"/>
              </w:rPr>
              <w:t>Durată modificată</w:t>
            </w:r>
          </w:p>
          <w:p w14:paraId="6C8F58DD" w14:textId="77777777" w:rsidR="00FD058B" w:rsidRPr="00FD058B" w:rsidRDefault="00FD058B" w:rsidP="00FD058B">
            <w:pPr>
              <w:rPr>
                <w:rFonts w:ascii="Times New Roman" w:hAnsi="Times New Roman" w:cs="Times New Roman"/>
                <w:b/>
                <w:bCs/>
                <w:sz w:val="24"/>
                <w:szCs w:val="24"/>
              </w:rPr>
            </w:pPr>
            <w:r w:rsidRPr="00FD058B">
              <w:rPr>
                <w:rFonts w:ascii="Times New Roman" w:hAnsi="Times New Roman" w:cs="Times New Roman"/>
                <w:b/>
                <w:bCs/>
                <w:sz w:val="24"/>
                <w:szCs w:val="24"/>
              </w:rPr>
              <w:t>(în ani)</w:t>
            </w:r>
          </w:p>
        </w:tc>
        <w:tc>
          <w:tcPr>
            <w:tcW w:w="17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50F6DE" w14:textId="77777777" w:rsidR="00FD058B" w:rsidRPr="00FD058B" w:rsidRDefault="00FD058B" w:rsidP="00FD058B">
            <w:pPr>
              <w:rPr>
                <w:rFonts w:ascii="Times New Roman" w:hAnsi="Times New Roman" w:cs="Times New Roman"/>
                <w:b/>
                <w:bCs/>
                <w:sz w:val="24"/>
                <w:szCs w:val="24"/>
              </w:rPr>
            </w:pPr>
            <w:r w:rsidRPr="00FD058B">
              <w:rPr>
                <w:rFonts w:ascii="Times New Roman" w:hAnsi="Times New Roman" w:cs="Times New Roman"/>
                <w:b/>
                <w:bCs/>
                <w:sz w:val="24"/>
                <w:szCs w:val="24"/>
              </w:rPr>
              <w:t>Dobândă presupusă (modificare, în %)</w:t>
            </w:r>
          </w:p>
        </w:tc>
      </w:tr>
      <w:tr w:rsidR="00FD058B" w:rsidRPr="00FD058B" w14:paraId="52F61F94" w14:textId="77777777" w:rsidTr="00FD058B">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4CD007"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Unu</w:t>
            </w:r>
          </w:p>
        </w:tc>
        <w:tc>
          <w:tcPr>
            <w:tcW w:w="1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D5885E"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0 ≤ 1,0</w:t>
            </w:r>
          </w:p>
        </w:tc>
        <w:tc>
          <w:tcPr>
            <w:tcW w:w="17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DD403C"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1,0</w:t>
            </w:r>
          </w:p>
        </w:tc>
      </w:tr>
      <w:tr w:rsidR="00FD058B" w:rsidRPr="00FD058B" w14:paraId="2B395CE3" w14:textId="77777777" w:rsidTr="00FD058B">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264C2E"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Doi</w:t>
            </w:r>
          </w:p>
        </w:tc>
        <w:tc>
          <w:tcPr>
            <w:tcW w:w="1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454B44"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1,0 ≤ 3,6</w:t>
            </w:r>
          </w:p>
        </w:tc>
        <w:tc>
          <w:tcPr>
            <w:tcW w:w="17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653F47"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0,85</w:t>
            </w:r>
          </w:p>
        </w:tc>
      </w:tr>
      <w:tr w:rsidR="00FD058B" w:rsidRPr="00FD058B" w14:paraId="49E35081" w14:textId="77777777" w:rsidTr="00FD058B">
        <w:trPr>
          <w:jc w:val="center"/>
        </w:trPr>
        <w:tc>
          <w:tcPr>
            <w:tcW w:w="9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AD3EFD"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Trei</w:t>
            </w:r>
          </w:p>
        </w:tc>
        <w:tc>
          <w:tcPr>
            <w:tcW w:w="129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565789"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&gt; 3,6</w:t>
            </w:r>
          </w:p>
        </w:tc>
        <w:tc>
          <w:tcPr>
            <w:tcW w:w="174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6904A1" w14:textId="77777777" w:rsidR="00FD058B" w:rsidRPr="00FD058B" w:rsidRDefault="00FD058B" w:rsidP="00FD058B">
            <w:pPr>
              <w:rPr>
                <w:rFonts w:ascii="Times New Roman" w:hAnsi="Times New Roman" w:cs="Times New Roman"/>
                <w:sz w:val="24"/>
                <w:szCs w:val="24"/>
              </w:rPr>
            </w:pPr>
            <w:r w:rsidRPr="00FD058B">
              <w:rPr>
                <w:rFonts w:ascii="Times New Roman" w:hAnsi="Times New Roman" w:cs="Times New Roman"/>
                <w:sz w:val="24"/>
                <w:szCs w:val="24"/>
              </w:rPr>
              <w:t>0,7</w:t>
            </w:r>
          </w:p>
        </w:tc>
      </w:tr>
    </w:tbl>
    <w:p w14:paraId="689E8777" w14:textId="77777777" w:rsidR="009B1650" w:rsidRDefault="009B1650" w:rsidP="00FD058B">
      <w:pPr>
        <w:rPr>
          <w:rFonts w:ascii="Times New Roman" w:hAnsi="Times New Roman" w:cs="Times New Roman"/>
          <w:sz w:val="24"/>
          <w:szCs w:val="24"/>
        </w:rPr>
      </w:pPr>
    </w:p>
    <w:p w14:paraId="1EC45A0C" w14:textId="174C63D4" w:rsidR="00FD058B" w:rsidRDefault="009B1650" w:rsidP="00FD058B">
      <w:pPr>
        <w:rPr>
          <w:rFonts w:ascii="Times New Roman" w:hAnsi="Times New Roman" w:cs="Times New Roman"/>
          <w:sz w:val="24"/>
          <w:szCs w:val="24"/>
        </w:rPr>
      </w:pPr>
      <w:r w:rsidRPr="009B1650">
        <w:rPr>
          <w:rFonts w:ascii="Times New Roman" w:hAnsi="Times New Roman" w:cs="Times New Roman"/>
          <w:sz w:val="24"/>
          <w:szCs w:val="24"/>
        </w:rPr>
        <w:t>463. Banca calculează apoi poziția ponderată pe baza duratei, pentru fiecare instrument, prin înmulțirea valorii sale de piață cu durata sa modificată și cu modificarea presupusă a ratei dobânzii aferente unui instrument căruia îi corespunde respectiva durată modificată (a se vedea coloana 3 a tabelului 3).</w:t>
      </w:r>
    </w:p>
    <w:p w14:paraId="5DD91F6D" w14:textId="77777777" w:rsidR="009B1650" w:rsidRPr="009B1650" w:rsidRDefault="009B1650" w:rsidP="009B1650">
      <w:pPr>
        <w:rPr>
          <w:rFonts w:ascii="Times New Roman" w:hAnsi="Times New Roman" w:cs="Times New Roman"/>
          <w:sz w:val="24"/>
          <w:szCs w:val="24"/>
        </w:rPr>
      </w:pPr>
      <w:r w:rsidRPr="009B1650">
        <w:rPr>
          <w:rFonts w:ascii="Times New Roman" w:hAnsi="Times New Roman" w:cs="Times New Roman"/>
          <w:sz w:val="24"/>
          <w:szCs w:val="24"/>
        </w:rPr>
        <w:t>464.   Banca calculează pozițiile lungi ponderate pe baza duratei, precum și pozițiile scurte ponderate pe baza duratei, în cadrul fiecărei zone. Suma rezultată din punerea în corespondență, în fiecare zonă, a pozițiilor lungi ponderate pe baza duratei cu pozițiile scurte ponderate pe baza duratei, reprezintă poziția ponderată pe baza duratei, pusă în corespondență pentru zona respectivă.</w:t>
      </w:r>
    </w:p>
    <w:p w14:paraId="5F1AC00B" w14:textId="6D9773EF" w:rsidR="00FD058B" w:rsidRDefault="009B1650" w:rsidP="009B1650">
      <w:pPr>
        <w:rPr>
          <w:rFonts w:ascii="Times New Roman" w:hAnsi="Times New Roman" w:cs="Times New Roman"/>
          <w:sz w:val="24"/>
          <w:szCs w:val="24"/>
        </w:rPr>
      </w:pPr>
      <w:r w:rsidRPr="009B1650">
        <w:rPr>
          <w:rFonts w:ascii="Times New Roman" w:hAnsi="Times New Roman" w:cs="Times New Roman"/>
          <w:sz w:val="24"/>
          <w:szCs w:val="24"/>
        </w:rPr>
        <w:t>465. Apoi banca calculează pentru fiecare zonă pozițiile ponderate pe baza duratei nepuse în corespondență. În continuare, parcurge procedurile stabilite la pct.453-456, pentru pozițiile ponderate nepuse în corespondență.</w:t>
      </w:r>
    </w:p>
    <w:p w14:paraId="5C3D0B50" w14:textId="77777777" w:rsidR="009B1650" w:rsidRPr="009B1650" w:rsidRDefault="009B1650" w:rsidP="009B1650">
      <w:pPr>
        <w:rPr>
          <w:rFonts w:ascii="Times New Roman" w:hAnsi="Times New Roman" w:cs="Times New Roman"/>
          <w:sz w:val="24"/>
          <w:szCs w:val="24"/>
        </w:rPr>
      </w:pPr>
      <w:r w:rsidRPr="009B1650">
        <w:rPr>
          <w:rFonts w:ascii="Times New Roman" w:hAnsi="Times New Roman" w:cs="Times New Roman"/>
          <w:sz w:val="24"/>
          <w:szCs w:val="24"/>
        </w:rPr>
        <w:t>466.   Ulterior, cerința de fonduri proprii a băncii se calculează ca sumă a următoarelor elemente:</w:t>
      </w:r>
    </w:p>
    <w:p w14:paraId="2CE7F17A" w14:textId="77777777" w:rsidR="009B1650" w:rsidRPr="009B1650" w:rsidRDefault="009B1650" w:rsidP="009B1650">
      <w:pPr>
        <w:rPr>
          <w:rFonts w:ascii="Times New Roman" w:hAnsi="Times New Roman" w:cs="Times New Roman"/>
          <w:sz w:val="24"/>
          <w:szCs w:val="24"/>
        </w:rPr>
      </w:pPr>
      <w:r w:rsidRPr="009B1650">
        <w:rPr>
          <w:rFonts w:ascii="Times New Roman" w:hAnsi="Times New Roman" w:cs="Times New Roman"/>
          <w:sz w:val="24"/>
          <w:szCs w:val="24"/>
        </w:rPr>
        <w:t>466.1. 2 % din poziția ponderată pe baza duratei, pusă în corespondență pentru fiecare zonă;</w:t>
      </w:r>
    </w:p>
    <w:p w14:paraId="5927A0FF" w14:textId="77777777" w:rsidR="009B1650" w:rsidRPr="009B1650" w:rsidRDefault="009B1650" w:rsidP="009B1650">
      <w:pPr>
        <w:rPr>
          <w:rFonts w:ascii="Times New Roman" w:hAnsi="Times New Roman" w:cs="Times New Roman"/>
          <w:sz w:val="24"/>
          <w:szCs w:val="24"/>
        </w:rPr>
      </w:pPr>
      <w:r w:rsidRPr="009B1650">
        <w:rPr>
          <w:rFonts w:ascii="Times New Roman" w:hAnsi="Times New Roman" w:cs="Times New Roman"/>
          <w:sz w:val="24"/>
          <w:szCs w:val="24"/>
        </w:rPr>
        <w:t>466.2. 40 % din pozițiile ponderate pe baza duratei, puse în corespondență între zonele unu și doi și între zonele doi și trei;</w:t>
      </w:r>
    </w:p>
    <w:p w14:paraId="60584202" w14:textId="77777777" w:rsidR="009B1650" w:rsidRPr="009B1650" w:rsidRDefault="009B1650" w:rsidP="009B1650">
      <w:pPr>
        <w:rPr>
          <w:rFonts w:ascii="Times New Roman" w:hAnsi="Times New Roman" w:cs="Times New Roman"/>
          <w:sz w:val="24"/>
          <w:szCs w:val="24"/>
        </w:rPr>
      </w:pPr>
      <w:r w:rsidRPr="009B1650">
        <w:rPr>
          <w:rFonts w:ascii="Times New Roman" w:hAnsi="Times New Roman" w:cs="Times New Roman"/>
          <w:sz w:val="24"/>
          <w:szCs w:val="24"/>
        </w:rPr>
        <w:lastRenderedPageBreak/>
        <w:t>466.3. 150 % din poziția ponderată pe baza duratei, pusă în corespondență între zonele unu și trei;</w:t>
      </w:r>
    </w:p>
    <w:p w14:paraId="510D02AA" w14:textId="34E92BBB" w:rsidR="009B1650" w:rsidRDefault="009B1650" w:rsidP="009B1650">
      <w:pPr>
        <w:rPr>
          <w:rFonts w:ascii="Times New Roman" w:hAnsi="Times New Roman" w:cs="Times New Roman"/>
          <w:sz w:val="24"/>
          <w:szCs w:val="24"/>
        </w:rPr>
      </w:pPr>
      <w:r w:rsidRPr="009B1650">
        <w:rPr>
          <w:rFonts w:ascii="Times New Roman" w:hAnsi="Times New Roman" w:cs="Times New Roman"/>
          <w:sz w:val="24"/>
          <w:szCs w:val="24"/>
        </w:rPr>
        <w:t>466.4. 100 % din pozițiile reziduale ponderate pe baza duratei, nepuse în corespondență.</w:t>
      </w:r>
    </w:p>
    <w:p w14:paraId="08D0E39E" w14:textId="7BAFA2B9" w:rsidR="009B1650" w:rsidRPr="009B1650" w:rsidRDefault="009B1650" w:rsidP="009B1650">
      <w:pPr>
        <w:rPr>
          <w:rFonts w:ascii="Times New Roman" w:hAnsi="Times New Roman" w:cs="Times New Roman"/>
          <w:b/>
          <w:bCs/>
          <w:sz w:val="24"/>
          <w:szCs w:val="24"/>
        </w:rPr>
      </w:pPr>
      <w:bookmarkStart w:id="86" w:name="_Hlk195099821"/>
      <w:r w:rsidRPr="009B1650">
        <w:rPr>
          <w:rFonts w:ascii="Times New Roman" w:hAnsi="Times New Roman" w:cs="Times New Roman"/>
          <w:b/>
          <w:bCs/>
          <w:sz w:val="24"/>
          <w:szCs w:val="24"/>
        </w:rPr>
        <w:t>Secțiunea 3. Titluri de capital</w:t>
      </w:r>
    </w:p>
    <w:p w14:paraId="0B36DFC3" w14:textId="68D3C67B" w:rsidR="009B1650" w:rsidRPr="00CC1E9B" w:rsidRDefault="009B1650" w:rsidP="009B1650">
      <w:pPr>
        <w:rPr>
          <w:rFonts w:ascii="Times New Roman" w:hAnsi="Times New Roman" w:cs="Times New Roman"/>
          <w:b/>
          <w:bCs/>
          <w:i/>
          <w:iCs/>
          <w:sz w:val="24"/>
          <w:szCs w:val="24"/>
        </w:rPr>
      </w:pPr>
      <w:r w:rsidRPr="00CC1E9B">
        <w:rPr>
          <w:rFonts w:ascii="Times New Roman" w:hAnsi="Times New Roman" w:cs="Times New Roman"/>
          <w:b/>
          <w:bCs/>
          <w:i/>
          <w:iCs/>
          <w:sz w:val="24"/>
          <w:szCs w:val="24"/>
        </w:rPr>
        <w:t>Su</w:t>
      </w:r>
      <w:r w:rsidR="001F67F3" w:rsidRPr="00CC1E9B">
        <w:rPr>
          <w:rFonts w:ascii="Times New Roman" w:hAnsi="Times New Roman" w:cs="Times New Roman"/>
          <w:b/>
          <w:bCs/>
          <w:i/>
          <w:iCs/>
          <w:sz w:val="24"/>
          <w:szCs w:val="24"/>
        </w:rPr>
        <w:t>b</w:t>
      </w:r>
      <w:r w:rsidRPr="00CC1E9B">
        <w:rPr>
          <w:rFonts w:ascii="Times New Roman" w:hAnsi="Times New Roman" w:cs="Times New Roman"/>
          <w:b/>
          <w:bCs/>
          <w:i/>
          <w:iCs/>
          <w:sz w:val="24"/>
          <w:szCs w:val="24"/>
        </w:rPr>
        <w:t>secțiunea 1. Poziții nete pe titluri de capital</w:t>
      </w:r>
      <w:bookmarkEnd w:id="86"/>
    </w:p>
    <w:p w14:paraId="46B7909D" w14:textId="1F724C54" w:rsidR="00FD058B" w:rsidRDefault="001F67F3" w:rsidP="00FD058B">
      <w:pPr>
        <w:rPr>
          <w:rFonts w:ascii="Times New Roman" w:hAnsi="Times New Roman" w:cs="Times New Roman"/>
          <w:sz w:val="24"/>
          <w:szCs w:val="24"/>
        </w:rPr>
      </w:pPr>
      <w:r w:rsidRPr="001F67F3">
        <w:rPr>
          <w:rFonts w:ascii="Times New Roman" w:hAnsi="Times New Roman" w:cs="Times New Roman"/>
          <w:sz w:val="24"/>
          <w:szCs w:val="24"/>
        </w:rPr>
        <w:t>467. Banca calculează separat suma tuturor pozițiilor nete lungi și suma tuturor pozițiilor nete scurte, în conformitate cu titlul II capitolul IV secțiunea 1 subsecțiunea 2. Suma valorilor absolute ale celor două cifre reprezintă poziția brută totală a băncii.</w:t>
      </w:r>
    </w:p>
    <w:p w14:paraId="5ACFFF21" w14:textId="44BA7DC4" w:rsidR="00FD058B" w:rsidRDefault="001F67F3" w:rsidP="00FD058B">
      <w:pPr>
        <w:rPr>
          <w:rFonts w:ascii="Times New Roman" w:hAnsi="Times New Roman" w:cs="Times New Roman"/>
          <w:sz w:val="24"/>
          <w:szCs w:val="24"/>
        </w:rPr>
      </w:pPr>
      <w:r w:rsidRPr="001F67F3">
        <w:rPr>
          <w:rFonts w:ascii="Times New Roman" w:hAnsi="Times New Roman" w:cs="Times New Roman"/>
          <w:sz w:val="24"/>
          <w:szCs w:val="24"/>
        </w:rPr>
        <w:t>468.   Banca calculează, separat pentru fiecare piață, diferența dintre suma pozițiilor nete lungi și suma pozițiilor nete scurte. Suma valorilor absolute ale acestor diferențe reprezintă poziția netă totală a băncii.</w:t>
      </w:r>
    </w:p>
    <w:p w14:paraId="15478E97" w14:textId="77777777" w:rsidR="00394A33" w:rsidRPr="00394A33" w:rsidRDefault="00394A33" w:rsidP="00394A33">
      <w:pPr>
        <w:rPr>
          <w:rFonts w:ascii="Times New Roman" w:hAnsi="Times New Roman" w:cs="Times New Roman"/>
          <w:sz w:val="24"/>
          <w:szCs w:val="24"/>
        </w:rPr>
      </w:pPr>
      <w:r w:rsidRPr="00394A33">
        <w:rPr>
          <w:rFonts w:ascii="Times New Roman" w:hAnsi="Times New Roman" w:cs="Times New Roman"/>
          <w:sz w:val="24"/>
          <w:szCs w:val="24"/>
        </w:rPr>
        <w:t>469. În sensul pct.468 termenul „piață” înseamnă:</w:t>
      </w:r>
    </w:p>
    <w:p w14:paraId="75360201" w14:textId="77777777" w:rsidR="00394A33" w:rsidRPr="00394A33" w:rsidRDefault="00394A33" w:rsidP="00394A33">
      <w:pPr>
        <w:rPr>
          <w:rFonts w:ascii="Times New Roman" w:hAnsi="Times New Roman" w:cs="Times New Roman"/>
          <w:sz w:val="24"/>
          <w:szCs w:val="24"/>
        </w:rPr>
      </w:pPr>
      <w:r w:rsidRPr="00394A33">
        <w:rPr>
          <w:rFonts w:ascii="Times New Roman" w:hAnsi="Times New Roman" w:cs="Times New Roman"/>
          <w:sz w:val="24"/>
          <w:szCs w:val="24"/>
        </w:rPr>
        <w:t>469.1. pentru zona euro, toate titlurile de capital cotate pe piețe bursiere din statele membre ale Uniunii Europene care au adoptat moneda euro ca monedă națională;</w:t>
      </w:r>
    </w:p>
    <w:p w14:paraId="34E6EF34" w14:textId="33F7E7AF" w:rsidR="00FD058B" w:rsidRDefault="00394A33" w:rsidP="00394A33">
      <w:pPr>
        <w:rPr>
          <w:rFonts w:ascii="Times New Roman" w:hAnsi="Times New Roman" w:cs="Times New Roman"/>
          <w:sz w:val="24"/>
          <w:szCs w:val="24"/>
        </w:rPr>
      </w:pPr>
      <w:r w:rsidRPr="00394A33">
        <w:rPr>
          <w:rFonts w:ascii="Times New Roman" w:hAnsi="Times New Roman" w:cs="Times New Roman"/>
          <w:sz w:val="24"/>
          <w:szCs w:val="24"/>
        </w:rPr>
        <w:t>469.2. pentru alte state, toate titlurile de capital cotate pe piețele bursiere din cadrul unei jurisdicții naționale.</w:t>
      </w:r>
    </w:p>
    <w:p w14:paraId="52C267E9" w14:textId="04AFDCD7" w:rsidR="00394A33" w:rsidRPr="00CC1E9B" w:rsidRDefault="00394A33" w:rsidP="00394A33">
      <w:pPr>
        <w:rPr>
          <w:rFonts w:ascii="Times New Roman" w:hAnsi="Times New Roman" w:cs="Times New Roman"/>
          <w:b/>
          <w:bCs/>
          <w:i/>
          <w:iCs/>
          <w:sz w:val="24"/>
          <w:szCs w:val="24"/>
        </w:rPr>
      </w:pPr>
      <w:bookmarkStart w:id="87" w:name="_Hlk195099849"/>
      <w:r w:rsidRPr="00CC1E9B">
        <w:rPr>
          <w:rFonts w:ascii="Times New Roman" w:hAnsi="Times New Roman" w:cs="Times New Roman"/>
          <w:b/>
          <w:bCs/>
          <w:i/>
          <w:iCs/>
          <w:sz w:val="24"/>
          <w:szCs w:val="24"/>
        </w:rPr>
        <w:t>Subsecțiunea 2. Riscul specific al titlurilor de capital</w:t>
      </w:r>
      <w:bookmarkEnd w:id="87"/>
    </w:p>
    <w:p w14:paraId="64F236F9" w14:textId="557DBA4F" w:rsidR="000120B4" w:rsidRDefault="00394A33" w:rsidP="004340D9">
      <w:pPr>
        <w:rPr>
          <w:rFonts w:ascii="Times New Roman" w:hAnsi="Times New Roman" w:cs="Times New Roman"/>
          <w:sz w:val="24"/>
          <w:szCs w:val="24"/>
          <w:lang w:val="it-IT"/>
        </w:rPr>
      </w:pPr>
      <w:r w:rsidRPr="00394A33">
        <w:rPr>
          <w:rFonts w:ascii="Times New Roman" w:hAnsi="Times New Roman" w:cs="Times New Roman"/>
          <w:sz w:val="24"/>
          <w:szCs w:val="24"/>
          <w:lang w:val="it-IT"/>
        </w:rPr>
        <w:t xml:space="preserve">470. Pentru a calcula cerința de fonduri proprii pentru acoperirea riscului specific, banca </w:t>
      </w:r>
      <w:r w:rsidRPr="007049C6">
        <w:rPr>
          <w:rFonts w:ascii="Times New Roman" w:hAnsi="Times New Roman" w:cs="Times New Roman"/>
          <w:sz w:val="24"/>
          <w:szCs w:val="24"/>
          <w:lang w:val="it-IT"/>
        </w:rPr>
        <w:t xml:space="preserve">înmulțește poziția sa brută totală cu </w:t>
      </w:r>
      <w:r w:rsidR="007049C6">
        <w:rPr>
          <w:rFonts w:ascii="Times New Roman" w:hAnsi="Times New Roman" w:cs="Times New Roman"/>
          <w:sz w:val="24"/>
          <w:szCs w:val="24"/>
          <w:lang w:val="it-IT"/>
        </w:rPr>
        <w:t>10</w:t>
      </w:r>
      <w:r w:rsidR="007049C6" w:rsidRPr="007049C6">
        <w:rPr>
          <w:rFonts w:ascii="Times New Roman" w:hAnsi="Times New Roman" w:cs="Times New Roman"/>
          <w:sz w:val="24"/>
          <w:szCs w:val="24"/>
          <w:lang w:val="it-IT"/>
        </w:rPr>
        <w:t> </w:t>
      </w:r>
      <w:r w:rsidRPr="007049C6">
        <w:rPr>
          <w:rFonts w:ascii="Times New Roman" w:hAnsi="Times New Roman" w:cs="Times New Roman"/>
          <w:sz w:val="24"/>
          <w:szCs w:val="24"/>
          <w:lang w:val="it-IT"/>
        </w:rPr>
        <w:t>%.</w:t>
      </w:r>
    </w:p>
    <w:p w14:paraId="4AD23D61" w14:textId="2CDE19CB" w:rsidR="00394A33" w:rsidRPr="00CC1E9B" w:rsidRDefault="00394A33" w:rsidP="004340D9">
      <w:pPr>
        <w:rPr>
          <w:rFonts w:ascii="Times New Roman" w:hAnsi="Times New Roman" w:cs="Times New Roman"/>
          <w:b/>
          <w:bCs/>
          <w:i/>
          <w:iCs/>
          <w:sz w:val="24"/>
          <w:szCs w:val="24"/>
        </w:rPr>
      </w:pPr>
      <w:bookmarkStart w:id="88" w:name="_Hlk195099870"/>
      <w:r w:rsidRPr="00CC1E9B">
        <w:rPr>
          <w:rFonts w:ascii="Times New Roman" w:hAnsi="Times New Roman" w:cs="Times New Roman"/>
          <w:b/>
          <w:bCs/>
          <w:i/>
          <w:iCs/>
          <w:sz w:val="24"/>
          <w:szCs w:val="24"/>
        </w:rPr>
        <w:t>Subsecțiunea 3. Riscul general al titlurilor de capital</w:t>
      </w:r>
      <w:bookmarkEnd w:id="88"/>
    </w:p>
    <w:p w14:paraId="4F77BC2C" w14:textId="53615040" w:rsidR="000120B4" w:rsidRDefault="00394A33" w:rsidP="004340D9">
      <w:pPr>
        <w:rPr>
          <w:rFonts w:ascii="Times New Roman" w:hAnsi="Times New Roman" w:cs="Times New Roman"/>
          <w:sz w:val="24"/>
          <w:szCs w:val="24"/>
        </w:rPr>
      </w:pPr>
      <w:r w:rsidRPr="00394A33">
        <w:rPr>
          <w:rFonts w:ascii="Times New Roman" w:hAnsi="Times New Roman" w:cs="Times New Roman"/>
          <w:sz w:val="24"/>
          <w:szCs w:val="24"/>
          <w:lang w:val="it-IT"/>
        </w:rPr>
        <w:t xml:space="preserve">471. Pentru a calcula cerința de fonduri proprii pentru acoperirea riscului general, banca </w:t>
      </w:r>
      <w:r w:rsidRPr="007049C6">
        <w:rPr>
          <w:rFonts w:ascii="Times New Roman" w:hAnsi="Times New Roman" w:cs="Times New Roman"/>
          <w:sz w:val="24"/>
          <w:szCs w:val="24"/>
          <w:lang w:val="it-IT"/>
        </w:rPr>
        <w:t xml:space="preserve">înmulțește poziția sa netă totală cu </w:t>
      </w:r>
      <w:r w:rsidR="007049C6">
        <w:rPr>
          <w:rFonts w:ascii="Times New Roman" w:hAnsi="Times New Roman" w:cs="Times New Roman"/>
          <w:sz w:val="24"/>
          <w:szCs w:val="24"/>
          <w:lang w:val="it-IT"/>
        </w:rPr>
        <w:t>10</w:t>
      </w:r>
      <w:r w:rsidR="007049C6" w:rsidRPr="007049C6">
        <w:rPr>
          <w:rFonts w:ascii="Times New Roman" w:hAnsi="Times New Roman" w:cs="Times New Roman"/>
          <w:sz w:val="24"/>
          <w:szCs w:val="24"/>
          <w:lang w:val="it-IT"/>
        </w:rPr>
        <w:t> </w:t>
      </w:r>
      <w:r w:rsidRPr="007049C6">
        <w:rPr>
          <w:rFonts w:ascii="Times New Roman" w:hAnsi="Times New Roman" w:cs="Times New Roman"/>
          <w:sz w:val="24"/>
          <w:szCs w:val="24"/>
          <w:lang w:val="it-IT"/>
        </w:rPr>
        <w:t>%.</w:t>
      </w:r>
    </w:p>
    <w:p w14:paraId="659FB8FE" w14:textId="15150582" w:rsidR="000120B4" w:rsidRPr="00CC1E9B" w:rsidRDefault="002971AD" w:rsidP="004340D9">
      <w:pPr>
        <w:rPr>
          <w:rFonts w:ascii="Times New Roman" w:hAnsi="Times New Roman" w:cs="Times New Roman"/>
          <w:b/>
          <w:bCs/>
          <w:i/>
          <w:iCs/>
          <w:sz w:val="24"/>
          <w:szCs w:val="24"/>
        </w:rPr>
      </w:pPr>
      <w:bookmarkStart w:id="89" w:name="_Hlk195099917"/>
      <w:r w:rsidRPr="00CC1E9B">
        <w:rPr>
          <w:rFonts w:ascii="Times New Roman" w:hAnsi="Times New Roman" w:cs="Times New Roman"/>
          <w:b/>
          <w:bCs/>
          <w:i/>
          <w:iCs/>
          <w:sz w:val="24"/>
          <w:szCs w:val="24"/>
        </w:rPr>
        <w:t>Subsecțiunea 4. Indici bursieri</w:t>
      </w:r>
      <w:bookmarkEnd w:id="89"/>
    </w:p>
    <w:p w14:paraId="17C6236D" w14:textId="77777777" w:rsidR="002971AD" w:rsidRPr="002971AD" w:rsidRDefault="002971AD" w:rsidP="002971AD">
      <w:pPr>
        <w:rPr>
          <w:rFonts w:ascii="Times New Roman" w:hAnsi="Times New Roman" w:cs="Times New Roman"/>
          <w:sz w:val="24"/>
          <w:szCs w:val="24"/>
        </w:rPr>
      </w:pPr>
      <w:r w:rsidRPr="002971AD">
        <w:rPr>
          <w:rFonts w:ascii="Times New Roman" w:hAnsi="Times New Roman" w:cs="Times New Roman"/>
          <w:sz w:val="24"/>
          <w:szCs w:val="24"/>
        </w:rPr>
        <w:t>472. Lista indicilor bursieri în scopul prezentei subsecțiuni sunt stabiliți în anexa nr.6.</w:t>
      </w:r>
    </w:p>
    <w:p w14:paraId="49AAB661" w14:textId="15899749" w:rsidR="002971AD" w:rsidRDefault="002971AD" w:rsidP="004340D9">
      <w:pPr>
        <w:rPr>
          <w:rFonts w:ascii="Times New Roman" w:hAnsi="Times New Roman" w:cs="Times New Roman"/>
          <w:sz w:val="24"/>
          <w:szCs w:val="24"/>
        </w:rPr>
      </w:pPr>
      <w:r w:rsidRPr="002971AD">
        <w:rPr>
          <w:rFonts w:ascii="Times New Roman" w:hAnsi="Times New Roman" w:cs="Times New Roman"/>
          <w:sz w:val="24"/>
          <w:szCs w:val="24"/>
        </w:rPr>
        <w:t xml:space="preserve">473.  Contractele </w:t>
      </w:r>
      <w:proofErr w:type="spellStart"/>
      <w:r w:rsidRPr="002971AD">
        <w:rPr>
          <w:rFonts w:ascii="Times New Roman" w:hAnsi="Times New Roman" w:cs="Times New Roman"/>
          <w:sz w:val="24"/>
          <w:szCs w:val="24"/>
        </w:rPr>
        <w:t>futures</w:t>
      </w:r>
      <w:proofErr w:type="spellEnd"/>
      <w:r w:rsidRPr="002971AD">
        <w:rPr>
          <w:rFonts w:ascii="Times New Roman" w:hAnsi="Times New Roman" w:cs="Times New Roman"/>
          <w:sz w:val="24"/>
          <w:szCs w:val="24"/>
        </w:rPr>
        <w:t xml:space="preserve"> pe indici bursieri, echivalentele delta ale opțiunilor pe contractele </w:t>
      </w:r>
      <w:proofErr w:type="spellStart"/>
      <w:r w:rsidRPr="002971AD">
        <w:rPr>
          <w:rFonts w:ascii="Times New Roman" w:hAnsi="Times New Roman" w:cs="Times New Roman"/>
          <w:sz w:val="24"/>
          <w:szCs w:val="24"/>
        </w:rPr>
        <w:t>futures</w:t>
      </w:r>
      <w:proofErr w:type="spellEnd"/>
      <w:r w:rsidRPr="002971AD">
        <w:rPr>
          <w:rFonts w:ascii="Times New Roman" w:hAnsi="Times New Roman" w:cs="Times New Roman"/>
          <w:sz w:val="24"/>
          <w:szCs w:val="24"/>
        </w:rPr>
        <w:t xml:space="preserve"> pe indici bursieri și ale opțiunilor pe indici bursieri, care sunt denumite în continuare, în mod colectiv, „contracte </w:t>
      </w:r>
      <w:proofErr w:type="spellStart"/>
      <w:r w:rsidRPr="002971AD">
        <w:rPr>
          <w:rFonts w:ascii="Times New Roman" w:hAnsi="Times New Roman" w:cs="Times New Roman"/>
          <w:sz w:val="24"/>
          <w:szCs w:val="24"/>
        </w:rPr>
        <w:t>futures</w:t>
      </w:r>
      <w:proofErr w:type="spellEnd"/>
      <w:r w:rsidRPr="002971AD">
        <w:rPr>
          <w:rFonts w:ascii="Times New Roman" w:hAnsi="Times New Roman" w:cs="Times New Roman"/>
          <w:sz w:val="24"/>
          <w:szCs w:val="24"/>
        </w:rPr>
        <w:t xml:space="preserve"> pe indici bursieri”, se pot descompune în poziții pe fiecare dintre titlurile de capital componente. Aceste poziții pot fi tratate ca poziții pe titlurile de capital-suport respective și pot fi compensate cu poziții de semn opus pe înseși titlurile de capital-suport. Băncile notifică BNM cu privire la modul în care utilizează acest tratament.</w:t>
      </w:r>
    </w:p>
    <w:p w14:paraId="026EAB95" w14:textId="143B9C09" w:rsidR="002971AD" w:rsidRDefault="002971AD" w:rsidP="004340D9">
      <w:pPr>
        <w:rPr>
          <w:rFonts w:ascii="Times New Roman" w:hAnsi="Times New Roman" w:cs="Times New Roman"/>
          <w:sz w:val="24"/>
          <w:szCs w:val="24"/>
        </w:rPr>
      </w:pPr>
      <w:r w:rsidRPr="002971AD">
        <w:rPr>
          <w:rFonts w:ascii="Times New Roman" w:hAnsi="Times New Roman" w:cs="Times New Roman"/>
          <w:sz w:val="24"/>
          <w:szCs w:val="24"/>
        </w:rPr>
        <w:t xml:space="preserve">474. În cazul în care un contract </w:t>
      </w:r>
      <w:proofErr w:type="spellStart"/>
      <w:r w:rsidRPr="002971AD">
        <w:rPr>
          <w:rFonts w:ascii="Times New Roman" w:hAnsi="Times New Roman" w:cs="Times New Roman"/>
          <w:sz w:val="24"/>
          <w:szCs w:val="24"/>
        </w:rPr>
        <w:t>futures</w:t>
      </w:r>
      <w:proofErr w:type="spellEnd"/>
      <w:r w:rsidRPr="002971AD">
        <w:rPr>
          <w:rFonts w:ascii="Times New Roman" w:hAnsi="Times New Roman" w:cs="Times New Roman"/>
          <w:sz w:val="24"/>
          <w:szCs w:val="24"/>
        </w:rPr>
        <w:t xml:space="preserve"> pe indice bursier nu este descompus în poziții pe fiecare dintre titlurile de capital componente, acesta se tratează ca și un titlu de capital individual. Cu toate acestea, riscul specific al acestui titlu de capital individual poate fi ignorat dacă respectivul contract </w:t>
      </w:r>
      <w:proofErr w:type="spellStart"/>
      <w:r w:rsidRPr="002971AD">
        <w:rPr>
          <w:rFonts w:ascii="Times New Roman" w:hAnsi="Times New Roman" w:cs="Times New Roman"/>
          <w:sz w:val="24"/>
          <w:szCs w:val="24"/>
        </w:rPr>
        <w:t>futures</w:t>
      </w:r>
      <w:proofErr w:type="spellEnd"/>
      <w:r w:rsidRPr="002971AD">
        <w:rPr>
          <w:rFonts w:ascii="Times New Roman" w:hAnsi="Times New Roman" w:cs="Times New Roman"/>
          <w:sz w:val="24"/>
          <w:szCs w:val="24"/>
        </w:rPr>
        <w:t xml:space="preserve"> pe indice bursier este tranzacționat pe o bursă și reprezintă un indice relevant cu o diversificare corespunzătoare.</w:t>
      </w:r>
    </w:p>
    <w:p w14:paraId="12599640" w14:textId="10670BF9" w:rsidR="00441E84" w:rsidRDefault="005903FB" w:rsidP="005903FB">
      <w:pPr>
        <w:rPr>
          <w:rFonts w:ascii="Times New Roman" w:hAnsi="Times New Roman" w:cs="Times New Roman"/>
          <w:sz w:val="24"/>
          <w:szCs w:val="24"/>
        </w:rPr>
      </w:pPr>
      <w:bookmarkStart w:id="90" w:name="_Hlk195099944"/>
      <w:r w:rsidRPr="005903FB">
        <w:rPr>
          <w:rFonts w:ascii="Times New Roman" w:hAnsi="Times New Roman" w:cs="Times New Roman"/>
          <w:b/>
          <w:bCs/>
          <w:sz w:val="24"/>
          <w:szCs w:val="24"/>
        </w:rPr>
        <w:t>Secțiunea 4</w:t>
      </w:r>
      <w:r>
        <w:rPr>
          <w:rFonts w:ascii="Times New Roman" w:hAnsi="Times New Roman" w:cs="Times New Roman"/>
          <w:b/>
          <w:bCs/>
          <w:sz w:val="24"/>
          <w:szCs w:val="24"/>
        </w:rPr>
        <w:t xml:space="preserve">. </w:t>
      </w:r>
      <w:r w:rsidRPr="005903FB">
        <w:rPr>
          <w:rFonts w:ascii="Times New Roman" w:hAnsi="Times New Roman" w:cs="Times New Roman"/>
          <w:b/>
          <w:bCs/>
          <w:sz w:val="24"/>
          <w:szCs w:val="24"/>
        </w:rPr>
        <w:t>Angajamente de preluare fermă (</w:t>
      </w:r>
      <w:proofErr w:type="spellStart"/>
      <w:r w:rsidRPr="005903FB">
        <w:rPr>
          <w:rFonts w:ascii="Times New Roman" w:hAnsi="Times New Roman" w:cs="Times New Roman"/>
          <w:b/>
          <w:bCs/>
          <w:sz w:val="24"/>
          <w:szCs w:val="24"/>
        </w:rPr>
        <w:t>underwriting</w:t>
      </w:r>
      <w:proofErr w:type="spellEnd"/>
      <w:r w:rsidRPr="005903FB">
        <w:rPr>
          <w:rFonts w:ascii="Times New Roman" w:hAnsi="Times New Roman" w:cs="Times New Roman"/>
          <w:b/>
          <w:bCs/>
          <w:sz w:val="24"/>
          <w:szCs w:val="24"/>
        </w:rPr>
        <w:t>)</w:t>
      </w:r>
      <w:r>
        <w:rPr>
          <w:rFonts w:ascii="Times New Roman" w:hAnsi="Times New Roman" w:cs="Times New Roman"/>
          <w:b/>
          <w:bCs/>
          <w:sz w:val="24"/>
          <w:szCs w:val="24"/>
        </w:rPr>
        <w:t xml:space="preserve"> ș</w:t>
      </w:r>
      <w:r w:rsidRPr="005903FB">
        <w:rPr>
          <w:rFonts w:ascii="Times New Roman" w:hAnsi="Times New Roman" w:cs="Times New Roman"/>
          <w:b/>
          <w:bCs/>
          <w:sz w:val="24"/>
          <w:szCs w:val="24"/>
        </w:rPr>
        <w:t>i reducerea pozițiilor nete</w:t>
      </w:r>
      <w:bookmarkEnd w:id="90"/>
    </w:p>
    <w:p w14:paraId="3AD03691"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 xml:space="preserve">475.   În cazul angajamentelor de preluare fermă de titluri de datorie și de capital, o bancă poate utiliza procedura ce urmează la calcularea cerințelor de fonduri proprii. În primul rând, banca calculează pozițiile nete prin deducerea pozițiilor aferente angajamentelor de preluare fermă care sunt subscrise sau </w:t>
      </w:r>
      <w:proofErr w:type="spellStart"/>
      <w:r w:rsidRPr="005903FB">
        <w:rPr>
          <w:rFonts w:ascii="Times New Roman" w:hAnsi="Times New Roman" w:cs="Times New Roman"/>
          <w:sz w:val="24"/>
          <w:szCs w:val="24"/>
        </w:rPr>
        <w:t>subangajate</w:t>
      </w:r>
      <w:proofErr w:type="spellEnd"/>
      <w:r w:rsidRPr="005903FB">
        <w:rPr>
          <w:rFonts w:ascii="Times New Roman" w:hAnsi="Times New Roman" w:cs="Times New Roman"/>
          <w:sz w:val="24"/>
          <w:szCs w:val="24"/>
        </w:rPr>
        <w:t xml:space="preserve"> de către terțe părți, pe baza unor înțelegeri formale. Banca reduce apoi pozițiile nete cu factorii de reducere prevăzuți în tabelul 4 și calculează cerințele de fonduri proprii utilizând pozițiile reduse aferente angajamentelor de preluare fermă.</w:t>
      </w:r>
    </w:p>
    <w:p w14:paraId="60CA2301" w14:textId="77777777" w:rsidR="005903FB" w:rsidRPr="00CC1E9B" w:rsidRDefault="005903FB" w:rsidP="00CC1E9B">
      <w:pPr>
        <w:rPr>
          <w:rFonts w:ascii="Times New Roman" w:hAnsi="Times New Roman" w:cs="Times New Roman"/>
          <w:b/>
          <w:bCs/>
          <w:i/>
          <w:iCs/>
          <w:sz w:val="24"/>
          <w:szCs w:val="24"/>
        </w:rPr>
      </w:pPr>
      <w:r w:rsidRPr="00CC1E9B">
        <w:rPr>
          <w:rFonts w:ascii="Times New Roman" w:hAnsi="Times New Roman" w:cs="Times New Roman"/>
          <w:b/>
          <w:bCs/>
          <w:i/>
          <w:iCs/>
          <w:sz w:val="24"/>
          <w:szCs w:val="24"/>
        </w:rPr>
        <w:t>Tabelul 4</w:t>
      </w: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798"/>
        <w:gridCol w:w="802"/>
      </w:tblGrid>
      <w:tr w:rsidR="005903FB" w:rsidRPr="005903FB" w14:paraId="59AE7E34" w14:textId="77777777" w:rsidTr="00C15AE1">
        <w:trPr>
          <w:jc w:val="center"/>
        </w:trPr>
        <w:tc>
          <w:tcPr>
            <w:tcW w:w="27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ADBE65"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lastRenderedPageBreak/>
              <w:t>ziua lucrătoare 0:</w:t>
            </w:r>
          </w:p>
        </w:tc>
        <w:tc>
          <w:tcPr>
            <w:tcW w:w="8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6E0B26"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100 %</w:t>
            </w:r>
          </w:p>
        </w:tc>
      </w:tr>
      <w:tr w:rsidR="005903FB" w:rsidRPr="005903FB" w14:paraId="5169D72A" w14:textId="77777777" w:rsidTr="00C15AE1">
        <w:trPr>
          <w:jc w:val="center"/>
        </w:trPr>
        <w:tc>
          <w:tcPr>
            <w:tcW w:w="27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2C8316"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ziua lucrătoare 1:</w:t>
            </w:r>
          </w:p>
        </w:tc>
        <w:tc>
          <w:tcPr>
            <w:tcW w:w="8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AD8F93"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90 %</w:t>
            </w:r>
          </w:p>
        </w:tc>
      </w:tr>
      <w:tr w:rsidR="005903FB" w:rsidRPr="005903FB" w14:paraId="72C908B7" w14:textId="77777777" w:rsidTr="00C15AE1">
        <w:trPr>
          <w:jc w:val="center"/>
        </w:trPr>
        <w:tc>
          <w:tcPr>
            <w:tcW w:w="27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703B26"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zilele lucrătoare 2-3:</w:t>
            </w:r>
          </w:p>
        </w:tc>
        <w:tc>
          <w:tcPr>
            <w:tcW w:w="8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9A194A"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75 %</w:t>
            </w:r>
          </w:p>
        </w:tc>
      </w:tr>
      <w:tr w:rsidR="005903FB" w:rsidRPr="005903FB" w14:paraId="08002812" w14:textId="77777777" w:rsidTr="00C15AE1">
        <w:trPr>
          <w:jc w:val="center"/>
        </w:trPr>
        <w:tc>
          <w:tcPr>
            <w:tcW w:w="27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6056B5"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ziua lucrătoare 4:</w:t>
            </w:r>
          </w:p>
        </w:tc>
        <w:tc>
          <w:tcPr>
            <w:tcW w:w="8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EB2BE7"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50 %</w:t>
            </w:r>
          </w:p>
        </w:tc>
      </w:tr>
      <w:tr w:rsidR="005903FB" w:rsidRPr="005903FB" w14:paraId="40447003" w14:textId="77777777" w:rsidTr="00C15AE1">
        <w:trPr>
          <w:jc w:val="center"/>
        </w:trPr>
        <w:tc>
          <w:tcPr>
            <w:tcW w:w="27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0DE46D"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ziua lucrătoare 5:</w:t>
            </w:r>
          </w:p>
        </w:tc>
        <w:tc>
          <w:tcPr>
            <w:tcW w:w="8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00F1AD"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25 %</w:t>
            </w:r>
          </w:p>
        </w:tc>
      </w:tr>
      <w:tr w:rsidR="005903FB" w:rsidRPr="005903FB" w14:paraId="7FE93492" w14:textId="77777777" w:rsidTr="00C15AE1">
        <w:trPr>
          <w:jc w:val="center"/>
        </w:trPr>
        <w:tc>
          <w:tcPr>
            <w:tcW w:w="279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89E7CD"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după ziua lucrătoare 5:</w:t>
            </w:r>
          </w:p>
        </w:tc>
        <w:tc>
          <w:tcPr>
            <w:tcW w:w="80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8E6C9A"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0 %.</w:t>
            </w:r>
          </w:p>
        </w:tc>
      </w:tr>
    </w:tbl>
    <w:p w14:paraId="37217B71" w14:textId="3092C325" w:rsidR="00441E84" w:rsidRDefault="005903FB" w:rsidP="004340D9">
      <w:pPr>
        <w:rPr>
          <w:rFonts w:ascii="Times New Roman" w:hAnsi="Times New Roman" w:cs="Times New Roman"/>
          <w:sz w:val="24"/>
          <w:szCs w:val="24"/>
        </w:rPr>
      </w:pPr>
      <w:r w:rsidRPr="005903FB">
        <w:rPr>
          <w:rFonts w:ascii="Times New Roman" w:hAnsi="Times New Roman" w:cs="Times New Roman"/>
          <w:sz w:val="24"/>
          <w:szCs w:val="24"/>
        </w:rPr>
        <w:t>476. „Ziua lucrătoare zero” este ziua lucrătoare în care banca devine necondiționat angajată în acceptarea unei cantități cunoscute de titluri la un preț convenit.</w:t>
      </w:r>
    </w:p>
    <w:p w14:paraId="0BEEBD46" w14:textId="60DFEB96" w:rsidR="005903FB" w:rsidRDefault="005903FB" w:rsidP="004340D9">
      <w:pPr>
        <w:rPr>
          <w:rFonts w:ascii="Times New Roman" w:hAnsi="Times New Roman" w:cs="Times New Roman"/>
          <w:sz w:val="24"/>
          <w:szCs w:val="24"/>
        </w:rPr>
      </w:pPr>
      <w:r w:rsidRPr="005903FB">
        <w:rPr>
          <w:rFonts w:ascii="Times New Roman" w:hAnsi="Times New Roman" w:cs="Times New Roman"/>
          <w:sz w:val="24"/>
          <w:szCs w:val="24"/>
        </w:rPr>
        <w:t>477.   Băncile notifică BNM cu privire la modul în care aplică pct.475-476.</w:t>
      </w:r>
    </w:p>
    <w:p w14:paraId="301BD535" w14:textId="4682C868" w:rsidR="005903FB" w:rsidRPr="005903FB" w:rsidRDefault="005903FB" w:rsidP="005903FB">
      <w:pPr>
        <w:rPr>
          <w:rFonts w:ascii="Times New Roman" w:hAnsi="Times New Roman" w:cs="Times New Roman"/>
          <w:b/>
          <w:bCs/>
          <w:sz w:val="24"/>
          <w:szCs w:val="24"/>
        </w:rPr>
      </w:pPr>
      <w:bookmarkStart w:id="91" w:name="_Hlk195099980"/>
      <w:r w:rsidRPr="005903FB">
        <w:rPr>
          <w:rFonts w:ascii="Times New Roman" w:hAnsi="Times New Roman" w:cs="Times New Roman"/>
          <w:b/>
          <w:bCs/>
          <w:sz w:val="24"/>
          <w:szCs w:val="24"/>
        </w:rPr>
        <w:t>Secțiunea 5</w:t>
      </w:r>
      <w:r>
        <w:rPr>
          <w:rFonts w:ascii="Times New Roman" w:hAnsi="Times New Roman" w:cs="Times New Roman"/>
          <w:b/>
          <w:bCs/>
          <w:sz w:val="24"/>
          <w:szCs w:val="24"/>
        </w:rPr>
        <w:t xml:space="preserve">. </w:t>
      </w:r>
      <w:r w:rsidRPr="005903FB">
        <w:rPr>
          <w:rFonts w:ascii="Times New Roman" w:hAnsi="Times New Roman" w:cs="Times New Roman"/>
          <w:b/>
          <w:bCs/>
          <w:sz w:val="24"/>
          <w:szCs w:val="24"/>
        </w:rPr>
        <w:t>Cerințe de fonduri proprii pentru riscul specific aferent pozițiilor acoperite prin instrumente financiare derivate de credit</w:t>
      </w:r>
    </w:p>
    <w:p w14:paraId="12C8F2E7" w14:textId="224F23FC" w:rsidR="005903FB" w:rsidRPr="00CC1E9B" w:rsidRDefault="005903FB" w:rsidP="005903FB">
      <w:pPr>
        <w:rPr>
          <w:rFonts w:ascii="Times New Roman" w:hAnsi="Times New Roman" w:cs="Times New Roman"/>
          <w:b/>
          <w:bCs/>
          <w:i/>
          <w:iCs/>
          <w:sz w:val="24"/>
          <w:szCs w:val="24"/>
        </w:rPr>
      </w:pPr>
      <w:r w:rsidRPr="00CC1E9B">
        <w:rPr>
          <w:rFonts w:ascii="Times New Roman" w:hAnsi="Times New Roman" w:cs="Times New Roman"/>
          <w:b/>
          <w:bCs/>
          <w:i/>
          <w:iCs/>
          <w:sz w:val="24"/>
          <w:szCs w:val="24"/>
        </w:rPr>
        <w:t>Subsecțiunea 1. Recunoașterea acoperirilor prin instrumente financiare derivate de credit</w:t>
      </w:r>
      <w:bookmarkEnd w:id="91"/>
    </w:p>
    <w:p w14:paraId="25B823CA" w14:textId="4CEB96A3" w:rsidR="00441E84" w:rsidRDefault="005903FB" w:rsidP="004340D9">
      <w:pPr>
        <w:rPr>
          <w:rFonts w:ascii="Times New Roman" w:hAnsi="Times New Roman" w:cs="Times New Roman"/>
          <w:sz w:val="24"/>
          <w:szCs w:val="24"/>
        </w:rPr>
      </w:pPr>
      <w:r w:rsidRPr="005903FB">
        <w:rPr>
          <w:rFonts w:ascii="Times New Roman" w:hAnsi="Times New Roman" w:cs="Times New Roman"/>
          <w:sz w:val="24"/>
          <w:szCs w:val="24"/>
        </w:rPr>
        <w:t>478. Se recunosc acoperirile prin instrumente financiare derivate de credit, în conformitate cu principiile stabilite la pct.479-485.</w:t>
      </w:r>
    </w:p>
    <w:p w14:paraId="045FFC9D" w14:textId="3FFA9E4F" w:rsidR="005903FB" w:rsidRDefault="005903FB" w:rsidP="004340D9">
      <w:pPr>
        <w:rPr>
          <w:rFonts w:ascii="Times New Roman" w:hAnsi="Times New Roman" w:cs="Times New Roman"/>
          <w:sz w:val="24"/>
          <w:szCs w:val="24"/>
        </w:rPr>
      </w:pPr>
      <w:r w:rsidRPr="005903FB">
        <w:rPr>
          <w:rFonts w:ascii="Times New Roman" w:hAnsi="Times New Roman" w:cs="Times New Roman"/>
          <w:sz w:val="24"/>
          <w:szCs w:val="24"/>
        </w:rPr>
        <w:t>479.  Băncile tratează poziția pe instrumentul financiar derivat de credit ca fiind un „segment” și poziția acoperită care are același cuantum nominal sau, după caz, cuantumul noțional, ca celălalt „segment”.</w:t>
      </w:r>
    </w:p>
    <w:p w14:paraId="49356AAC"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480.   Se realizează o recunoaștere integrală atunci când valoarea celor două segmente evoluează întotdeauna în direcții opuse și aproximativ în aceeași măsură. Acest lucru se întâmplă în următoarele situații:</w:t>
      </w:r>
    </w:p>
    <w:p w14:paraId="214A1ECE"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480.1. cele două segmente sunt constituite din instrumente complet identice;</w:t>
      </w:r>
    </w:p>
    <w:p w14:paraId="338C81E7"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480.2. o poziție lungă cash este acoperită printr-un instrument de tip „</w:t>
      </w:r>
      <w:r w:rsidRPr="005903FB">
        <w:rPr>
          <w:rFonts w:ascii="Times New Roman" w:hAnsi="Times New Roman" w:cs="Times New Roman"/>
          <w:i/>
          <w:iCs/>
          <w:sz w:val="24"/>
          <w:szCs w:val="24"/>
        </w:rPr>
        <w:t xml:space="preserve">total rate of </w:t>
      </w:r>
      <w:proofErr w:type="spellStart"/>
      <w:r w:rsidRPr="005903FB">
        <w:rPr>
          <w:rFonts w:ascii="Times New Roman" w:hAnsi="Times New Roman" w:cs="Times New Roman"/>
          <w:i/>
          <w:iCs/>
          <w:sz w:val="24"/>
          <w:szCs w:val="24"/>
        </w:rPr>
        <w:t>return</w:t>
      </w:r>
      <w:proofErr w:type="spellEnd"/>
      <w:r w:rsidRPr="005903FB">
        <w:rPr>
          <w:rFonts w:ascii="Times New Roman" w:hAnsi="Times New Roman" w:cs="Times New Roman"/>
          <w:i/>
          <w:iCs/>
          <w:sz w:val="24"/>
          <w:szCs w:val="24"/>
        </w:rPr>
        <w:t xml:space="preserve"> </w:t>
      </w:r>
      <w:proofErr w:type="spellStart"/>
      <w:r w:rsidRPr="005903FB">
        <w:rPr>
          <w:rFonts w:ascii="Times New Roman" w:hAnsi="Times New Roman" w:cs="Times New Roman"/>
          <w:i/>
          <w:iCs/>
          <w:sz w:val="24"/>
          <w:szCs w:val="24"/>
        </w:rPr>
        <w:t>swap</w:t>
      </w:r>
      <w:proofErr w:type="spellEnd"/>
      <w:r w:rsidRPr="005903FB">
        <w:rPr>
          <w:rFonts w:ascii="Times New Roman" w:hAnsi="Times New Roman" w:cs="Times New Roman"/>
          <w:sz w:val="24"/>
          <w:szCs w:val="24"/>
        </w:rPr>
        <w:t xml:space="preserve">” (sau invers) și există o corespondență perfectă între obligația de referință și expunerea-suport (respectiv poziția cash). Scadența </w:t>
      </w:r>
      <w:proofErr w:type="spellStart"/>
      <w:r w:rsidRPr="005903FB">
        <w:rPr>
          <w:rFonts w:ascii="Times New Roman" w:hAnsi="Times New Roman" w:cs="Times New Roman"/>
          <w:sz w:val="24"/>
          <w:szCs w:val="24"/>
        </w:rPr>
        <w:t>swapului</w:t>
      </w:r>
      <w:proofErr w:type="spellEnd"/>
      <w:r w:rsidRPr="005903FB">
        <w:rPr>
          <w:rFonts w:ascii="Times New Roman" w:hAnsi="Times New Roman" w:cs="Times New Roman"/>
          <w:sz w:val="24"/>
          <w:szCs w:val="24"/>
        </w:rPr>
        <w:t xml:space="preserve"> însuși poate fi diferită față de cea a expunerii-suport.</w:t>
      </w:r>
    </w:p>
    <w:p w14:paraId="681C3A63" w14:textId="3060562F" w:rsid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481. În aceste situații, niciunul dintre cele două segmente ale poziției nu este supus cerințelor de fonduri proprii pentru riscul specific.</w:t>
      </w:r>
    </w:p>
    <w:p w14:paraId="0820EFCB" w14:textId="0E280DC2" w:rsidR="00441E84" w:rsidRDefault="005903FB" w:rsidP="004340D9">
      <w:pPr>
        <w:rPr>
          <w:rFonts w:ascii="Times New Roman" w:hAnsi="Times New Roman" w:cs="Times New Roman"/>
          <w:sz w:val="24"/>
          <w:szCs w:val="24"/>
        </w:rPr>
      </w:pPr>
      <w:r w:rsidRPr="005903FB">
        <w:rPr>
          <w:rFonts w:ascii="Times New Roman" w:hAnsi="Times New Roman" w:cs="Times New Roman"/>
          <w:sz w:val="24"/>
          <w:szCs w:val="24"/>
        </w:rPr>
        <w:t>482.  Se aplică o compensare de 80 % atunci când valorile celor două segmente evoluează întotdeauna în direcții opuse și când există o corespondență perfectă în ceea ce privește obligația de referință, în ceea ce privește scadența obligației de referință și cea a instrumentului financiar derivat de credit, precum și în ceea ce privește moneda expunerii-suport. În plus, caracteristicile principale ale instrumentului financiar derivat de credit, prevăzute în contract, nu fac ca modificarea de preț a instrumentului financiar derivat de credit să devieze semnificativ de la modificările de preț ale poziției cash. În măsura în care prin intermediul tranzacției se transferă risc, se aplică o compensare de 80 % a riscului specific pentru segmentul din tranzacție cu cerința de fonduri proprii mai mare, în timp ce cerințele pentru riscul specific aferente celuilalt segment sunt zero.</w:t>
      </w:r>
    </w:p>
    <w:p w14:paraId="66649434"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483.   În alte situații în afară de cele menționate la pct.480-482, se realizează o recunoaștere parțială în următoarele situații:</w:t>
      </w:r>
    </w:p>
    <w:p w14:paraId="3B968D12"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483.1. poziția corespunde cazului descris la subpct.480.2, dar există neconcordanță între active, respectiv între obligația de referință și expunerea-suport. În această situație, pozițiile trebuie să îndeplinească și următoarele cerințe:</w:t>
      </w:r>
    </w:p>
    <w:p w14:paraId="19AEC0E3"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lastRenderedPageBreak/>
        <w:t>483.1.1. obligația de referință are rang egal sau inferior obligației-suport;</w:t>
      </w:r>
    </w:p>
    <w:p w14:paraId="602A73AB"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483.1.2. obligația-suport și obligația de referință au același debitor și au clauze de tipul „</w:t>
      </w:r>
      <w:proofErr w:type="spellStart"/>
      <w:r w:rsidRPr="005903FB">
        <w:rPr>
          <w:rFonts w:ascii="Times New Roman" w:hAnsi="Times New Roman" w:cs="Times New Roman"/>
          <w:i/>
          <w:iCs/>
          <w:sz w:val="24"/>
          <w:szCs w:val="24"/>
        </w:rPr>
        <w:t>cross-default</w:t>
      </w:r>
      <w:proofErr w:type="spellEnd"/>
      <w:r w:rsidRPr="005903FB">
        <w:rPr>
          <w:rFonts w:ascii="Times New Roman" w:hAnsi="Times New Roman" w:cs="Times New Roman"/>
          <w:sz w:val="24"/>
          <w:szCs w:val="24"/>
        </w:rPr>
        <w:t>” sau „</w:t>
      </w:r>
      <w:proofErr w:type="spellStart"/>
      <w:r w:rsidRPr="005903FB">
        <w:rPr>
          <w:rFonts w:ascii="Times New Roman" w:hAnsi="Times New Roman" w:cs="Times New Roman"/>
          <w:i/>
          <w:iCs/>
          <w:sz w:val="24"/>
          <w:szCs w:val="24"/>
        </w:rPr>
        <w:t>cross-acceleration</w:t>
      </w:r>
      <w:proofErr w:type="spellEnd"/>
      <w:r w:rsidRPr="005903FB">
        <w:rPr>
          <w:rFonts w:ascii="Times New Roman" w:hAnsi="Times New Roman" w:cs="Times New Roman"/>
          <w:sz w:val="24"/>
          <w:szCs w:val="24"/>
        </w:rPr>
        <w:t>” cu caracter executoriu din punct de vedere legal;</w:t>
      </w:r>
    </w:p>
    <w:p w14:paraId="57A45198"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483.2. poziția corespunde cazului descris la subpct.480.1 sau pct.482, dar, în ceea ce privește moneda sau scadența, există neconcordanță între protecția de credit și activul-suport. Neconcordanțele în ceea ce privește moneda se includ în cerința de fonduri proprii pentru riscul valutar;</w:t>
      </w:r>
    </w:p>
    <w:p w14:paraId="55DB1254"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483.3. poziția corespunde cazului descris la pct.482 dar, în ceea ce privește activele, există neconcordanță între poziția cash și instrumentul financiar derivat de credit. Totuși, activul-suport este inclus în obligațiile (de livrare), în cadrul documentației instrumentului financiar derivat de credit.</w:t>
      </w:r>
    </w:p>
    <w:p w14:paraId="60E5AE82" w14:textId="505AFFC0" w:rsid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484. Pentru a realiza o recunoaștere parțială, în loc de a se însuma cerințele de fonduri proprii pentru riscul specific, aferente fiecărui segment al tranzacției, se aplică doar cea mai mare dintre cele două cerințe de fonduri proprii.</w:t>
      </w:r>
    </w:p>
    <w:p w14:paraId="77AE75C4" w14:textId="1798322F" w:rsid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485.   În toate situațiile care nu intră sub incidența</w:t>
      </w:r>
      <w:r w:rsidR="00916738">
        <w:rPr>
          <w:rFonts w:ascii="Times New Roman" w:hAnsi="Times New Roman" w:cs="Times New Roman"/>
          <w:sz w:val="24"/>
          <w:szCs w:val="24"/>
        </w:rPr>
        <w:t xml:space="preserve"> </w:t>
      </w:r>
      <w:r w:rsidRPr="005903FB">
        <w:rPr>
          <w:rFonts w:ascii="Times New Roman" w:hAnsi="Times New Roman" w:cs="Times New Roman"/>
          <w:sz w:val="24"/>
          <w:szCs w:val="24"/>
        </w:rPr>
        <w:t>pct.480-484, se calculează separat câte o cerință de fonduri proprii pentru riscul specific aferentă fiecărui segment al pozițiilor.</w:t>
      </w:r>
    </w:p>
    <w:p w14:paraId="44B9AB35" w14:textId="06F4F727" w:rsidR="005903FB" w:rsidRPr="00CC1E9B" w:rsidRDefault="005903FB" w:rsidP="005903FB">
      <w:pPr>
        <w:rPr>
          <w:rFonts w:ascii="Times New Roman" w:hAnsi="Times New Roman" w:cs="Times New Roman"/>
          <w:b/>
          <w:bCs/>
          <w:i/>
          <w:iCs/>
          <w:sz w:val="24"/>
          <w:szCs w:val="24"/>
        </w:rPr>
      </w:pPr>
      <w:bookmarkStart w:id="92" w:name="_Hlk195100017"/>
      <w:r w:rsidRPr="00CC1E9B">
        <w:rPr>
          <w:rFonts w:ascii="Times New Roman" w:hAnsi="Times New Roman" w:cs="Times New Roman"/>
          <w:b/>
          <w:bCs/>
          <w:i/>
          <w:iCs/>
          <w:sz w:val="24"/>
          <w:szCs w:val="24"/>
        </w:rPr>
        <w:t>Subsecțiunea 2. Recunoașterea acoperirilor prin instrumente financiare derivate de credit de tipul „</w:t>
      </w:r>
      <w:proofErr w:type="spellStart"/>
      <w:r w:rsidRPr="00CC1E9B">
        <w:rPr>
          <w:rFonts w:ascii="Times New Roman" w:hAnsi="Times New Roman" w:cs="Times New Roman"/>
          <w:b/>
          <w:bCs/>
          <w:i/>
          <w:iCs/>
          <w:sz w:val="24"/>
          <w:szCs w:val="24"/>
        </w:rPr>
        <w:t>first</w:t>
      </w:r>
      <w:proofErr w:type="spellEnd"/>
      <w:r w:rsidRPr="00CC1E9B">
        <w:rPr>
          <w:rFonts w:ascii="Times New Roman" w:hAnsi="Times New Roman" w:cs="Times New Roman"/>
          <w:b/>
          <w:bCs/>
          <w:i/>
          <w:iCs/>
          <w:sz w:val="24"/>
          <w:szCs w:val="24"/>
        </w:rPr>
        <w:t xml:space="preserve"> </w:t>
      </w:r>
      <w:proofErr w:type="spellStart"/>
      <w:r w:rsidRPr="00CC1E9B">
        <w:rPr>
          <w:rFonts w:ascii="Times New Roman" w:hAnsi="Times New Roman" w:cs="Times New Roman"/>
          <w:b/>
          <w:bCs/>
          <w:i/>
          <w:iCs/>
          <w:sz w:val="24"/>
          <w:szCs w:val="24"/>
        </w:rPr>
        <w:t>to</w:t>
      </w:r>
      <w:proofErr w:type="spellEnd"/>
      <w:r w:rsidRPr="00CC1E9B">
        <w:rPr>
          <w:rFonts w:ascii="Times New Roman" w:hAnsi="Times New Roman" w:cs="Times New Roman"/>
          <w:b/>
          <w:bCs/>
          <w:i/>
          <w:iCs/>
          <w:sz w:val="24"/>
          <w:szCs w:val="24"/>
        </w:rPr>
        <w:t xml:space="preserve"> </w:t>
      </w:r>
      <w:proofErr w:type="spellStart"/>
      <w:r w:rsidRPr="00CC1E9B">
        <w:rPr>
          <w:rFonts w:ascii="Times New Roman" w:hAnsi="Times New Roman" w:cs="Times New Roman"/>
          <w:b/>
          <w:bCs/>
          <w:i/>
          <w:iCs/>
          <w:sz w:val="24"/>
          <w:szCs w:val="24"/>
        </w:rPr>
        <w:t>default</w:t>
      </w:r>
      <w:proofErr w:type="spellEnd"/>
      <w:r w:rsidRPr="00CC1E9B">
        <w:rPr>
          <w:rFonts w:ascii="Times New Roman" w:hAnsi="Times New Roman" w:cs="Times New Roman"/>
          <w:b/>
          <w:bCs/>
          <w:i/>
          <w:iCs/>
          <w:sz w:val="24"/>
          <w:szCs w:val="24"/>
        </w:rPr>
        <w:t>” și „n-</w:t>
      </w:r>
      <w:proofErr w:type="spellStart"/>
      <w:r w:rsidRPr="00CC1E9B">
        <w:rPr>
          <w:rFonts w:ascii="Times New Roman" w:hAnsi="Times New Roman" w:cs="Times New Roman"/>
          <w:b/>
          <w:bCs/>
          <w:i/>
          <w:iCs/>
          <w:sz w:val="24"/>
          <w:szCs w:val="24"/>
        </w:rPr>
        <w:t>th</w:t>
      </w:r>
      <w:proofErr w:type="spellEnd"/>
      <w:r w:rsidRPr="00CC1E9B">
        <w:rPr>
          <w:rFonts w:ascii="Times New Roman" w:hAnsi="Times New Roman" w:cs="Times New Roman"/>
          <w:b/>
          <w:bCs/>
          <w:i/>
          <w:iCs/>
          <w:sz w:val="24"/>
          <w:szCs w:val="24"/>
        </w:rPr>
        <w:t>-</w:t>
      </w:r>
      <w:proofErr w:type="spellStart"/>
      <w:r w:rsidRPr="00CC1E9B">
        <w:rPr>
          <w:rFonts w:ascii="Times New Roman" w:hAnsi="Times New Roman" w:cs="Times New Roman"/>
          <w:b/>
          <w:bCs/>
          <w:i/>
          <w:iCs/>
          <w:sz w:val="24"/>
          <w:szCs w:val="24"/>
        </w:rPr>
        <w:t>to</w:t>
      </w:r>
      <w:proofErr w:type="spellEnd"/>
      <w:r w:rsidRPr="00CC1E9B">
        <w:rPr>
          <w:rFonts w:ascii="Times New Roman" w:hAnsi="Times New Roman" w:cs="Times New Roman"/>
          <w:b/>
          <w:bCs/>
          <w:i/>
          <w:iCs/>
          <w:sz w:val="24"/>
          <w:szCs w:val="24"/>
        </w:rPr>
        <w:t xml:space="preserve"> </w:t>
      </w:r>
      <w:proofErr w:type="spellStart"/>
      <w:r w:rsidRPr="00CC1E9B">
        <w:rPr>
          <w:rFonts w:ascii="Times New Roman" w:hAnsi="Times New Roman" w:cs="Times New Roman"/>
          <w:b/>
          <w:bCs/>
          <w:i/>
          <w:iCs/>
          <w:sz w:val="24"/>
          <w:szCs w:val="24"/>
        </w:rPr>
        <w:t>default</w:t>
      </w:r>
      <w:proofErr w:type="spellEnd"/>
      <w:r w:rsidRPr="00CC1E9B">
        <w:rPr>
          <w:rFonts w:ascii="Times New Roman" w:hAnsi="Times New Roman" w:cs="Times New Roman"/>
          <w:b/>
          <w:bCs/>
          <w:i/>
          <w:iCs/>
          <w:sz w:val="24"/>
          <w:szCs w:val="24"/>
        </w:rPr>
        <w:t>”</w:t>
      </w:r>
      <w:bookmarkEnd w:id="92"/>
    </w:p>
    <w:p w14:paraId="1014C13D"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486. În cazul instrumentelor financiare derivate de credit de tipul „ </w:t>
      </w:r>
      <w:proofErr w:type="spellStart"/>
      <w:r w:rsidRPr="005903FB">
        <w:rPr>
          <w:rFonts w:ascii="Times New Roman" w:hAnsi="Times New Roman" w:cs="Times New Roman"/>
          <w:i/>
          <w:iCs/>
          <w:sz w:val="24"/>
          <w:szCs w:val="24"/>
        </w:rPr>
        <w:t>first-to-default</w:t>
      </w:r>
      <w:proofErr w:type="spellEnd"/>
      <w:r w:rsidRPr="005903FB">
        <w:rPr>
          <w:rFonts w:ascii="Times New Roman" w:hAnsi="Times New Roman" w:cs="Times New Roman"/>
          <w:sz w:val="24"/>
          <w:szCs w:val="24"/>
        </w:rPr>
        <w:t> ” și de tipul „ </w:t>
      </w:r>
      <w:proofErr w:type="spellStart"/>
      <w:r w:rsidRPr="005903FB">
        <w:rPr>
          <w:rFonts w:ascii="Times New Roman" w:hAnsi="Times New Roman" w:cs="Times New Roman"/>
          <w:i/>
          <w:iCs/>
          <w:sz w:val="24"/>
          <w:szCs w:val="24"/>
        </w:rPr>
        <w:t>nth-to-default</w:t>
      </w:r>
      <w:proofErr w:type="spellEnd"/>
      <w:r w:rsidRPr="005903FB">
        <w:rPr>
          <w:rFonts w:ascii="Times New Roman" w:hAnsi="Times New Roman" w:cs="Times New Roman"/>
          <w:sz w:val="24"/>
          <w:szCs w:val="24"/>
        </w:rPr>
        <w:t> ”, pentru realizarea recunoașterii conform subsecțiunii 1 se aplică următorul tratament:</w:t>
      </w:r>
    </w:p>
    <w:p w14:paraId="0745E9ED" w14:textId="77777777"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486.1. atunci când o bancă obține o protecție a creditului pentru o serie de entități de referință-suport pentru un instrument financiar derivat de credit cu condiția ca prima nerambursare din cadrul activelor să declanșeze plata și ca acest eveniment de credit să determine încetarea contractului, banca poate compensa riscul specific pentru entitatea de referință căreia i se aplică cea mai scăzută cerință de fonduri proprii pentru riscul specific dintre entitățile de referință-suport, conform tabelului 1 de la pct.436;</w:t>
      </w:r>
    </w:p>
    <w:p w14:paraId="09656365" w14:textId="202BD562" w:rsidR="005903FB" w:rsidRPr="005903FB" w:rsidRDefault="005903FB" w:rsidP="005903FB">
      <w:pPr>
        <w:rPr>
          <w:rFonts w:ascii="Times New Roman" w:hAnsi="Times New Roman" w:cs="Times New Roman"/>
          <w:sz w:val="24"/>
          <w:szCs w:val="24"/>
        </w:rPr>
      </w:pPr>
      <w:r w:rsidRPr="005903FB">
        <w:rPr>
          <w:rFonts w:ascii="Times New Roman" w:hAnsi="Times New Roman" w:cs="Times New Roman"/>
          <w:sz w:val="24"/>
          <w:szCs w:val="24"/>
        </w:rPr>
        <w:t>486.2. atunci când al n-lea caz de nerambursare din cadrul expunerilor declanșează plata în baza protecției creditului, cumpărătorul protecției poate compensa riscul specific numai dacă protecția a fost obținută și pentru cazurile de nerambursare de la 1 la n-1 sau dacă s-au produs deja n-1 cazuri de nerambursare. În astfel de cazuri se urmează metodologia descrisă la subpct.486.1 pentru instrumentele financiare derivate de credit de tipul „</w:t>
      </w:r>
      <w:proofErr w:type="spellStart"/>
      <w:r w:rsidRPr="005903FB">
        <w:rPr>
          <w:rFonts w:ascii="Times New Roman" w:hAnsi="Times New Roman" w:cs="Times New Roman"/>
          <w:i/>
          <w:iCs/>
          <w:sz w:val="24"/>
          <w:szCs w:val="24"/>
        </w:rPr>
        <w:t>first-to-default</w:t>
      </w:r>
      <w:proofErr w:type="spellEnd"/>
      <w:r w:rsidRPr="005903FB">
        <w:rPr>
          <w:rFonts w:ascii="Times New Roman" w:hAnsi="Times New Roman" w:cs="Times New Roman"/>
          <w:sz w:val="24"/>
          <w:szCs w:val="24"/>
        </w:rPr>
        <w:t>”, adaptată corespunzător pentru produsele de tipul „</w:t>
      </w:r>
      <w:proofErr w:type="spellStart"/>
      <w:r w:rsidRPr="005903FB">
        <w:rPr>
          <w:rFonts w:ascii="Times New Roman" w:hAnsi="Times New Roman" w:cs="Times New Roman"/>
          <w:i/>
          <w:iCs/>
          <w:sz w:val="24"/>
          <w:szCs w:val="24"/>
        </w:rPr>
        <w:t>nth-to-default</w:t>
      </w:r>
      <w:proofErr w:type="spellEnd"/>
      <w:r w:rsidRPr="005903FB">
        <w:rPr>
          <w:rFonts w:ascii="Times New Roman" w:hAnsi="Times New Roman" w:cs="Times New Roman"/>
          <w:sz w:val="24"/>
          <w:szCs w:val="24"/>
        </w:rPr>
        <w:t>”.</w:t>
      </w:r>
    </w:p>
    <w:p w14:paraId="17205AE7" w14:textId="70BCA895" w:rsidR="000761E9" w:rsidRPr="000761E9" w:rsidRDefault="000761E9" w:rsidP="000761E9">
      <w:pPr>
        <w:rPr>
          <w:rFonts w:ascii="Times New Roman" w:hAnsi="Times New Roman" w:cs="Times New Roman"/>
          <w:b/>
          <w:bCs/>
          <w:sz w:val="24"/>
          <w:szCs w:val="24"/>
        </w:rPr>
      </w:pPr>
      <w:bookmarkStart w:id="93" w:name="_Hlk195100054"/>
      <w:r w:rsidRPr="000761E9">
        <w:rPr>
          <w:rFonts w:ascii="Times New Roman" w:hAnsi="Times New Roman" w:cs="Times New Roman"/>
          <w:b/>
          <w:bCs/>
          <w:sz w:val="24"/>
          <w:szCs w:val="24"/>
        </w:rPr>
        <w:t>Secțiunea 6. Cerințe de fonduri proprii pentru OPC-uri</w:t>
      </w:r>
    </w:p>
    <w:p w14:paraId="65B08EF8" w14:textId="4F4C003F" w:rsidR="00441E84" w:rsidRPr="00CC1E9B" w:rsidRDefault="000761E9" w:rsidP="000761E9">
      <w:pPr>
        <w:rPr>
          <w:rFonts w:ascii="Times New Roman" w:hAnsi="Times New Roman" w:cs="Times New Roman"/>
          <w:b/>
          <w:bCs/>
          <w:i/>
          <w:iCs/>
          <w:sz w:val="24"/>
          <w:szCs w:val="24"/>
        </w:rPr>
      </w:pPr>
      <w:r w:rsidRPr="00CC1E9B">
        <w:rPr>
          <w:rFonts w:ascii="Times New Roman" w:hAnsi="Times New Roman" w:cs="Times New Roman"/>
          <w:b/>
          <w:bCs/>
          <w:i/>
          <w:iCs/>
          <w:sz w:val="24"/>
          <w:szCs w:val="24"/>
        </w:rPr>
        <w:t>Subsecțiunea 1. Cerințe de fonduri proprii pentru OPC-uri</w:t>
      </w:r>
      <w:bookmarkEnd w:id="93"/>
    </w:p>
    <w:p w14:paraId="0E68134A" w14:textId="47EB6A44" w:rsidR="00441E84" w:rsidRDefault="000761E9" w:rsidP="004340D9">
      <w:pPr>
        <w:rPr>
          <w:rFonts w:ascii="Times New Roman" w:hAnsi="Times New Roman" w:cs="Times New Roman"/>
          <w:sz w:val="24"/>
          <w:szCs w:val="24"/>
        </w:rPr>
      </w:pPr>
      <w:r w:rsidRPr="000761E9">
        <w:rPr>
          <w:rFonts w:ascii="Times New Roman" w:hAnsi="Times New Roman" w:cs="Times New Roman"/>
          <w:sz w:val="24"/>
          <w:szCs w:val="24"/>
        </w:rPr>
        <w:t xml:space="preserve">487.   Fără a aduce atingere altor dispoziții din prezenta secțiune, pozițiile pe OPC-uri sunt supuse unei cerințe de fonduri proprii pentru riscul de poziție (general și specific) de 32 %. Fără a aduce atingere </w:t>
      </w:r>
      <w:r w:rsidRPr="00B15B20">
        <w:rPr>
          <w:rFonts w:ascii="Times New Roman" w:hAnsi="Times New Roman" w:cs="Times New Roman"/>
          <w:sz w:val="24"/>
          <w:szCs w:val="24"/>
        </w:rPr>
        <w:t xml:space="preserve">dispozițiilor </w:t>
      </w:r>
      <w:r w:rsidR="00B15B20" w:rsidRPr="00B15B20">
        <w:rPr>
          <w:rFonts w:ascii="Times New Roman" w:hAnsi="Times New Roman" w:cs="Times New Roman"/>
          <w:sz w:val="24"/>
          <w:szCs w:val="24"/>
        </w:rPr>
        <w:t>secțiunii 3</w:t>
      </w:r>
      <w:r w:rsidRPr="00B15B20">
        <w:rPr>
          <w:rFonts w:ascii="Times New Roman" w:hAnsi="Times New Roman" w:cs="Times New Roman"/>
          <w:sz w:val="24"/>
          <w:szCs w:val="24"/>
        </w:rPr>
        <w:t>, corelate cu tratamentul modificat pentru aur prevăzut la</w:t>
      </w:r>
      <w:r w:rsidR="0083411F">
        <w:rPr>
          <w:rFonts w:ascii="Times New Roman" w:hAnsi="Times New Roman" w:cs="Times New Roman"/>
          <w:sz w:val="24"/>
          <w:szCs w:val="24"/>
        </w:rPr>
        <w:t xml:space="preserve"> </w:t>
      </w:r>
      <w:r w:rsidR="00B15B20" w:rsidRPr="00CC1E9B">
        <w:rPr>
          <w:rFonts w:ascii="Times New Roman" w:hAnsi="Times New Roman" w:cs="Times New Roman"/>
          <w:sz w:val="24"/>
          <w:szCs w:val="24"/>
        </w:rPr>
        <w:t>pct.501</w:t>
      </w:r>
      <w:r w:rsidRPr="00CC1E9B">
        <w:rPr>
          <w:rFonts w:ascii="Times New Roman" w:hAnsi="Times New Roman" w:cs="Times New Roman"/>
          <w:sz w:val="24"/>
          <w:szCs w:val="24"/>
        </w:rPr>
        <w:t>,</w:t>
      </w:r>
      <w:r w:rsidRPr="00B15B20">
        <w:rPr>
          <w:rFonts w:ascii="Times New Roman" w:hAnsi="Times New Roman" w:cs="Times New Roman"/>
          <w:sz w:val="24"/>
          <w:szCs w:val="24"/>
        </w:rPr>
        <w:t xml:space="preserve"> pozițiile pe OPC-uri sunt supuse unei cerințe de fonduri proprii pentru riscul</w:t>
      </w:r>
      <w:r w:rsidRPr="000761E9">
        <w:rPr>
          <w:rFonts w:ascii="Times New Roman" w:hAnsi="Times New Roman" w:cs="Times New Roman"/>
          <w:sz w:val="24"/>
          <w:szCs w:val="24"/>
        </w:rPr>
        <w:t xml:space="preserve"> de poziție (general și specific) și pentru riscul valutar de 40 %.</w:t>
      </w:r>
    </w:p>
    <w:p w14:paraId="7D9D368E" w14:textId="080A26D8" w:rsidR="000761E9" w:rsidRDefault="000761E9" w:rsidP="004340D9">
      <w:pPr>
        <w:rPr>
          <w:rFonts w:ascii="Times New Roman" w:hAnsi="Times New Roman" w:cs="Times New Roman"/>
          <w:sz w:val="24"/>
          <w:szCs w:val="24"/>
        </w:rPr>
      </w:pPr>
      <w:r w:rsidRPr="000761E9">
        <w:rPr>
          <w:rFonts w:ascii="Times New Roman" w:hAnsi="Times New Roman" w:cs="Times New Roman"/>
          <w:sz w:val="24"/>
          <w:szCs w:val="24"/>
        </w:rPr>
        <w:t>488.   Cu excepția cazurilor în care se prevede altfel la subsecțiunea 3, nu este permisă compensarea între investițiile-suport ale unui OPC și alte poziții deținute de bancă.</w:t>
      </w:r>
    </w:p>
    <w:p w14:paraId="4CF4AE0B" w14:textId="4E7B1D80" w:rsidR="00441E84" w:rsidRPr="00CC1E9B" w:rsidRDefault="000761E9" w:rsidP="004340D9">
      <w:pPr>
        <w:rPr>
          <w:rFonts w:ascii="Times New Roman" w:hAnsi="Times New Roman" w:cs="Times New Roman"/>
          <w:b/>
          <w:bCs/>
          <w:i/>
          <w:iCs/>
          <w:sz w:val="24"/>
          <w:szCs w:val="24"/>
        </w:rPr>
      </w:pPr>
      <w:bookmarkStart w:id="94" w:name="_Hlk195100086"/>
      <w:r w:rsidRPr="00CC1E9B">
        <w:rPr>
          <w:rFonts w:ascii="Times New Roman" w:hAnsi="Times New Roman" w:cs="Times New Roman"/>
          <w:b/>
          <w:bCs/>
          <w:i/>
          <w:iCs/>
          <w:sz w:val="24"/>
          <w:szCs w:val="24"/>
        </w:rPr>
        <w:t>Subsecțiunea 2. Criterii generale pentru OPC-uri</w:t>
      </w:r>
      <w:bookmarkEnd w:id="94"/>
    </w:p>
    <w:p w14:paraId="2D0DDF83" w14:textId="1318B31A"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489. OPC-urile sunt eligibile pentru abordarea prevăzută la subsecțiunea 3</w:t>
      </w:r>
      <w:r w:rsidR="0059038E">
        <w:rPr>
          <w:rFonts w:ascii="Times New Roman" w:hAnsi="Times New Roman" w:cs="Times New Roman"/>
          <w:sz w:val="24"/>
          <w:szCs w:val="24"/>
        </w:rPr>
        <w:t xml:space="preserve"> </w:t>
      </w:r>
      <w:r w:rsidRPr="000761E9">
        <w:rPr>
          <w:rFonts w:ascii="Times New Roman" w:hAnsi="Times New Roman" w:cs="Times New Roman"/>
          <w:sz w:val="24"/>
          <w:szCs w:val="24"/>
        </w:rPr>
        <w:t>atunci când sunt îndeplinite toate condițiile următoare:</w:t>
      </w:r>
    </w:p>
    <w:p w14:paraId="08446748" w14:textId="77777777"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489.1. prospectul de emisiune al OPC-ului sau documentul echivalent include toate elementele următoare:</w:t>
      </w:r>
    </w:p>
    <w:p w14:paraId="433ADB98" w14:textId="77777777"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lastRenderedPageBreak/>
        <w:t>489.1.1.  categoriile de active în care OPC-ul este autorizat să investească;</w:t>
      </w:r>
    </w:p>
    <w:p w14:paraId="44073707" w14:textId="77777777"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489.1.2. dacă se aplică limite în ceea ce privește investițiile, limitele relative și metodologiile de calcul al acestora;</w:t>
      </w:r>
    </w:p>
    <w:p w14:paraId="63D6D518" w14:textId="77777777"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489.1.3.  dacă este permis efectul de levier, nivelul maxim al efectului de levier;</w:t>
      </w:r>
    </w:p>
    <w:p w14:paraId="43B9D37C" w14:textId="77777777"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 xml:space="preserve">489.1.4.  dacă sunt permise tranzacțiile cu instrumente financiare derivate </w:t>
      </w:r>
      <w:proofErr w:type="spellStart"/>
      <w:r w:rsidRPr="000761E9">
        <w:rPr>
          <w:rFonts w:ascii="Times New Roman" w:hAnsi="Times New Roman" w:cs="Times New Roman"/>
          <w:sz w:val="24"/>
          <w:szCs w:val="24"/>
        </w:rPr>
        <w:t>extrabursiere</w:t>
      </w:r>
      <w:proofErr w:type="spellEnd"/>
      <w:r w:rsidRPr="000761E9">
        <w:rPr>
          <w:rFonts w:ascii="Times New Roman" w:hAnsi="Times New Roman" w:cs="Times New Roman"/>
          <w:sz w:val="24"/>
          <w:szCs w:val="24"/>
        </w:rPr>
        <w:t xml:space="preserve"> sau tranzacțiile de răscumpărare ori tranzacțiile de dare sau luare de titluri cu împrumut, o politică de limitare a riscului de </w:t>
      </w:r>
      <w:proofErr w:type="spellStart"/>
      <w:r w:rsidRPr="000761E9">
        <w:rPr>
          <w:rFonts w:ascii="Times New Roman" w:hAnsi="Times New Roman" w:cs="Times New Roman"/>
          <w:sz w:val="24"/>
          <w:szCs w:val="24"/>
        </w:rPr>
        <w:t>contraparte</w:t>
      </w:r>
      <w:proofErr w:type="spellEnd"/>
      <w:r w:rsidRPr="000761E9">
        <w:rPr>
          <w:rFonts w:ascii="Times New Roman" w:hAnsi="Times New Roman" w:cs="Times New Roman"/>
          <w:sz w:val="24"/>
          <w:szCs w:val="24"/>
        </w:rPr>
        <w:t xml:space="preserve"> ce rezultă din aceste tranzacții;</w:t>
      </w:r>
    </w:p>
    <w:p w14:paraId="5AF039D1" w14:textId="77777777"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489.2. activitățile OPC-ului sunt raportate în cadrul raportărilor semestriale și anuale pentru a permite efectuarea unei evaluări a activelor și pasivelor, a rezultatului financiar și a operațiunilor aferente perioadei de raportare;</w:t>
      </w:r>
    </w:p>
    <w:p w14:paraId="4CE6EFE6" w14:textId="77777777"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489.3. acțiunile sau unitățile OPC-ului sunt rambursabile în numerar, din activele organismului, pe bază zilnică, la cererea deținătorului unității;</w:t>
      </w:r>
    </w:p>
    <w:p w14:paraId="528E36C0" w14:textId="77777777"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489.4. investițiile în OPC sunt separate de activele administratorului OPC-ului;</w:t>
      </w:r>
    </w:p>
    <w:p w14:paraId="34D748AE" w14:textId="77777777"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489.5. este efectuată o evaluare adecvată a riscului OPC-ului de către banca investitoare.</w:t>
      </w:r>
    </w:p>
    <w:p w14:paraId="78762911" w14:textId="696520FB" w:rsidR="00441E84"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 xml:space="preserve">489.6. OPC-urile trebuie să fie administrate de persoane supuse unei supravegheri conform Legii nr.171/2012 privind </w:t>
      </w:r>
      <w:proofErr w:type="spellStart"/>
      <w:r w:rsidRPr="000761E9">
        <w:rPr>
          <w:rFonts w:ascii="Times New Roman" w:hAnsi="Times New Roman" w:cs="Times New Roman"/>
          <w:sz w:val="24"/>
          <w:szCs w:val="24"/>
        </w:rPr>
        <w:t>piaţa</w:t>
      </w:r>
      <w:proofErr w:type="spellEnd"/>
      <w:r w:rsidRPr="000761E9">
        <w:rPr>
          <w:rFonts w:ascii="Times New Roman" w:hAnsi="Times New Roman" w:cs="Times New Roman"/>
          <w:sz w:val="24"/>
          <w:szCs w:val="24"/>
        </w:rPr>
        <w:t xml:space="preserve"> de capital sau unei legislații echivalente.</w:t>
      </w:r>
    </w:p>
    <w:p w14:paraId="061EF5B5" w14:textId="451F363A" w:rsidR="000761E9" w:rsidRPr="00CC1E9B" w:rsidRDefault="000761E9" w:rsidP="000761E9">
      <w:pPr>
        <w:rPr>
          <w:rFonts w:ascii="Times New Roman" w:hAnsi="Times New Roman" w:cs="Times New Roman"/>
          <w:b/>
          <w:bCs/>
          <w:i/>
          <w:iCs/>
          <w:sz w:val="24"/>
          <w:szCs w:val="24"/>
        </w:rPr>
      </w:pPr>
      <w:bookmarkStart w:id="95" w:name="_Hlk195100111"/>
      <w:r w:rsidRPr="00CC1E9B">
        <w:rPr>
          <w:rFonts w:ascii="Times New Roman" w:hAnsi="Times New Roman" w:cs="Times New Roman"/>
          <w:b/>
          <w:bCs/>
          <w:i/>
          <w:iCs/>
          <w:sz w:val="24"/>
          <w:szCs w:val="24"/>
        </w:rPr>
        <w:t>Subsecțiunea 3. Metode specifice pentru OPC-uri</w:t>
      </w:r>
      <w:bookmarkEnd w:id="95"/>
    </w:p>
    <w:p w14:paraId="25BFB18F" w14:textId="0E1B1778" w:rsidR="00441E84" w:rsidRDefault="000761E9" w:rsidP="004340D9">
      <w:pPr>
        <w:rPr>
          <w:rFonts w:ascii="Times New Roman" w:hAnsi="Times New Roman" w:cs="Times New Roman"/>
          <w:sz w:val="24"/>
          <w:szCs w:val="24"/>
        </w:rPr>
      </w:pPr>
      <w:r w:rsidRPr="000761E9">
        <w:rPr>
          <w:rFonts w:ascii="Times New Roman" w:hAnsi="Times New Roman" w:cs="Times New Roman"/>
          <w:sz w:val="24"/>
          <w:szCs w:val="24"/>
        </w:rPr>
        <w:t>490.   În cazul în care banca are cunoștință de investițiile-suport ale OPC-ului pe bază zilnică, banca poate ține cont de acestea pentru a calcula cerințele de fonduri proprii pentru riscul de poziție (general și specific). În baza acestei abordări, pozițiile pentru OPC sunt tratate ca poziții pe investițiile-suport ale OPC. Este permisă compensarea între pozițiile pe investițiile-suport ale OPC-ului și alte poziții deținute de bancă, atât timp cât banca deține un număr suficient de acțiuni sau unități pentru a permite răscumpărarea/crearea, pe seama acestor acțiuni/unități, a investițiilor-suport.</w:t>
      </w:r>
    </w:p>
    <w:p w14:paraId="6BC82C73" w14:textId="77777777"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491.   Băncile pot calcula cerințele de fonduri proprii pentru riscul de poziție (general și specific) aferent pozițiilor pe OPC-uri, luând în considerare poziții care reprezintă pozițiile necesare pentru a reproduce componența și performanța indicelui sau coșului fix de titluri de capital sau titluri de datorie, generate extern, menționate la subpct.491.1, sub rezerva îndeplinirii următoarelor condiții:</w:t>
      </w:r>
    </w:p>
    <w:p w14:paraId="795E32BB" w14:textId="77777777"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491.1. scopul mandatului OPC-ului este de a reproduce componența și performanța indicelui sau coșului fix de titluri de capital sau titluri de datorie, generate extern;</w:t>
      </w:r>
    </w:p>
    <w:p w14:paraId="27240ED8" w14:textId="2DCD32FC" w:rsid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491.2. poate fi stabilit în mod clar, pe o perioadă minimă de șase luni, un coeficient de corelație minimă între randamentele zilnice ale OPC-ului și indicele sau coșul de titluri de capital sau titluri de datorie pe care OPC-ul îl reproduce de 0,9 între modificările zilnice de preț ale OPC-ului și indicele sau coșul de titluri de capital sau titluri de datorie pe care OPC-ul îl reproduce.</w:t>
      </w:r>
    </w:p>
    <w:p w14:paraId="41FE073C" w14:textId="77777777"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492. În cazul în care banca nu are cunoștință de investițiile-suport ale OPC-ului pe bază zilnică, banca poate calcula cerințele de fonduri proprii pentru riscul de poziție (general și specific), sub rezerva îndeplinirii următoarelor condiții:</w:t>
      </w:r>
    </w:p>
    <w:p w14:paraId="49684E8E" w14:textId="77777777"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492.1. se presupune că OPC-ul investește, în primul rând, până la limita maximă permisă potrivit mandatului său în clasele de active care atrag cea mai mare cerință de fonduri proprii pentru riscul de poziție (general și specific, separat) și apoi continuă să facă investiții în ordine descrescătoare până când se atinge limita totală maximă până la care poate investi. Poziția pe OPC se tratează ca o deținere directă a poziției ipotetice;</w:t>
      </w:r>
    </w:p>
    <w:p w14:paraId="419A7B8C" w14:textId="77777777"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lastRenderedPageBreak/>
        <w:t>492.2. la calculul cerinței de fonduri proprii pentru riscul de poziție (specific și general, separat), băncile țin cont de expunerea indirectă maximă pe care ar putea să o înregistreze prin asumarea de poziții cu efect de levier prin intermediul OPC-ului, prin creșterea proporțională a poziției pe OPC până la nivelul maxim al expunerii față de investițiile-suport, care rezultă din mandat;</w:t>
      </w:r>
    </w:p>
    <w:p w14:paraId="40477562" w14:textId="1108D3EF" w:rsidR="00441E84"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 xml:space="preserve">492.3. în cazul în care cerința de fonduri proprii pentru riscul de poziție (general și specific, împreună), calculată conform prezentului </w:t>
      </w:r>
      <w:r w:rsidR="007C7A1E">
        <w:rPr>
          <w:rFonts w:ascii="Times New Roman" w:hAnsi="Times New Roman" w:cs="Times New Roman"/>
          <w:sz w:val="24"/>
          <w:szCs w:val="24"/>
        </w:rPr>
        <w:t>punct</w:t>
      </w:r>
      <w:r w:rsidRPr="000761E9">
        <w:rPr>
          <w:rFonts w:ascii="Times New Roman" w:hAnsi="Times New Roman" w:cs="Times New Roman"/>
          <w:sz w:val="24"/>
          <w:szCs w:val="24"/>
        </w:rPr>
        <w:t>, o depășește pe cea prevăzută la pct.487, cerința de fonduri proprii este plafonată la acel nivel.</w:t>
      </w:r>
    </w:p>
    <w:p w14:paraId="3A0DF300" w14:textId="77777777"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493.  Băncile se pot baza pe următoarele părți terțe în ceea ce privește calcularea și raportarea cerințelor de fonduri proprii pentru riscul de poziție aferent pozițiilor pe OPC-uri care corespund cazurilor descrise la pct.490-494, în conformitate cu metodele prevăzute în prezentul capitol:</w:t>
      </w:r>
    </w:p>
    <w:p w14:paraId="44300E12" w14:textId="77777777"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493.1. depozitarul OPC-ului, cu condiția ca OPC-ul să investească exclusiv în titluri și să depoziteze toate titlurile la acest depozitar;</w:t>
      </w:r>
    </w:p>
    <w:p w14:paraId="02989A37" w14:textId="77777777"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493.2. pentru alte OPC-uri, societatea de administrare a OPC-ului, cu condiția ca societatea de administrare a OPC-ul să îndeplinească criteriile prevăzute la pct.82</w:t>
      </w:r>
      <w:r w:rsidRPr="000761E9">
        <w:rPr>
          <w:rFonts w:ascii="Times New Roman" w:hAnsi="Times New Roman" w:cs="Times New Roman"/>
          <w:sz w:val="24"/>
          <w:szCs w:val="24"/>
          <w:vertAlign w:val="superscript"/>
        </w:rPr>
        <w:t>4</w:t>
      </w:r>
      <w:r w:rsidRPr="000761E9">
        <w:rPr>
          <w:rFonts w:ascii="Times New Roman" w:hAnsi="Times New Roman" w:cs="Times New Roman"/>
          <w:sz w:val="24"/>
          <w:szCs w:val="24"/>
        </w:rPr>
        <w:t xml:space="preserve"> subpct.1) din Regulamentul nr.111/2018.</w:t>
      </w:r>
    </w:p>
    <w:p w14:paraId="4B7BCF10" w14:textId="3360E302" w:rsid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494. Corectitudinea calculului trebuie confirmată de un auditor extern.</w:t>
      </w:r>
    </w:p>
    <w:p w14:paraId="666A14BF" w14:textId="19BCD619" w:rsidR="000761E9" w:rsidRPr="00CC1E9B" w:rsidRDefault="009A1F02" w:rsidP="000761E9">
      <w:pPr>
        <w:rPr>
          <w:rFonts w:ascii="Times New Roman" w:hAnsi="Times New Roman" w:cs="Times New Roman"/>
          <w:b/>
          <w:bCs/>
          <w:i/>
          <w:iCs/>
          <w:sz w:val="24"/>
          <w:szCs w:val="24"/>
        </w:rPr>
      </w:pPr>
      <w:bookmarkStart w:id="96" w:name="_Hlk195100199"/>
      <w:r w:rsidRPr="00CC1E9B">
        <w:rPr>
          <w:rFonts w:ascii="Times New Roman" w:hAnsi="Times New Roman" w:cs="Times New Roman"/>
          <w:b/>
          <w:bCs/>
          <w:i/>
          <w:iCs/>
          <w:sz w:val="24"/>
          <w:szCs w:val="24"/>
        </w:rPr>
        <w:t>CAPITOLUL V. CERINȚE DE FONDURI PROPRII PENTRU RISCUL VALUTAR</w:t>
      </w:r>
    </w:p>
    <w:p w14:paraId="52D84265" w14:textId="0EAAD2E2" w:rsidR="000761E9" w:rsidRPr="00CC1E9B" w:rsidRDefault="000761E9" w:rsidP="000761E9">
      <w:pPr>
        <w:rPr>
          <w:rFonts w:ascii="Times New Roman" w:hAnsi="Times New Roman" w:cs="Times New Roman"/>
          <w:b/>
          <w:bCs/>
          <w:sz w:val="24"/>
          <w:szCs w:val="24"/>
        </w:rPr>
      </w:pPr>
      <w:r w:rsidRPr="00CC1E9B">
        <w:rPr>
          <w:rFonts w:ascii="Times New Roman" w:hAnsi="Times New Roman" w:cs="Times New Roman"/>
          <w:b/>
          <w:bCs/>
          <w:sz w:val="24"/>
          <w:szCs w:val="24"/>
        </w:rPr>
        <w:t xml:space="preserve">Secțiunea 1. De </w:t>
      </w:r>
      <w:proofErr w:type="spellStart"/>
      <w:r w:rsidRPr="00CC1E9B">
        <w:rPr>
          <w:rFonts w:ascii="Times New Roman" w:hAnsi="Times New Roman" w:cs="Times New Roman"/>
          <w:b/>
          <w:bCs/>
          <w:sz w:val="24"/>
          <w:szCs w:val="24"/>
        </w:rPr>
        <w:t>minimis</w:t>
      </w:r>
      <w:proofErr w:type="spellEnd"/>
      <w:r w:rsidRPr="00C451D2">
        <w:rPr>
          <w:rFonts w:ascii="Times New Roman" w:hAnsi="Times New Roman" w:cs="Times New Roman"/>
          <w:b/>
          <w:bCs/>
          <w:sz w:val="24"/>
          <w:szCs w:val="24"/>
        </w:rPr>
        <w:t> și ponderarea pentru riscul valutar</w:t>
      </w:r>
      <w:bookmarkEnd w:id="96"/>
    </w:p>
    <w:p w14:paraId="10D752F3" w14:textId="57508223" w:rsid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 xml:space="preserve">495. Dacă valoarea poziției totale nete pe valută și pe aur a unei bănci, calculată conform procedurii prevăzute la secțiunea 2, depășește 2 % din totalul fondurilor sale proprii, banca calculează o cerință de fonduri proprii pentru riscul valutar. Cerința de fonduri proprii pentru riscul valutar este egală cu suma dintre poziția totală netă pe valută și poziția totală netă pe aur în moneda </w:t>
      </w:r>
      <w:r w:rsidRPr="007049C6">
        <w:rPr>
          <w:rFonts w:ascii="Times New Roman" w:hAnsi="Times New Roman" w:cs="Times New Roman"/>
          <w:sz w:val="24"/>
          <w:szCs w:val="24"/>
        </w:rPr>
        <w:t xml:space="preserve">de raportare, înmulțită cu </w:t>
      </w:r>
      <w:r w:rsidR="007049C6" w:rsidRPr="00E14364">
        <w:rPr>
          <w:rFonts w:ascii="Times New Roman" w:hAnsi="Times New Roman" w:cs="Times New Roman"/>
          <w:sz w:val="24"/>
          <w:szCs w:val="24"/>
        </w:rPr>
        <w:t>10</w:t>
      </w:r>
      <w:r w:rsidRPr="007049C6">
        <w:rPr>
          <w:rFonts w:ascii="Times New Roman" w:hAnsi="Times New Roman" w:cs="Times New Roman"/>
          <w:sz w:val="24"/>
          <w:szCs w:val="24"/>
        </w:rPr>
        <w:t> %.</w:t>
      </w:r>
    </w:p>
    <w:p w14:paraId="1B190E26" w14:textId="2B40980E" w:rsidR="000761E9" w:rsidRPr="00CC1E9B" w:rsidRDefault="000761E9" w:rsidP="000761E9">
      <w:pPr>
        <w:rPr>
          <w:rFonts w:ascii="Times New Roman" w:hAnsi="Times New Roman" w:cs="Times New Roman"/>
          <w:b/>
          <w:bCs/>
          <w:sz w:val="24"/>
          <w:szCs w:val="24"/>
        </w:rPr>
      </w:pPr>
      <w:bookmarkStart w:id="97" w:name="_Hlk195100230"/>
      <w:r w:rsidRPr="00CC1E9B">
        <w:rPr>
          <w:rFonts w:ascii="Times New Roman" w:hAnsi="Times New Roman" w:cs="Times New Roman"/>
          <w:b/>
          <w:bCs/>
          <w:sz w:val="24"/>
          <w:szCs w:val="24"/>
        </w:rPr>
        <w:t xml:space="preserve">Secțiunea 2. </w:t>
      </w:r>
      <w:r w:rsidRPr="00C451D2">
        <w:rPr>
          <w:rFonts w:ascii="Times New Roman" w:hAnsi="Times New Roman" w:cs="Times New Roman"/>
          <w:b/>
          <w:bCs/>
          <w:sz w:val="24"/>
          <w:szCs w:val="24"/>
        </w:rPr>
        <w:t>Calculul poziției totale nete pe valute</w:t>
      </w:r>
      <w:bookmarkEnd w:id="97"/>
    </w:p>
    <w:p w14:paraId="71F1ECA0" w14:textId="77777777"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496.   Poziția deschisă netă a băncii pe fiecare valută (inclusiv moneda de raportare) și pe aur se calculează ca sumă a următoarelor elemente (pozitive sau negative):</w:t>
      </w:r>
    </w:p>
    <w:p w14:paraId="690FA218" w14:textId="77777777"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496.1. poziția spot netă (respectiv toate elementele de activ mai puțin elementele reprezentând datorii, inclusiv dobânda calculată și neajunsă la scadență, pe valuta în cauză sau, pentru aur, poziția netă spot pe aur);</w:t>
      </w:r>
    </w:p>
    <w:p w14:paraId="17CA692F" w14:textId="77777777"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 xml:space="preserve">496.2. poziția </w:t>
      </w:r>
      <w:proofErr w:type="spellStart"/>
      <w:r w:rsidRPr="000761E9">
        <w:rPr>
          <w:rFonts w:ascii="Times New Roman" w:hAnsi="Times New Roman" w:cs="Times New Roman"/>
          <w:sz w:val="24"/>
          <w:szCs w:val="24"/>
        </w:rPr>
        <w:t>forward</w:t>
      </w:r>
      <w:proofErr w:type="spellEnd"/>
      <w:r w:rsidRPr="000761E9">
        <w:rPr>
          <w:rFonts w:ascii="Times New Roman" w:hAnsi="Times New Roman" w:cs="Times New Roman"/>
          <w:sz w:val="24"/>
          <w:szCs w:val="24"/>
        </w:rPr>
        <w:t xml:space="preserve"> netă, reprezentând toate sumele de primit mai puțin toate sumele de plătit în cadrul tranzacțiilor </w:t>
      </w:r>
      <w:proofErr w:type="spellStart"/>
      <w:r w:rsidRPr="000761E9">
        <w:rPr>
          <w:rFonts w:ascii="Times New Roman" w:hAnsi="Times New Roman" w:cs="Times New Roman"/>
          <w:sz w:val="24"/>
          <w:szCs w:val="24"/>
        </w:rPr>
        <w:t>forward</w:t>
      </w:r>
      <w:proofErr w:type="spellEnd"/>
      <w:r w:rsidRPr="000761E9">
        <w:rPr>
          <w:rFonts w:ascii="Times New Roman" w:hAnsi="Times New Roman" w:cs="Times New Roman"/>
          <w:sz w:val="24"/>
          <w:szCs w:val="24"/>
        </w:rPr>
        <w:t xml:space="preserve"> pe valută și pe aur, inclusiv </w:t>
      </w:r>
      <w:proofErr w:type="spellStart"/>
      <w:r w:rsidRPr="000761E9">
        <w:rPr>
          <w:rFonts w:ascii="Times New Roman" w:hAnsi="Times New Roman" w:cs="Times New Roman"/>
          <w:sz w:val="24"/>
          <w:szCs w:val="24"/>
        </w:rPr>
        <w:t>futures</w:t>
      </w:r>
      <w:proofErr w:type="spellEnd"/>
      <w:r w:rsidRPr="000761E9">
        <w:rPr>
          <w:rFonts w:ascii="Times New Roman" w:hAnsi="Times New Roman" w:cs="Times New Roman"/>
          <w:sz w:val="24"/>
          <w:szCs w:val="24"/>
        </w:rPr>
        <w:t xml:space="preserve"> pe valută și pe aur și principalul aferent </w:t>
      </w:r>
      <w:proofErr w:type="spellStart"/>
      <w:r w:rsidRPr="000761E9">
        <w:rPr>
          <w:rFonts w:ascii="Times New Roman" w:hAnsi="Times New Roman" w:cs="Times New Roman"/>
          <w:sz w:val="24"/>
          <w:szCs w:val="24"/>
        </w:rPr>
        <w:t>swapurilor</w:t>
      </w:r>
      <w:proofErr w:type="spellEnd"/>
      <w:r w:rsidRPr="000761E9">
        <w:rPr>
          <w:rFonts w:ascii="Times New Roman" w:hAnsi="Times New Roman" w:cs="Times New Roman"/>
          <w:sz w:val="24"/>
          <w:szCs w:val="24"/>
        </w:rPr>
        <w:t xml:space="preserve"> pe valută care nu se reflectă în poziția spot;</w:t>
      </w:r>
    </w:p>
    <w:p w14:paraId="4B31EA38" w14:textId="469D5F37" w:rsidR="000761E9" w:rsidRPr="000761E9" w:rsidRDefault="005D2030" w:rsidP="000761E9">
      <w:pPr>
        <w:rPr>
          <w:rFonts w:ascii="Times New Roman" w:hAnsi="Times New Roman" w:cs="Times New Roman"/>
          <w:sz w:val="24"/>
          <w:szCs w:val="24"/>
        </w:rPr>
      </w:pPr>
      <w:r>
        <w:rPr>
          <w:rFonts w:ascii="Times New Roman" w:hAnsi="Times New Roman" w:cs="Times New Roman"/>
          <w:sz w:val="24"/>
          <w:szCs w:val="24"/>
        </w:rPr>
        <w:t>496.3.</w:t>
      </w:r>
      <w:r w:rsidR="000761E9" w:rsidRPr="000761E9">
        <w:rPr>
          <w:rFonts w:ascii="Times New Roman" w:hAnsi="Times New Roman" w:cs="Times New Roman"/>
          <w:sz w:val="24"/>
          <w:szCs w:val="24"/>
        </w:rPr>
        <w:t> garanții irevocabile și instrumente similare care urmează a fi, cu siguranță, executate și, probabil, nu vor fi recuperate;</w:t>
      </w:r>
    </w:p>
    <w:p w14:paraId="54F33E62" w14:textId="1E5AAD67" w:rsidR="000761E9" w:rsidRPr="000761E9" w:rsidRDefault="005D2030" w:rsidP="000761E9">
      <w:pPr>
        <w:rPr>
          <w:rFonts w:ascii="Times New Roman" w:hAnsi="Times New Roman" w:cs="Times New Roman"/>
          <w:sz w:val="24"/>
          <w:szCs w:val="24"/>
        </w:rPr>
      </w:pPr>
      <w:r>
        <w:rPr>
          <w:rFonts w:ascii="Times New Roman" w:hAnsi="Times New Roman" w:cs="Times New Roman"/>
          <w:sz w:val="24"/>
          <w:szCs w:val="24"/>
        </w:rPr>
        <w:t>496.4.</w:t>
      </w:r>
      <w:r w:rsidR="000761E9" w:rsidRPr="000761E9">
        <w:rPr>
          <w:rFonts w:ascii="Times New Roman" w:hAnsi="Times New Roman" w:cs="Times New Roman"/>
          <w:sz w:val="24"/>
          <w:szCs w:val="24"/>
        </w:rPr>
        <w:t> echivalentul delta net sau calculat în funcție de delta al portofoliului total de opțiuni pe valută și pe aur,</w:t>
      </w:r>
    </w:p>
    <w:p w14:paraId="12AD1FDA" w14:textId="17BB1BE4" w:rsidR="000761E9" w:rsidRPr="000761E9" w:rsidRDefault="005D2030" w:rsidP="000761E9">
      <w:pPr>
        <w:rPr>
          <w:rFonts w:ascii="Times New Roman" w:hAnsi="Times New Roman" w:cs="Times New Roman"/>
          <w:sz w:val="24"/>
          <w:szCs w:val="24"/>
        </w:rPr>
      </w:pPr>
      <w:r>
        <w:rPr>
          <w:rFonts w:ascii="Times New Roman" w:hAnsi="Times New Roman" w:cs="Times New Roman"/>
          <w:sz w:val="24"/>
          <w:szCs w:val="24"/>
        </w:rPr>
        <w:t>496.5.</w:t>
      </w:r>
      <w:r w:rsidR="000761E9" w:rsidRPr="000761E9">
        <w:rPr>
          <w:rFonts w:ascii="Times New Roman" w:hAnsi="Times New Roman" w:cs="Times New Roman"/>
          <w:sz w:val="24"/>
          <w:szCs w:val="24"/>
        </w:rPr>
        <w:t> valoarea de piață a altor opțiuni.</w:t>
      </w:r>
    </w:p>
    <w:p w14:paraId="16ABB767" w14:textId="0029BAA5"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497. Valoarea delta utilizată în scopurile subpct.</w:t>
      </w:r>
      <w:r w:rsidR="005D2030">
        <w:rPr>
          <w:rFonts w:ascii="Times New Roman" w:hAnsi="Times New Roman" w:cs="Times New Roman"/>
          <w:sz w:val="24"/>
          <w:szCs w:val="24"/>
        </w:rPr>
        <w:t>496.4</w:t>
      </w:r>
      <w:r w:rsidRPr="000761E9">
        <w:rPr>
          <w:rFonts w:ascii="Times New Roman" w:hAnsi="Times New Roman" w:cs="Times New Roman"/>
          <w:sz w:val="24"/>
          <w:szCs w:val="24"/>
        </w:rPr>
        <w:t xml:space="preserve"> este cea a bursei în cauză. În cazul opțiunilor </w:t>
      </w:r>
      <w:proofErr w:type="spellStart"/>
      <w:r w:rsidRPr="000761E9">
        <w:rPr>
          <w:rFonts w:ascii="Times New Roman" w:hAnsi="Times New Roman" w:cs="Times New Roman"/>
          <w:sz w:val="24"/>
          <w:szCs w:val="24"/>
        </w:rPr>
        <w:t>extrabursiere</w:t>
      </w:r>
      <w:proofErr w:type="spellEnd"/>
      <w:r w:rsidRPr="000761E9">
        <w:rPr>
          <w:rFonts w:ascii="Times New Roman" w:hAnsi="Times New Roman" w:cs="Times New Roman"/>
          <w:sz w:val="24"/>
          <w:szCs w:val="24"/>
        </w:rPr>
        <w:t xml:space="preserve"> sau în cazul în care valoarea delta nu este disponibilă la bursa în cauză, banca poate calcula ea însăși valoarea delta cu ajutorul unui model adecvat, cu aprobarea BNM. Aprobarea se acordă dacă modelul estimează în mod adecvat rata de modificare a valorii opțiunii sau </w:t>
      </w:r>
      <w:proofErr w:type="spellStart"/>
      <w:r w:rsidRPr="000761E9">
        <w:rPr>
          <w:rFonts w:ascii="Times New Roman" w:hAnsi="Times New Roman" w:cs="Times New Roman"/>
          <w:sz w:val="24"/>
          <w:szCs w:val="24"/>
        </w:rPr>
        <w:t>warrantului</w:t>
      </w:r>
      <w:proofErr w:type="spellEnd"/>
      <w:r w:rsidRPr="000761E9">
        <w:rPr>
          <w:rFonts w:ascii="Times New Roman" w:hAnsi="Times New Roman" w:cs="Times New Roman"/>
          <w:sz w:val="24"/>
          <w:szCs w:val="24"/>
        </w:rPr>
        <w:t xml:space="preserve"> în raport cu modificările minore ale prețului de piață al suportului.</w:t>
      </w:r>
    </w:p>
    <w:p w14:paraId="54A7AFA7" w14:textId="77777777"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lastRenderedPageBreak/>
        <w:t>498. Banca poate include venituri/cheltuieli viitoare nete care nu sunt încă înregistrate dar sunt deja acoperite în întregime, dacă procedează astfel în mod consecvent.</w:t>
      </w:r>
    </w:p>
    <w:p w14:paraId="400A6D37" w14:textId="77777777" w:rsidR="000761E9" w:rsidRPr="000761E9" w:rsidRDefault="000761E9" w:rsidP="000761E9">
      <w:pPr>
        <w:rPr>
          <w:rFonts w:ascii="Times New Roman" w:hAnsi="Times New Roman" w:cs="Times New Roman"/>
          <w:sz w:val="24"/>
          <w:szCs w:val="24"/>
        </w:rPr>
      </w:pPr>
      <w:r w:rsidRPr="000761E9">
        <w:rPr>
          <w:rFonts w:ascii="Times New Roman" w:hAnsi="Times New Roman" w:cs="Times New Roman"/>
          <w:sz w:val="24"/>
          <w:szCs w:val="24"/>
        </w:rPr>
        <w:t>499. Banca poate descompune pozițiile nete pe valute compozite pe valutele componente în funcție de cotele în vigoare.</w:t>
      </w:r>
    </w:p>
    <w:p w14:paraId="24AC4B81" w14:textId="716AF4B8" w:rsidR="000761E9" w:rsidRDefault="00BE34BF" w:rsidP="000761E9">
      <w:pPr>
        <w:rPr>
          <w:rFonts w:ascii="Times New Roman" w:hAnsi="Times New Roman" w:cs="Times New Roman"/>
          <w:sz w:val="24"/>
          <w:szCs w:val="24"/>
        </w:rPr>
      </w:pPr>
      <w:r w:rsidRPr="00BE34BF">
        <w:rPr>
          <w:rFonts w:ascii="Times New Roman" w:hAnsi="Times New Roman" w:cs="Times New Roman"/>
          <w:sz w:val="24"/>
          <w:szCs w:val="24"/>
        </w:rPr>
        <w:t>500.   O bancă poate utiliza valoarea prezentă netă la calculul poziției deschise nete pe fiecare valută și pe aur, cu condiția ca banca să aplice această abordare în mod consecvent.</w:t>
      </w:r>
    </w:p>
    <w:p w14:paraId="2BF9F61D" w14:textId="05F57153" w:rsidR="000761E9" w:rsidRDefault="00BE34BF" w:rsidP="000761E9">
      <w:pPr>
        <w:rPr>
          <w:rFonts w:ascii="Times New Roman" w:hAnsi="Times New Roman" w:cs="Times New Roman"/>
          <w:sz w:val="24"/>
          <w:szCs w:val="24"/>
        </w:rPr>
      </w:pPr>
      <w:r w:rsidRPr="00BE34BF">
        <w:rPr>
          <w:rFonts w:ascii="Times New Roman" w:hAnsi="Times New Roman" w:cs="Times New Roman"/>
          <w:sz w:val="24"/>
          <w:szCs w:val="24"/>
        </w:rPr>
        <w:t>501.   Pozițiile lungi și scurte nete pe fiecare valută, alta decât moneda de raportare, precum și poziția lungă sau scurtă netă pe aur, se transformă în moneda de raportare la cursul spot. Aceste poziții sunt apoi adunate separat pentru a forma totalul pozițiilor nete scurte și respectiv totalul pozițiilor nete lungi. Cel mai mare dintre aceste două totaluri reprezintă poziția totală netă pe valută a băncii.</w:t>
      </w:r>
    </w:p>
    <w:p w14:paraId="37D3B84D" w14:textId="258CE0FF" w:rsidR="00BE34BF" w:rsidRDefault="00BE34BF" w:rsidP="000761E9">
      <w:pPr>
        <w:rPr>
          <w:rFonts w:ascii="Times New Roman" w:hAnsi="Times New Roman" w:cs="Times New Roman"/>
          <w:sz w:val="24"/>
          <w:szCs w:val="24"/>
        </w:rPr>
      </w:pPr>
      <w:r w:rsidRPr="00BE34BF">
        <w:rPr>
          <w:rFonts w:ascii="Times New Roman" w:hAnsi="Times New Roman" w:cs="Times New Roman"/>
          <w:sz w:val="24"/>
          <w:szCs w:val="24"/>
        </w:rPr>
        <w:t>502.   Băncile reflectă în mod adecvat riscurile asociate cu opțiunile, altele decât riscul delta, în cerințele de fonduri proprii în conformitate cu metodele prevăzute în anexa nr.5.</w:t>
      </w:r>
    </w:p>
    <w:p w14:paraId="171FCD26" w14:textId="6B8F7EEB" w:rsidR="000761E9" w:rsidRPr="00C451D2" w:rsidRDefault="00BE34BF" w:rsidP="000761E9">
      <w:pPr>
        <w:rPr>
          <w:rFonts w:ascii="Times New Roman" w:hAnsi="Times New Roman" w:cs="Times New Roman"/>
          <w:b/>
          <w:bCs/>
          <w:sz w:val="24"/>
          <w:szCs w:val="24"/>
        </w:rPr>
      </w:pPr>
      <w:bookmarkStart w:id="98" w:name="_Hlk195100258"/>
      <w:r w:rsidRPr="00CC1E9B">
        <w:rPr>
          <w:rFonts w:ascii="Times New Roman" w:hAnsi="Times New Roman" w:cs="Times New Roman"/>
          <w:b/>
          <w:bCs/>
          <w:sz w:val="24"/>
          <w:szCs w:val="24"/>
        </w:rPr>
        <w:t xml:space="preserve">Secțiunea 3. </w:t>
      </w:r>
      <w:r w:rsidRPr="00C451D2">
        <w:rPr>
          <w:rFonts w:ascii="Times New Roman" w:hAnsi="Times New Roman" w:cs="Times New Roman"/>
          <w:b/>
          <w:bCs/>
          <w:sz w:val="24"/>
          <w:szCs w:val="24"/>
        </w:rPr>
        <w:t>Riscul valutar al OPC-urilor</w:t>
      </w:r>
      <w:bookmarkEnd w:id="98"/>
    </w:p>
    <w:p w14:paraId="0C9D4D0A" w14:textId="68388AA1" w:rsidR="00BE34BF" w:rsidRDefault="00BE34BF" w:rsidP="000761E9">
      <w:pPr>
        <w:rPr>
          <w:rFonts w:ascii="Times New Roman" w:hAnsi="Times New Roman" w:cs="Times New Roman"/>
          <w:sz w:val="24"/>
          <w:szCs w:val="24"/>
        </w:rPr>
      </w:pPr>
      <w:r w:rsidRPr="00BE34BF">
        <w:rPr>
          <w:rFonts w:ascii="Times New Roman" w:hAnsi="Times New Roman" w:cs="Times New Roman"/>
          <w:sz w:val="24"/>
          <w:szCs w:val="24"/>
        </w:rPr>
        <w:t>503.  În sensul secțiunii 1, în ceea ce privește OPC-urile, se iau în considerare pozițiile pe valută efective ale OPC-ului.</w:t>
      </w:r>
    </w:p>
    <w:p w14:paraId="4BB844C5" w14:textId="77777777" w:rsidR="00BE34BF" w:rsidRPr="00BE34BF" w:rsidRDefault="00BE34BF" w:rsidP="00BE34BF">
      <w:pPr>
        <w:rPr>
          <w:rFonts w:ascii="Times New Roman" w:hAnsi="Times New Roman" w:cs="Times New Roman"/>
          <w:sz w:val="24"/>
          <w:szCs w:val="24"/>
        </w:rPr>
      </w:pPr>
      <w:r w:rsidRPr="00BE34BF">
        <w:rPr>
          <w:rFonts w:ascii="Times New Roman" w:hAnsi="Times New Roman" w:cs="Times New Roman"/>
          <w:sz w:val="24"/>
          <w:szCs w:val="24"/>
        </w:rPr>
        <w:t>504.   Băncile se pot baza pe raportările următoarelor părți terțe privind pozițiile pe valută ale OPC-ului:</w:t>
      </w:r>
    </w:p>
    <w:p w14:paraId="77331187" w14:textId="77777777" w:rsidR="00BE34BF" w:rsidRPr="00BE34BF" w:rsidRDefault="00BE34BF" w:rsidP="00BE34BF">
      <w:pPr>
        <w:rPr>
          <w:rFonts w:ascii="Times New Roman" w:hAnsi="Times New Roman" w:cs="Times New Roman"/>
          <w:sz w:val="24"/>
          <w:szCs w:val="24"/>
        </w:rPr>
      </w:pPr>
      <w:r w:rsidRPr="00BE34BF">
        <w:rPr>
          <w:rFonts w:ascii="Times New Roman" w:hAnsi="Times New Roman" w:cs="Times New Roman"/>
          <w:sz w:val="24"/>
          <w:szCs w:val="24"/>
        </w:rPr>
        <w:t>504.1. banca depozitară a OPC-ului, cu condiția ca OPC-ul să investească exclusiv în titluri și să depoziteze toate titlurile la această bancă depozitară;</w:t>
      </w:r>
    </w:p>
    <w:p w14:paraId="7D3471AF" w14:textId="77777777" w:rsidR="00BE34BF" w:rsidRPr="00BE34BF" w:rsidRDefault="00BE34BF" w:rsidP="00BE34BF">
      <w:pPr>
        <w:rPr>
          <w:rFonts w:ascii="Times New Roman" w:hAnsi="Times New Roman" w:cs="Times New Roman"/>
          <w:sz w:val="24"/>
          <w:szCs w:val="24"/>
        </w:rPr>
      </w:pPr>
      <w:r w:rsidRPr="00BE34BF">
        <w:rPr>
          <w:rFonts w:ascii="Times New Roman" w:hAnsi="Times New Roman" w:cs="Times New Roman"/>
          <w:sz w:val="24"/>
          <w:szCs w:val="24"/>
        </w:rPr>
        <w:t>504.2. pentru alte OPC-uri, societatea de administrare a OPC-ului, cu condiția ca societatea de administrare a OPC-ul să îndeplinească criteriile prevăzute la pct.82</w:t>
      </w:r>
      <w:r w:rsidRPr="00BE34BF">
        <w:rPr>
          <w:rFonts w:ascii="Times New Roman" w:hAnsi="Times New Roman" w:cs="Times New Roman"/>
          <w:sz w:val="24"/>
          <w:szCs w:val="24"/>
          <w:vertAlign w:val="superscript"/>
        </w:rPr>
        <w:t>4</w:t>
      </w:r>
      <w:r w:rsidRPr="00BE34BF">
        <w:rPr>
          <w:rFonts w:ascii="Times New Roman" w:hAnsi="Times New Roman" w:cs="Times New Roman"/>
          <w:sz w:val="24"/>
          <w:szCs w:val="24"/>
        </w:rPr>
        <w:t xml:space="preserve"> subpct.1) din Regulamentul nr.111/2018.</w:t>
      </w:r>
    </w:p>
    <w:p w14:paraId="3E4DDA30" w14:textId="5FFA3A56" w:rsidR="00BE34BF" w:rsidRPr="00BE34BF" w:rsidRDefault="00BE34BF" w:rsidP="00BE34BF">
      <w:pPr>
        <w:rPr>
          <w:rFonts w:ascii="Times New Roman" w:hAnsi="Times New Roman" w:cs="Times New Roman"/>
          <w:sz w:val="24"/>
          <w:szCs w:val="24"/>
        </w:rPr>
      </w:pPr>
      <w:r w:rsidRPr="00BE34BF">
        <w:rPr>
          <w:rFonts w:ascii="Times New Roman" w:hAnsi="Times New Roman" w:cs="Times New Roman"/>
          <w:sz w:val="24"/>
          <w:szCs w:val="24"/>
        </w:rPr>
        <w:t>505. Corectitudinea calculului trebuie confirmată de un auditor extern.</w:t>
      </w:r>
    </w:p>
    <w:p w14:paraId="23DFEC32" w14:textId="095FE6A2" w:rsidR="00BE34BF" w:rsidRPr="00BE34BF" w:rsidRDefault="00BE34BF" w:rsidP="000761E9">
      <w:pPr>
        <w:rPr>
          <w:rFonts w:ascii="Times New Roman" w:hAnsi="Times New Roman" w:cs="Times New Roman"/>
          <w:sz w:val="24"/>
          <w:szCs w:val="24"/>
        </w:rPr>
      </w:pPr>
      <w:r w:rsidRPr="00BE34BF">
        <w:rPr>
          <w:rFonts w:ascii="Times New Roman" w:hAnsi="Times New Roman" w:cs="Times New Roman"/>
          <w:sz w:val="24"/>
          <w:szCs w:val="24"/>
        </w:rPr>
        <w:t>506. Dacă o bancă nu are cunoștință de pozițiile pe valută ale unui OPC, se presupune că acesta a investit până la limita maximă permisă potrivit mandatului OPC-ului privind investițiile în valută, iar banca trebuie să ia în considerare, atunci când calculează cerința de fonduri proprii pentru riscul valutar în ceea ce privește pozițiile din portofoliul de tranzacționare, expunerea indirectă maximă pe care ar putea să o înregistreze prin asumarea de poziții cu efect de levier (</w:t>
      </w:r>
      <w:proofErr w:type="spellStart"/>
      <w:r w:rsidRPr="00BE34BF">
        <w:rPr>
          <w:rFonts w:ascii="Times New Roman" w:hAnsi="Times New Roman" w:cs="Times New Roman"/>
          <w:sz w:val="24"/>
          <w:szCs w:val="24"/>
        </w:rPr>
        <w:t>leveraged</w:t>
      </w:r>
      <w:proofErr w:type="spellEnd"/>
      <w:r w:rsidRPr="00BE34BF">
        <w:rPr>
          <w:rFonts w:ascii="Times New Roman" w:hAnsi="Times New Roman" w:cs="Times New Roman"/>
          <w:sz w:val="24"/>
          <w:szCs w:val="24"/>
        </w:rPr>
        <w:t xml:space="preserve"> </w:t>
      </w:r>
      <w:proofErr w:type="spellStart"/>
      <w:r w:rsidRPr="00BE34BF">
        <w:rPr>
          <w:rFonts w:ascii="Times New Roman" w:hAnsi="Times New Roman" w:cs="Times New Roman"/>
          <w:sz w:val="24"/>
          <w:szCs w:val="24"/>
        </w:rPr>
        <w:t>positions</w:t>
      </w:r>
      <w:proofErr w:type="spellEnd"/>
      <w:r w:rsidRPr="00BE34BF">
        <w:rPr>
          <w:rFonts w:ascii="Times New Roman" w:hAnsi="Times New Roman" w:cs="Times New Roman"/>
          <w:sz w:val="24"/>
          <w:szCs w:val="24"/>
        </w:rPr>
        <w:t>) prin intermediul OPC-ului. Aceasta se realizează prin creșterea proporțională a poziției pe OPC până la nivelul maxim al expunerii față de investițiile-suport care rezultă din mandatul privind activitatea de investire. Poziția ipotetică pe valută a OPC-ului se tratează ca o valută distinctă potrivit tratamentului aplicabil investițiilor în aur, cu adăugarea poziției lungi totale la poziția valutară deschisă lungă totală și a poziției scurte totale la poziția valutară deschisă scurtă totală, în situația în care direcția investiției OPC-ului este disponibilă. Nu este permisă compensarea între aceste poziții înainte de efectuarea calculului.</w:t>
      </w:r>
    </w:p>
    <w:p w14:paraId="0154982D" w14:textId="70EE5E77" w:rsidR="00BE34BF" w:rsidRPr="00BE34BF" w:rsidRDefault="00BE34BF" w:rsidP="000761E9">
      <w:pPr>
        <w:rPr>
          <w:rFonts w:ascii="Times New Roman" w:hAnsi="Times New Roman" w:cs="Times New Roman"/>
          <w:sz w:val="24"/>
          <w:szCs w:val="24"/>
        </w:rPr>
      </w:pPr>
      <w:bookmarkStart w:id="99" w:name="_Hlk195100278"/>
      <w:r w:rsidRPr="00CC1E9B">
        <w:rPr>
          <w:rFonts w:ascii="Times New Roman" w:hAnsi="Times New Roman" w:cs="Times New Roman"/>
          <w:b/>
          <w:bCs/>
          <w:sz w:val="24"/>
          <w:szCs w:val="24"/>
        </w:rPr>
        <w:t xml:space="preserve">Secțiunea 4. </w:t>
      </w:r>
      <w:r w:rsidRPr="00C451D2">
        <w:rPr>
          <w:rFonts w:ascii="Times New Roman" w:hAnsi="Times New Roman" w:cs="Times New Roman"/>
          <w:b/>
          <w:bCs/>
          <w:sz w:val="24"/>
          <w:szCs w:val="24"/>
        </w:rPr>
        <w:t>Valute</w:t>
      </w:r>
      <w:r w:rsidRPr="00BE34BF">
        <w:rPr>
          <w:rFonts w:ascii="Times New Roman" w:hAnsi="Times New Roman" w:cs="Times New Roman"/>
          <w:b/>
          <w:bCs/>
          <w:sz w:val="24"/>
          <w:szCs w:val="24"/>
        </w:rPr>
        <w:t xml:space="preserve"> strâns corelate</w:t>
      </w:r>
      <w:bookmarkEnd w:id="99"/>
    </w:p>
    <w:p w14:paraId="02235593" w14:textId="77777777" w:rsidR="00BE34BF" w:rsidRPr="00BE34BF" w:rsidRDefault="00BE34BF" w:rsidP="00BE34BF">
      <w:pPr>
        <w:rPr>
          <w:rFonts w:ascii="Times New Roman" w:hAnsi="Times New Roman" w:cs="Times New Roman"/>
          <w:sz w:val="24"/>
          <w:szCs w:val="24"/>
        </w:rPr>
      </w:pPr>
      <w:r w:rsidRPr="00BE34BF">
        <w:rPr>
          <w:rFonts w:ascii="Times New Roman" w:hAnsi="Times New Roman" w:cs="Times New Roman"/>
          <w:sz w:val="24"/>
          <w:szCs w:val="24"/>
        </w:rPr>
        <w:t>507.   Băncile pot să mențină cerințe de fonduri proprii mai mici pentru pozițiile pe valute strâns corelate relevante. Se consideră că două valute sunt strâns corelate numai dacă, în următoarele 10 zile lucrătoare, apariția unei pierderi, din poziții egale și opuse pe astfel de valute, de 4 % sau mai puțin din valoarea respectivei poziții puse în corespondență (exprimată în moneda de raportare), are o probabilitate — calculată pe baza ratelor de schimb zilnice pe ultimii trei sau cinci ani — de cel puțin 99 %, când se folosește o perioadă de observare de trei ani, și de cel puțin 95 %, când se folosește o perioadă de observare de cinci ani. Cerința de fonduri proprii pentru poziția pusă în corespondență, pe două valute strâns corelate, este de 4 % înmulțit cu valoarea poziției puse în corespondență.</w:t>
      </w:r>
    </w:p>
    <w:p w14:paraId="3B4CB956" w14:textId="2096A579" w:rsidR="00BE34BF" w:rsidRPr="00BE34BF" w:rsidRDefault="00BE34BF" w:rsidP="00BE34BF">
      <w:pPr>
        <w:rPr>
          <w:rFonts w:ascii="Times New Roman" w:hAnsi="Times New Roman" w:cs="Times New Roman"/>
          <w:sz w:val="24"/>
          <w:szCs w:val="24"/>
        </w:rPr>
      </w:pPr>
      <w:r w:rsidRPr="00BE34BF">
        <w:rPr>
          <w:rFonts w:ascii="Times New Roman" w:hAnsi="Times New Roman" w:cs="Times New Roman"/>
          <w:sz w:val="24"/>
          <w:szCs w:val="24"/>
        </w:rPr>
        <w:t xml:space="preserve">508. Perechile de valute care îndeplinesc </w:t>
      </w:r>
      <w:proofErr w:type="spellStart"/>
      <w:r w:rsidRPr="00BE34BF">
        <w:rPr>
          <w:rFonts w:ascii="Times New Roman" w:hAnsi="Times New Roman" w:cs="Times New Roman"/>
          <w:sz w:val="24"/>
          <w:szCs w:val="24"/>
        </w:rPr>
        <w:t>cerinţele</w:t>
      </w:r>
      <w:proofErr w:type="spellEnd"/>
      <w:r w:rsidRPr="00BE34BF">
        <w:rPr>
          <w:rFonts w:ascii="Times New Roman" w:hAnsi="Times New Roman" w:cs="Times New Roman"/>
          <w:sz w:val="24"/>
          <w:szCs w:val="24"/>
        </w:rPr>
        <w:t xml:space="preserve"> de la pct.507 sunt prevăzute în anexa nr.7.</w:t>
      </w:r>
    </w:p>
    <w:p w14:paraId="7E17EA8B" w14:textId="686E0CD9" w:rsidR="00BE34BF" w:rsidRDefault="00BE34BF" w:rsidP="000761E9">
      <w:pPr>
        <w:rPr>
          <w:rFonts w:ascii="Times New Roman" w:hAnsi="Times New Roman" w:cs="Times New Roman"/>
          <w:sz w:val="24"/>
          <w:szCs w:val="24"/>
        </w:rPr>
      </w:pPr>
      <w:r w:rsidRPr="00BE34BF">
        <w:rPr>
          <w:rFonts w:ascii="Times New Roman" w:hAnsi="Times New Roman" w:cs="Times New Roman"/>
          <w:sz w:val="24"/>
          <w:szCs w:val="24"/>
        </w:rPr>
        <w:lastRenderedPageBreak/>
        <w:t>509.  La calcularea cerințelor prevăzute în acest capitol, băncile pot să nu ia în considerare pozițiile pe valute care fac obiectul unui acord interguvernamental obligatoriu din punct de vedere legal de limitare a variației acestora față de alte valute prevăzute în acordul respectiv. Băncile își calculează pozițiile puse în corespondență pe aceste valute și le supun unei cerințe de fonduri proprii care să nu fie mai mică de jumătate din variația maximă permisă valutelor în cauză, prevăzută în respectivul acord interguvernamental.</w:t>
      </w:r>
    </w:p>
    <w:p w14:paraId="4A75A092" w14:textId="16766DC9" w:rsidR="00BE34BF" w:rsidRDefault="00BE34BF" w:rsidP="000761E9">
      <w:pPr>
        <w:rPr>
          <w:rFonts w:ascii="Times New Roman" w:hAnsi="Times New Roman" w:cs="Times New Roman"/>
          <w:sz w:val="24"/>
          <w:szCs w:val="24"/>
        </w:rPr>
      </w:pPr>
      <w:r w:rsidRPr="00BE34BF">
        <w:rPr>
          <w:rFonts w:ascii="Times New Roman" w:hAnsi="Times New Roman" w:cs="Times New Roman"/>
          <w:sz w:val="24"/>
          <w:szCs w:val="24"/>
        </w:rPr>
        <w:t xml:space="preserve">510.   Cerința de fonduri proprii pentru pozițiile puse în corespondență pe </w:t>
      </w:r>
      <w:r w:rsidRPr="00101345">
        <w:rPr>
          <w:rFonts w:ascii="Times New Roman" w:hAnsi="Times New Roman" w:cs="Times New Roman"/>
          <w:sz w:val="24"/>
          <w:szCs w:val="24"/>
        </w:rPr>
        <w:t>valute ale statelor membre participante la cea de-a doua etapă a uniunii economice și monetare poate fi calculată prin înmulțirea valorii aferente acestor poziții puse în corespondență cu 1,6 %.</w:t>
      </w:r>
    </w:p>
    <w:p w14:paraId="4EC57A2C" w14:textId="3FB45378" w:rsidR="00BE34BF" w:rsidRDefault="00BE34BF" w:rsidP="000761E9">
      <w:pPr>
        <w:rPr>
          <w:rFonts w:ascii="Times New Roman" w:hAnsi="Times New Roman" w:cs="Times New Roman"/>
          <w:sz w:val="24"/>
          <w:szCs w:val="24"/>
        </w:rPr>
      </w:pPr>
      <w:r w:rsidRPr="00BE34BF">
        <w:rPr>
          <w:rFonts w:ascii="Times New Roman" w:hAnsi="Times New Roman" w:cs="Times New Roman"/>
          <w:sz w:val="24"/>
          <w:szCs w:val="24"/>
        </w:rPr>
        <w:t>511.   Doar pozițiile nepuse în corespondență pe valutele menționate în prezenta secțiune se includ în poziția deschisă netă totală conform pct.501.</w:t>
      </w:r>
    </w:p>
    <w:p w14:paraId="17A1A2B9" w14:textId="3C5248F6" w:rsidR="00BE34BF" w:rsidRPr="00CC1E9B" w:rsidRDefault="009A1F02" w:rsidP="00BE34BF">
      <w:pPr>
        <w:rPr>
          <w:rFonts w:ascii="Times New Roman" w:hAnsi="Times New Roman" w:cs="Times New Roman"/>
          <w:b/>
          <w:bCs/>
          <w:i/>
          <w:iCs/>
          <w:sz w:val="24"/>
          <w:szCs w:val="24"/>
        </w:rPr>
      </w:pPr>
      <w:bookmarkStart w:id="100" w:name="_Hlk195100318"/>
      <w:r w:rsidRPr="00CC1E9B">
        <w:rPr>
          <w:rFonts w:ascii="Times New Roman" w:hAnsi="Times New Roman" w:cs="Times New Roman"/>
          <w:b/>
          <w:bCs/>
          <w:i/>
          <w:iCs/>
          <w:sz w:val="24"/>
          <w:szCs w:val="24"/>
        </w:rPr>
        <w:t>CAPITOLUL VI. CERINȚE DE FONDURI PROPRII PENTRU RISCUL DE MARFĂ</w:t>
      </w:r>
    </w:p>
    <w:p w14:paraId="22B86DC2" w14:textId="070518D1" w:rsidR="00BE34BF" w:rsidRDefault="00BE34BF" w:rsidP="00BE34BF">
      <w:pPr>
        <w:rPr>
          <w:rFonts w:ascii="Times New Roman" w:hAnsi="Times New Roman" w:cs="Times New Roman"/>
          <w:sz w:val="24"/>
          <w:szCs w:val="24"/>
        </w:rPr>
      </w:pPr>
      <w:r w:rsidRPr="00CC1E9B">
        <w:rPr>
          <w:rFonts w:ascii="Times New Roman" w:hAnsi="Times New Roman" w:cs="Times New Roman"/>
          <w:b/>
          <w:bCs/>
          <w:sz w:val="24"/>
          <w:szCs w:val="24"/>
        </w:rPr>
        <w:t>Secțiunea 1.</w:t>
      </w:r>
      <w:r w:rsidR="00C451D2">
        <w:rPr>
          <w:rFonts w:ascii="Times New Roman" w:hAnsi="Times New Roman" w:cs="Times New Roman"/>
          <w:b/>
          <w:bCs/>
          <w:sz w:val="24"/>
          <w:szCs w:val="24"/>
        </w:rPr>
        <w:t xml:space="preserve"> </w:t>
      </w:r>
      <w:r w:rsidRPr="00C451D2">
        <w:rPr>
          <w:rFonts w:ascii="Times New Roman" w:hAnsi="Times New Roman" w:cs="Times New Roman"/>
          <w:b/>
          <w:bCs/>
          <w:sz w:val="24"/>
          <w:szCs w:val="24"/>
        </w:rPr>
        <w:t>Alegerea</w:t>
      </w:r>
      <w:r w:rsidRPr="00BE34BF">
        <w:rPr>
          <w:rFonts w:ascii="Times New Roman" w:hAnsi="Times New Roman" w:cs="Times New Roman"/>
          <w:b/>
          <w:bCs/>
          <w:sz w:val="24"/>
          <w:szCs w:val="24"/>
        </w:rPr>
        <w:t xml:space="preserve"> metodei pentru riscul de marfă</w:t>
      </w:r>
      <w:bookmarkEnd w:id="100"/>
    </w:p>
    <w:p w14:paraId="0051CE1C" w14:textId="4DCEC28F" w:rsidR="00BE34BF" w:rsidRDefault="00BE34BF" w:rsidP="000761E9">
      <w:pPr>
        <w:rPr>
          <w:rFonts w:ascii="Times New Roman" w:hAnsi="Times New Roman" w:cs="Times New Roman"/>
          <w:sz w:val="24"/>
          <w:szCs w:val="24"/>
        </w:rPr>
      </w:pPr>
      <w:r w:rsidRPr="00BE34BF">
        <w:rPr>
          <w:rFonts w:ascii="Times New Roman" w:hAnsi="Times New Roman" w:cs="Times New Roman"/>
          <w:sz w:val="24"/>
          <w:szCs w:val="24"/>
          <w:lang w:val="it-IT"/>
        </w:rPr>
        <w:t>512. Sub rezerva secțiunilor 2-4, băncile își calculează cerința de fonduri proprii pentru riscul de marfă utilizând una dintre metodele prevăzute la secțiunile 5-7.</w:t>
      </w:r>
    </w:p>
    <w:p w14:paraId="49D3FE43" w14:textId="27D0C068" w:rsidR="00BE34BF" w:rsidRDefault="00BE34BF" w:rsidP="000761E9">
      <w:pPr>
        <w:rPr>
          <w:rFonts w:ascii="Times New Roman" w:hAnsi="Times New Roman" w:cs="Times New Roman"/>
          <w:sz w:val="24"/>
          <w:szCs w:val="24"/>
        </w:rPr>
      </w:pPr>
      <w:bookmarkStart w:id="101" w:name="_Hlk195100347"/>
      <w:r w:rsidRPr="00CC1E9B">
        <w:rPr>
          <w:rFonts w:ascii="Times New Roman" w:hAnsi="Times New Roman" w:cs="Times New Roman"/>
          <w:b/>
          <w:bCs/>
          <w:sz w:val="24"/>
          <w:szCs w:val="24"/>
        </w:rPr>
        <w:t xml:space="preserve">Secțiunea 2. </w:t>
      </w:r>
      <w:r w:rsidRPr="00C451D2">
        <w:rPr>
          <w:rFonts w:ascii="Times New Roman" w:hAnsi="Times New Roman" w:cs="Times New Roman"/>
          <w:b/>
          <w:bCs/>
          <w:sz w:val="24"/>
          <w:szCs w:val="24"/>
        </w:rPr>
        <w:t>Activități</w:t>
      </w:r>
      <w:r w:rsidRPr="00BE34BF">
        <w:rPr>
          <w:rFonts w:ascii="Times New Roman" w:hAnsi="Times New Roman" w:cs="Times New Roman"/>
          <w:b/>
          <w:bCs/>
          <w:sz w:val="24"/>
          <w:szCs w:val="24"/>
        </w:rPr>
        <w:t xml:space="preserve"> cu mărfuri auxiliare</w:t>
      </w:r>
      <w:bookmarkEnd w:id="101"/>
    </w:p>
    <w:p w14:paraId="39D4D3A6" w14:textId="77777777" w:rsidR="00BE34BF" w:rsidRPr="00BE34BF" w:rsidRDefault="00BE34BF" w:rsidP="00BE34BF">
      <w:pPr>
        <w:rPr>
          <w:rFonts w:ascii="Times New Roman" w:hAnsi="Times New Roman" w:cs="Times New Roman"/>
          <w:sz w:val="24"/>
          <w:szCs w:val="24"/>
        </w:rPr>
      </w:pPr>
      <w:r w:rsidRPr="00BE34BF">
        <w:rPr>
          <w:rFonts w:ascii="Times New Roman" w:hAnsi="Times New Roman" w:cs="Times New Roman"/>
          <w:sz w:val="24"/>
          <w:szCs w:val="24"/>
        </w:rPr>
        <w:t>513.   Băncile care desfășoară activități cu mărfuri agricole auxiliare pot stabili cerințele de fonduri proprii pentru stocul fizic de mărfuri la sfârșitul fiecărui an pentru anul următor, dacă sunt îndeplinite toate condițiile următoare:</w:t>
      </w:r>
    </w:p>
    <w:p w14:paraId="34C84845" w14:textId="77777777" w:rsidR="00BE34BF" w:rsidRPr="00BE34BF" w:rsidRDefault="00BE34BF" w:rsidP="00BE34BF">
      <w:pPr>
        <w:rPr>
          <w:rFonts w:ascii="Times New Roman" w:hAnsi="Times New Roman" w:cs="Times New Roman"/>
          <w:sz w:val="24"/>
          <w:szCs w:val="24"/>
        </w:rPr>
      </w:pPr>
      <w:r w:rsidRPr="00BE34BF">
        <w:rPr>
          <w:rFonts w:ascii="Times New Roman" w:hAnsi="Times New Roman" w:cs="Times New Roman"/>
          <w:sz w:val="24"/>
          <w:szCs w:val="24"/>
        </w:rPr>
        <w:t>513.1. în orice moment al anului, banca deține fonduri proprii pentru acest risc care nu sunt mai mici decât media cerinței de fonduri proprii pentru riscul respectiv, estimată de o manieră prudentă pentru anul următor;</w:t>
      </w:r>
    </w:p>
    <w:p w14:paraId="0289450E" w14:textId="77777777" w:rsidR="00BE34BF" w:rsidRPr="00BE34BF" w:rsidRDefault="00BE34BF" w:rsidP="00BE34BF">
      <w:pPr>
        <w:rPr>
          <w:rFonts w:ascii="Times New Roman" w:hAnsi="Times New Roman" w:cs="Times New Roman"/>
          <w:sz w:val="24"/>
          <w:szCs w:val="24"/>
        </w:rPr>
      </w:pPr>
      <w:r w:rsidRPr="00BE34BF">
        <w:rPr>
          <w:rFonts w:ascii="Times New Roman" w:hAnsi="Times New Roman" w:cs="Times New Roman"/>
          <w:sz w:val="24"/>
          <w:szCs w:val="24"/>
        </w:rPr>
        <w:t>513.2. banca estimează de o manieră prudentă volatilitatea așteptată a cifrei calculate conformsubpct.513.1;</w:t>
      </w:r>
    </w:p>
    <w:p w14:paraId="672AD039" w14:textId="77777777" w:rsidR="00BE34BF" w:rsidRPr="00BE34BF" w:rsidRDefault="00BE34BF" w:rsidP="00BE34BF">
      <w:pPr>
        <w:rPr>
          <w:rFonts w:ascii="Times New Roman" w:hAnsi="Times New Roman" w:cs="Times New Roman"/>
          <w:sz w:val="24"/>
          <w:szCs w:val="24"/>
        </w:rPr>
      </w:pPr>
      <w:r w:rsidRPr="00BE34BF">
        <w:rPr>
          <w:rFonts w:ascii="Times New Roman" w:hAnsi="Times New Roman" w:cs="Times New Roman"/>
          <w:sz w:val="24"/>
          <w:szCs w:val="24"/>
        </w:rPr>
        <w:t xml:space="preserve">513.3. media cerinței de fonduri proprii pentru acest risc nu depășește 5 % din fondurile sale proprii sau echivalentul în lei </w:t>
      </w:r>
      <w:proofErr w:type="spellStart"/>
      <w:r w:rsidRPr="00BE34BF">
        <w:rPr>
          <w:rFonts w:ascii="Times New Roman" w:hAnsi="Times New Roman" w:cs="Times New Roman"/>
          <w:sz w:val="24"/>
          <w:szCs w:val="24"/>
        </w:rPr>
        <w:t>modovenești</w:t>
      </w:r>
      <w:proofErr w:type="spellEnd"/>
      <w:r w:rsidRPr="00BE34BF">
        <w:rPr>
          <w:rFonts w:ascii="Times New Roman" w:hAnsi="Times New Roman" w:cs="Times New Roman"/>
          <w:sz w:val="24"/>
          <w:szCs w:val="24"/>
        </w:rPr>
        <w:t xml:space="preserve"> a 1 milion EUR și, ținând cont de volatilitatea estimată în conformitate cusubpct.513.2, valoarea maximă așteptată a cerințelor de fonduri proprii nu depășește 6,5 % din fondurile sale proprii;</w:t>
      </w:r>
    </w:p>
    <w:p w14:paraId="54D31145" w14:textId="70830601" w:rsidR="00BE34BF" w:rsidRDefault="00BE34BF" w:rsidP="00BE34BF">
      <w:pPr>
        <w:rPr>
          <w:rFonts w:ascii="Times New Roman" w:hAnsi="Times New Roman" w:cs="Times New Roman"/>
          <w:sz w:val="24"/>
          <w:szCs w:val="24"/>
        </w:rPr>
      </w:pPr>
      <w:r w:rsidRPr="00BE34BF">
        <w:rPr>
          <w:rFonts w:ascii="Times New Roman" w:hAnsi="Times New Roman" w:cs="Times New Roman"/>
          <w:sz w:val="24"/>
          <w:szCs w:val="24"/>
        </w:rPr>
        <w:t>513.4. banca monitorizează în permanență dacă estimările efectuate în conformitate cu subpct.513.1 și 513.2 continuă să reflecte realitatea.</w:t>
      </w:r>
    </w:p>
    <w:p w14:paraId="5E83805D" w14:textId="75E06139" w:rsidR="00BE34BF" w:rsidRDefault="00BE34BF" w:rsidP="00BE34BF">
      <w:pPr>
        <w:rPr>
          <w:rFonts w:ascii="Times New Roman" w:hAnsi="Times New Roman" w:cs="Times New Roman"/>
          <w:sz w:val="24"/>
          <w:szCs w:val="24"/>
        </w:rPr>
      </w:pPr>
      <w:r w:rsidRPr="00BE34BF">
        <w:rPr>
          <w:rFonts w:ascii="Times New Roman" w:hAnsi="Times New Roman" w:cs="Times New Roman"/>
          <w:sz w:val="24"/>
          <w:szCs w:val="24"/>
        </w:rPr>
        <w:t>514.   Băncile notifică BNM cu privire la modul în care utilizează opțiunea prevăzută la pct.513.</w:t>
      </w:r>
    </w:p>
    <w:p w14:paraId="53DFB630" w14:textId="4DC40B60" w:rsidR="00BE34BF" w:rsidRDefault="00BE34BF" w:rsidP="00BE34BF">
      <w:pPr>
        <w:rPr>
          <w:rFonts w:ascii="Times New Roman" w:hAnsi="Times New Roman" w:cs="Times New Roman"/>
          <w:sz w:val="24"/>
          <w:szCs w:val="24"/>
        </w:rPr>
      </w:pPr>
      <w:bookmarkStart w:id="102" w:name="_Hlk195100365"/>
      <w:r w:rsidRPr="00CC1E9B">
        <w:rPr>
          <w:rFonts w:ascii="Times New Roman" w:hAnsi="Times New Roman" w:cs="Times New Roman"/>
          <w:b/>
          <w:bCs/>
          <w:sz w:val="24"/>
          <w:szCs w:val="24"/>
        </w:rPr>
        <w:t>Secțiunea 3.</w:t>
      </w:r>
      <w:r w:rsidRPr="00BE34BF">
        <w:rPr>
          <w:rFonts w:ascii="Times New Roman" w:hAnsi="Times New Roman" w:cs="Times New Roman"/>
          <w:i/>
          <w:iCs/>
          <w:sz w:val="24"/>
          <w:szCs w:val="24"/>
        </w:rPr>
        <w:t xml:space="preserve"> </w:t>
      </w:r>
      <w:r w:rsidRPr="00BE34BF">
        <w:rPr>
          <w:rFonts w:ascii="Times New Roman" w:hAnsi="Times New Roman" w:cs="Times New Roman"/>
          <w:b/>
          <w:bCs/>
          <w:sz w:val="24"/>
          <w:szCs w:val="24"/>
        </w:rPr>
        <w:t>Poziții pe mărfuri</w:t>
      </w:r>
      <w:bookmarkEnd w:id="102"/>
    </w:p>
    <w:p w14:paraId="3CBFC688" w14:textId="47D8BCAB" w:rsidR="00BE34BF" w:rsidRDefault="00BE34BF" w:rsidP="00BE34BF">
      <w:pPr>
        <w:rPr>
          <w:rFonts w:ascii="Times New Roman" w:hAnsi="Times New Roman" w:cs="Times New Roman"/>
          <w:sz w:val="24"/>
          <w:szCs w:val="24"/>
        </w:rPr>
      </w:pPr>
      <w:r w:rsidRPr="00BE34BF">
        <w:rPr>
          <w:rFonts w:ascii="Times New Roman" w:hAnsi="Times New Roman" w:cs="Times New Roman"/>
          <w:sz w:val="24"/>
          <w:szCs w:val="24"/>
        </w:rPr>
        <w:t>515.   Fiecare poziție pe mărfuri sau pe instrumente financiare derivate pe mărfuri se exprimă în unități de măsură standard. Prețul spot pentru fiecare marfă se exprimă în moneda de raportare.</w:t>
      </w:r>
    </w:p>
    <w:p w14:paraId="007739A8" w14:textId="290249C8" w:rsidR="00BE34BF" w:rsidRDefault="00610CE1" w:rsidP="000761E9">
      <w:pPr>
        <w:rPr>
          <w:rFonts w:ascii="Times New Roman" w:hAnsi="Times New Roman" w:cs="Times New Roman"/>
          <w:sz w:val="24"/>
          <w:szCs w:val="24"/>
        </w:rPr>
      </w:pPr>
      <w:r w:rsidRPr="00610CE1">
        <w:rPr>
          <w:rFonts w:ascii="Times New Roman" w:hAnsi="Times New Roman" w:cs="Times New Roman"/>
          <w:sz w:val="24"/>
          <w:szCs w:val="24"/>
        </w:rPr>
        <w:t>516.   Pentru calcularea riscului de marfă, pozițiile pe aur sau pe instrumente financiare derivate pe aur se consideră ca fiind supuse riscului valutar și se tratează conform capitolului 3.</w:t>
      </w:r>
    </w:p>
    <w:p w14:paraId="7E6F2971" w14:textId="5AFE0739" w:rsidR="00BE34BF" w:rsidRDefault="00610CE1" w:rsidP="000761E9">
      <w:pPr>
        <w:rPr>
          <w:rFonts w:ascii="Times New Roman" w:hAnsi="Times New Roman" w:cs="Times New Roman"/>
          <w:sz w:val="24"/>
          <w:szCs w:val="24"/>
        </w:rPr>
      </w:pPr>
      <w:r w:rsidRPr="00610CE1">
        <w:rPr>
          <w:rFonts w:ascii="Times New Roman" w:hAnsi="Times New Roman" w:cs="Times New Roman"/>
          <w:sz w:val="24"/>
          <w:szCs w:val="24"/>
        </w:rPr>
        <w:t xml:space="preserve">517.   În sensul </w:t>
      </w:r>
      <w:r w:rsidR="00B15B20" w:rsidRPr="00B15B20">
        <w:rPr>
          <w:rFonts w:ascii="Times New Roman" w:hAnsi="Times New Roman" w:cs="Times New Roman"/>
          <w:sz w:val="24"/>
          <w:szCs w:val="24"/>
        </w:rPr>
        <w:t>pct.530</w:t>
      </w:r>
      <w:r w:rsidRPr="00B15B20">
        <w:rPr>
          <w:rFonts w:ascii="Times New Roman" w:hAnsi="Times New Roman" w:cs="Times New Roman"/>
          <w:sz w:val="24"/>
          <w:szCs w:val="24"/>
        </w:rPr>
        <w:t>, excedentul pozițiilor lungi ale unei bănci față de pozițiile sale scurte, sau invers, pe o marfă și pe contracte</w:t>
      </w:r>
      <w:r w:rsidRPr="00610CE1">
        <w:rPr>
          <w:rFonts w:ascii="Times New Roman" w:hAnsi="Times New Roman" w:cs="Times New Roman"/>
          <w:sz w:val="24"/>
          <w:szCs w:val="24"/>
        </w:rPr>
        <w:t xml:space="preserve"> </w:t>
      </w:r>
      <w:proofErr w:type="spellStart"/>
      <w:r w:rsidRPr="00610CE1">
        <w:rPr>
          <w:rFonts w:ascii="Times New Roman" w:hAnsi="Times New Roman" w:cs="Times New Roman"/>
          <w:sz w:val="24"/>
          <w:szCs w:val="24"/>
        </w:rPr>
        <w:t>futures</w:t>
      </w:r>
      <w:proofErr w:type="spellEnd"/>
      <w:r w:rsidRPr="00610CE1">
        <w:rPr>
          <w:rFonts w:ascii="Times New Roman" w:hAnsi="Times New Roman" w:cs="Times New Roman"/>
          <w:sz w:val="24"/>
          <w:szCs w:val="24"/>
        </w:rPr>
        <w:t xml:space="preserve">, opțiuni și </w:t>
      </w:r>
      <w:proofErr w:type="spellStart"/>
      <w:r w:rsidRPr="00610CE1">
        <w:rPr>
          <w:rFonts w:ascii="Times New Roman" w:hAnsi="Times New Roman" w:cs="Times New Roman"/>
          <w:sz w:val="24"/>
          <w:szCs w:val="24"/>
        </w:rPr>
        <w:t>warranturi</w:t>
      </w:r>
      <w:proofErr w:type="spellEnd"/>
      <w:r w:rsidRPr="00610CE1">
        <w:rPr>
          <w:rFonts w:ascii="Times New Roman" w:hAnsi="Times New Roman" w:cs="Times New Roman"/>
          <w:sz w:val="24"/>
          <w:szCs w:val="24"/>
        </w:rPr>
        <w:t xml:space="preserve"> identice pe marfa respectivă reprezintă poziția sa netă pe acea marfă. Pozițiile pe instrumente financiare derivate sunt tratate, așa cum se prevede la secțiunea 4, ca poziții pe marfa-suport.</w:t>
      </w:r>
    </w:p>
    <w:p w14:paraId="7314E06E"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518.   În scopul calculării unei poziții pe o marfă, următoarele poziții sunt considerate poziții pe aceeași marfă:</w:t>
      </w:r>
    </w:p>
    <w:p w14:paraId="02F2E396"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lastRenderedPageBreak/>
        <w:t>518.1. poziții pe diferite subcategorii de mărfuri în cazurile în care subcategoriile sunt livrabile una contra celeilalte;</w:t>
      </w:r>
    </w:p>
    <w:p w14:paraId="55940C5D" w14:textId="3B119C47" w:rsid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518.2. poziții pe mărfuri similare dacă acestea au caracteristici apropiate, putând fi substituite, și dacă poate fi stabilită în mod clar o corelație minimă de 0,9 între variațiile de preț, pe durata a minimum un an.</w:t>
      </w:r>
    </w:p>
    <w:p w14:paraId="54F987FA" w14:textId="095E2B39" w:rsidR="00BE34BF" w:rsidRDefault="00610CE1" w:rsidP="000761E9">
      <w:pPr>
        <w:rPr>
          <w:rFonts w:ascii="Times New Roman" w:hAnsi="Times New Roman" w:cs="Times New Roman"/>
          <w:sz w:val="24"/>
          <w:szCs w:val="24"/>
        </w:rPr>
      </w:pPr>
      <w:bookmarkStart w:id="103" w:name="_Hlk195100386"/>
      <w:r w:rsidRPr="00CC1E9B">
        <w:rPr>
          <w:rFonts w:ascii="Times New Roman" w:hAnsi="Times New Roman" w:cs="Times New Roman"/>
          <w:b/>
          <w:bCs/>
          <w:sz w:val="24"/>
          <w:szCs w:val="24"/>
        </w:rPr>
        <w:t xml:space="preserve">Secțiunea 4. </w:t>
      </w:r>
      <w:r w:rsidRPr="00C451D2">
        <w:rPr>
          <w:rFonts w:ascii="Times New Roman" w:hAnsi="Times New Roman" w:cs="Times New Roman"/>
          <w:b/>
          <w:bCs/>
          <w:sz w:val="24"/>
          <w:szCs w:val="24"/>
        </w:rPr>
        <w:t>Instrumente</w:t>
      </w:r>
      <w:r w:rsidRPr="00610CE1">
        <w:rPr>
          <w:rFonts w:ascii="Times New Roman" w:hAnsi="Times New Roman" w:cs="Times New Roman"/>
          <w:b/>
          <w:bCs/>
          <w:sz w:val="24"/>
          <w:szCs w:val="24"/>
        </w:rPr>
        <w:t xml:space="preserve"> speciale</w:t>
      </w:r>
      <w:bookmarkEnd w:id="103"/>
    </w:p>
    <w:p w14:paraId="2202249B" w14:textId="0B09EC4C" w:rsidR="00BE34BF" w:rsidRDefault="00610CE1" w:rsidP="000761E9">
      <w:pPr>
        <w:rPr>
          <w:rFonts w:ascii="Times New Roman" w:hAnsi="Times New Roman" w:cs="Times New Roman"/>
          <w:sz w:val="24"/>
          <w:szCs w:val="24"/>
        </w:rPr>
      </w:pPr>
      <w:r w:rsidRPr="00610CE1">
        <w:rPr>
          <w:rFonts w:ascii="Times New Roman" w:hAnsi="Times New Roman" w:cs="Times New Roman"/>
          <w:sz w:val="24"/>
          <w:szCs w:val="24"/>
        </w:rPr>
        <w:t xml:space="preserve">519.  Contractele </w:t>
      </w:r>
      <w:proofErr w:type="spellStart"/>
      <w:r w:rsidRPr="00610CE1">
        <w:rPr>
          <w:rFonts w:ascii="Times New Roman" w:hAnsi="Times New Roman" w:cs="Times New Roman"/>
          <w:sz w:val="24"/>
          <w:szCs w:val="24"/>
        </w:rPr>
        <w:t>futures</w:t>
      </w:r>
      <w:proofErr w:type="spellEnd"/>
      <w:r w:rsidRPr="00610CE1">
        <w:rPr>
          <w:rFonts w:ascii="Times New Roman" w:hAnsi="Times New Roman" w:cs="Times New Roman"/>
          <w:sz w:val="24"/>
          <w:szCs w:val="24"/>
        </w:rPr>
        <w:t xml:space="preserve"> pe mărfuri și angajamentele </w:t>
      </w:r>
      <w:proofErr w:type="spellStart"/>
      <w:r w:rsidRPr="00610CE1">
        <w:rPr>
          <w:rFonts w:ascii="Times New Roman" w:hAnsi="Times New Roman" w:cs="Times New Roman"/>
          <w:sz w:val="24"/>
          <w:szCs w:val="24"/>
        </w:rPr>
        <w:t>forward</w:t>
      </w:r>
      <w:proofErr w:type="spellEnd"/>
      <w:r w:rsidRPr="00610CE1">
        <w:rPr>
          <w:rFonts w:ascii="Times New Roman" w:hAnsi="Times New Roman" w:cs="Times New Roman"/>
          <w:sz w:val="24"/>
          <w:szCs w:val="24"/>
        </w:rPr>
        <w:t xml:space="preserve"> de a cumpăra sau de a vinde mărfuri individuale se încorporează în sistemul de cuantificare ca cuantumuri noționale exprimate în unități de măsură standard și li se atribuie o scadență în funcție de data expirării.</w:t>
      </w:r>
    </w:p>
    <w:p w14:paraId="73E70850" w14:textId="2517C8EC" w:rsidR="00BE34BF" w:rsidRDefault="00610CE1" w:rsidP="000761E9">
      <w:pPr>
        <w:rPr>
          <w:rFonts w:ascii="Times New Roman" w:hAnsi="Times New Roman" w:cs="Times New Roman"/>
          <w:sz w:val="24"/>
          <w:szCs w:val="24"/>
        </w:rPr>
      </w:pPr>
      <w:r w:rsidRPr="00610CE1">
        <w:rPr>
          <w:rFonts w:ascii="Times New Roman" w:hAnsi="Times New Roman" w:cs="Times New Roman"/>
          <w:sz w:val="24"/>
          <w:szCs w:val="24"/>
        </w:rPr>
        <w:t>520.  </w:t>
      </w:r>
      <w:proofErr w:type="spellStart"/>
      <w:r w:rsidRPr="00610CE1">
        <w:rPr>
          <w:rFonts w:ascii="Times New Roman" w:hAnsi="Times New Roman" w:cs="Times New Roman"/>
          <w:sz w:val="24"/>
          <w:szCs w:val="24"/>
        </w:rPr>
        <w:t>Swapurile</w:t>
      </w:r>
      <w:proofErr w:type="spellEnd"/>
      <w:r w:rsidRPr="00610CE1">
        <w:rPr>
          <w:rFonts w:ascii="Times New Roman" w:hAnsi="Times New Roman" w:cs="Times New Roman"/>
          <w:sz w:val="24"/>
          <w:szCs w:val="24"/>
        </w:rPr>
        <w:t xml:space="preserve"> pe mărfuri, în care un segment al tranzacției este un preț fixat, iar celălalt este prețul de piață curent, sunt tratate ca o serie de poziții egale cu cuantumul noțional al contractului, o poziție corespunzând, unde este cazul, fiecărei plăți aferente </w:t>
      </w:r>
      <w:proofErr w:type="spellStart"/>
      <w:r w:rsidRPr="00610CE1">
        <w:rPr>
          <w:rFonts w:ascii="Times New Roman" w:hAnsi="Times New Roman" w:cs="Times New Roman"/>
          <w:sz w:val="24"/>
          <w:szCs w:val="24"/>
        </w:rPr>
        <w:t>swapului</w:t>
      </w:r>
      <w:proofErr w:type="spellEnd"/>
      <w:r w:rsidRPr="00610CE1">
        <w:rPr>
          <w:rFonts w:ascii="Times New Roman" w:hAnsi="Times New Roman" w:cs="Times New Roman"/>
          <w:sz w:val="24"/>
          <w:szCs w:val="24"/>
        </w:rPr>
        <w:t xml:space="preserve">, și sunt încadrate în benzile de scadență prevăzute la pct.524. Pozițiile sunt poziții lungi dacă banca plătește un preț fix și primește un preț variabil și sunt poziții scurte dacă banca primește un preț fix și plătește un preț variabil. </w:t>
      </w:r>
      <w:proofErr w:type="spellStart"/>
      <w:r w:rsidRPr="00610CE1">
        <w:rPr>
          <w:rFonts w:ascii="Times New Roman" w:hAnsi="Times New Roman" w:cs="Times New Roman"/>
          <w:sz w:val="24"/>
          <w:szCs w:val="24"/>
        </w:rPr>
        <w:t>Swapurile</w:t>
      </w:r>
      <w:proofErr w:type="spellEnd"/>
      <w:r w:rsidRPr="00610CE1">
        <w:rPr>
          <w:rFonts w:ascii="Times New Roman" w:hAnsi="Times New Roman" w:cs="Times New Roman"/>
          <w:sz w:val="24"/>
          <w:szCs w:val="24"/>
        </w:rPr>
        <w:t xml:space="preserve"> pe mărfuri, în care segmentele tranzacției sunt pe mărfuri diferite, se raportează în benzile de scadență relevante pentru abordarea pe benzi de scadență.</w:t>
      </w:r>
    </w:p>
    <w:p w14:paraId="0F3C766E"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 xml:space="preserve">521.   În sensul prezentului capitol, opțiunile și </w:t>
      </w:r>
      <w:proofErr w:type="spellStart"/>
      <w:r w:rsidRPr="00610CE1">
        <w:rPr>
          <w:rFonts w:ascii="Times New Roman" w:hAnsi="Times New Roman" w:cs="Times New Roman"/>
          <w:sz w:val="24"/>
          <w:szCs w:val="24"/>
        </w:rPr>
        <w:t>warranturile</w:t>
      </w:r>
      <w:proofErr w:type="spellEnd"/>
      <w:r w:rsidRPr="00610CE1">
        <w:rPr>
          <w:rFonts w:ascii="Times New Roman" w:hAnsi="Times New Roman" w:cs="Times New Roman"/>
          <w:sz w:val="24"/>
          <w:szCs w:val="24"/>
        </w:rPr>
        <w:t xml:space="preserve"> pe mărfuri sau pe instrumentele financiare derivate pe mărfuri se tratează ca și cum ar fi poziții egale în valoare cu suma aferentă instrumentului-suport la care se referă opțiunea, înmulțită cu valoarea delta aferentă. Pozițiile astfel obținute pot fi compensate cu orice poziții de semn opus pe mărfuri fungibile identice cu marfa fungibilă suport, sau pe instrumente financiare derivate pe mărfuri fungibile identice cu instrumentul financiar derivat-suport. Valoarea delta utilizată este cea a bursei în cauză. În cazul opțiunilor pentru instrumente financiare derivate </w:t>
      </w:r>
      <w:proofErr w:type="spellStart"/>
      <w:r w:rsidRPr="00610CE1">
        <w:rPr>
          <w:rFonts w:ascii="Times New Roman" w:hAnsi="Times New Roman" w:cs="Times New Roman"/>
          <w:sz w:val="24"/>
          <w:szCs w:val="24"/>
        </w:rPr>
        <w:t>extrabursiere</w:t>
      </w:r>
      <w:proofErr w:type="spellEnd"/>
      <w:r w:rsidRPr="00610CE1">
        <w:rPr>
          <w:rFonts w:ascii="Times New Roman" w:hAnsi="Times New Roman" w:cs="Times New Roman"/>
          <w:sz w:val="24"/>
          <w:szCs w:val="24"/>
        </w:rPr>
        <w:t xml:space="preserve"> sau în cazul în care valoarea delta nu este disponibilă la bursa în cauză, banca poate calcula ea însăși valoarea delta cu ajutorul unui model adecvat, cu aprobarea BNM. Aprobarea se acordă dacă modelul estimează în mod adecvat rata de modificare a valorii opțiunii sau </w:t>
      </w:r>
      <w:proofErr w:type="spellStart"/>
      <w:r w:rsidRPr="00610CE1">
        <w:rPr>
          <w:rFonts w:ascii="Times New Roman" w:hAnsi="Times New Roman" w:cs="Times New Roman"/>
          <w:sz w:val="24"/>
          <w:szCs w:val="24"/>
        </w:rPr>
        <w:t>warrantului</w:t>
      </w:r>
      <w:proofErr w:type="spellEnd"/>
      <w:r w:rsidRPr="00610CE1">
        <w:rPr>
          <w:rFonts w:ascii="Times New Roman" w:hAnsi="Times New Roman" w:cs="Times New Roman"/>
          <w:sz w:val="24"/>
          <w:szCs w:val="24"/>
        </w:rPr>
        <w:t xml:space="preserve"> în raport cu modificări minore ale prețului de piață al suportului.</w:t>
      </w:r>
    </w:p>
    <w:p w14:paraId="31B2D747" w14:textId="3BCC2557" w:rsidR="00BE34BF" w:rsidRDefault="00610CE1" w:rsidP="000761E9">
      <w:pPr>
        <w:rPr>
          <w:rFonts w:ascii="Times New Roman" w:hAnsi="Times New Roman" w:cs="Times New Roman"/>
          <w:sz w:val="24"/>
          <w:szCs w:val="24"/>
        </w:rPr>
      </w:pPr>
      <w:r w:rsidRPr="00610CE1">
        <w:rPr>
          <w:rFonts w:ascii="Times New Roman" w:hAnsi="Times New Roman" w:cs="Times New Roman"/>
          <w:sz w:val="24"/>
          <w:szCs w:val="24"/>
        </w:rPr>
        <w:t>522. Băncile reflectă în mod adecvat riscurile asociate cu opțiunile, altele decât riscul delta, în cerințele de fonduri proprii în conformitate cu metodele prevăzute în anexa nr.5.</w:t>
      </w:r>
    </w:p>
    <w:p w14:paraId="33E18630"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523.   Dacă o bancă are una dintre calitățile de mai jos, aceasta include mărfurile în cauză în calculul cerinței de fonduri proprii pentru riscul de marfă:</w:t>
      </w:r>
    </w:p>
    <w:p w14:paraId="6DE5B60D"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 xml:space="preserve">523.1. cedent de mărfuri sau drepturi garantate referitoare la proprietatea mărfurilor în cadrul unui acord </w:t>
      </w:r>
      <w:proofErr w:type="spellStart"/>
      <w:r w:rsidRPr="00610CE1">
        <w:rPr>
          <w:rFonts w:ascii="Times New Roman" w:hAnsi="Times New Roman" w:cs="Times New Roman"/>
          <w:sz w:val="24"/>
          <w:szCs w:val="24"/>
        </w:rPr>
        <w:t>repo</w:t>
      </w:r>
      <w:proofErr w:type="spellEnd"/>
      <w:r w:rsidRPr="00610CE1">
        <w:rPr>
          <w:rFonts w:ascii="Times New Roman" w:hAnsi="Times New Roman" w:cs="Times New Roman"/>
          <w:sz w:val="24"/>
          <w:szCs w:val="24"/>
        </w:rPr>
        <w:t>;</w:t>
      </w:r>
    </w:p>
    <w:p w14:paraId="63509F54" w14:textId="20861007" w:rsidR="00BE34BF"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523.2. împrumutător de mărfuri în cadrul unui contract de dare de mărfuri cu împrumut.</w:t>
      </w:r>
    </w:p>
    <w:p w14:paraId="5EA8BD96" w14:textId="3485AAEE" w:rsidR="00BE34BF" w:rsidRDefault="00610CE1" w:rsidP="000761E9">
      <w:pPr>
        <w:rPr>
          <w:rFonts w:ascii="Times New Roman" w:hAnsi="Times New Roman" w:cs="Times New Roman"/>
          <w:sz w:val="24"/>
          <w:szCs w:val="24"/>
        </w:rPr>
      </w:pPr>
      <w:r w:rsidRPr="00CC1E9B">
        <w:rPr>
          <w:rFonts w:ascii="Times New Roman" w:hAnsi="Times New Roman" w:cs="Times New Roman"/>
          <w:b/>
          <w:bCs/>
          <w:sz w:val="24"/>
          <w:szCs w:val="24"/>
        </w:rPr>
        <w:t>Secțiunea 5.</w:t>
      </w:r>
      <w:r w:rsidRPr="00610CE1">
        <w:rPr>
          <w:rFonts w:ascii="Times New Roman" w:hAnsi="Times New Roman" w:cs="Times New Roman"/>
          <w:i/>
          <w:iCs/>
          <w:sz w:val="24"/>
          <w:szCs w:val="24"/>
        </w:rPr>
        <w:t xml:space="preserve"> </w:t>
      </w:r>
      <w:r w:rsidRPr="00610CE1">
        <w:rPr>
          <w:rFonts w:ascii="Times New Roman" w:hAnsi="Times New Roman" w:cs="Times New Roman"/>
          <w:b/>
          <w:bCs/>
          <w:sz w:val="24"/>
          <w:szCs w:val="24"/>
        </w:rPr>
        <w:t>Abordarea pe benzi de scadență</w:t>
      </w:r>
    </w:p>
    <w:p w14:paraId="21E1CFB8" w14:textId="5F923B49" w:rsidR="00BE34BF" w:rsidRDefault="00610CE1" w:rsidP="000761E9">
      <w:pPr>
        <w:rPr>
          <w:rFonts w:ascii="Times New Roman" w:hAnsi="Times New Roman" w:cs="Times New Roman"/>
          <w:sz w:val="24"/>
          <w:szCs w:val="24"/>
        </w:rPr>
      </w:pPr>
      <w:r w:rsidRPr="00610CE1">
        <w:rPr>
          <w:rFonts w:ascii="Times New Roman" w:hAnsi="Times New Roman" w:cs="Times New Roman"/>
          <w:sz w:val="24"/>
          <w:szCs w:val="24"/>
        </w:rPr>
        <w:t>524.   Banca utilizează un tabel cu benzi de scadență, separat pentru fiecare marfă, conform tabelului 1. Toate pozițiile pe acea marfă se încadrează în benzile de scadență corespunzătoare. Stocurile fizice se încadrează pe prima bandă de scadență, între 0 și 1 lună, inclusiv.</w:t>
      </w:r>
    </w:p>
    <w:p w14:paraId="49F84CAC" w14:textId="77777777" w:rsidR="00610CE1" w:rsidRPr="00CC1E9B" w:rsidRDefault="00610CE1" w:rsidP="00610CE1">
      <w:pPr>
        <w:rPr>
          <w:rFonts w:ascii="Times New Roman" w:hAnsi="Times New Roman" w:cs="Times New Roman"/>
          <w:b/>
          <w:bCs/>
          <w:i/>
          <w:iCs/>
          <w:sz w:val="24"/>
          <w:szCs w:val="24"/>
        </w:rPr>
      </w:pPr>
      <w:r w:rsidRPr="00CC1E9B">
        <w:rPr>
          <w:rFonts w:ascii="Times New Roman" w:hAnsi="Times New Roman" w:cs="Times New Roman"/>
          <w:b/>
          <w:bCs/>
          <w:i/>
          <w:iCs/>
          <w:sz w:val="24"/>
          <w:szCs w:val="24"/>
        </w:rPr>
        <w:t>Tabelul 1</w:t>
      </w: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926"/>
        <w:gridCol w:w="1674"/>
      </w:tblGrid>
      <w:tr w:rsidR="00610CE1" w:rsidRPr="00610CE1" w14:paraId="550E9A38" w14:textId="77777777" w:rsidTr="00CA7AEE">
        <w:trPr>
          <w:jc w:val="center"/>
        </w:trPr>
        <w:tc>
          <w:tcPr>
            <w:tcW w:w="19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A23F52" w14:textId="77777777" w:rsidR="00610CE1" w:rsidRPr="00610CE1" w:rsidRDefault="00610CE1" w:rsidP="00610CE1">
            <w:pPr>
              <w:rPr>
                <w:rFonts w:ascii="Times New Roman" w:hAnsi="Times New Roman" w:cs="Times New Roman"/>
                <w:b/>
                <w:bCs/>
                <w:sz w:val="24"/>
                <w:szCs w:val="24"/>
              </w:rPr>
            </w:pPr>
            <w:r w:rsidRPr="00610CE1">
              <w:rPr>
                <w:rFonts w:ascii="Times New Roman" w:hAnsi="Times New Roman" w:cs="Times New Roman"/>
                <w:b/>
                <w:bCs/>
                <w:sz w:val="24"/>
                <w:szCs w:val="24"/>
              </w:rPr>
              <w:t>Bandă de scadență</w:t>
            </w:r>
          </w:p>
          <w:p w14:paraId="4C6408A7" w14:textId="77777777" w:rsidR="00610CE1" w:rsidRPr="00610CE1" w:rsidRDefault="00610CE1" w:rsidP="00610CE1">
            <w:pPr>
              <w:rPr>
                <w:rFonts w:ascii="Times New Roman" w:hAnsi="Times New Roman" w:cs="Times New Roman"/>
                <w:b/>
                <w:bCs/>
                <w:sz w:val="24"/>
                <w:szCs w:val="24"/>
              </w:rPr>
            </w:pPr>
            <w:r w:rsidRPr="00610CE1">
              <w:rPr>
                <w:rFonts w:ascii="Times New Roman" w:hAnsi="Times New Roman" w:cs="Times New Roman"/>
                <w:b/>
                <w:bCs/>
                <w:sz w:val="24"/>
                <w:szCs w:val="24"/>
              </w:rPr>
              <w:t>(1)</w:t>
            </w:r>
          </w:p>
        </w:tc>
        <w:tc>
          <w:tcPr>
            <w:tcW w:w="1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ACBCAB" w14:textId="77777777" w:rsidR="00610CE1" w:rsidRPr="00610CE1" w:rsidRDefault="00610CE1" w:rsidP="00610CE1">
            <w:pPr>
              <w:rPr>
                <w:rFonts w:ascii="Times New Roman" w:hAnsi="Times New Roman" w:cs="Times New Roman"/>
                <w:b/>
                <w:bCs/>
                <w:sz w:val="24"/>
                <w:szCs w:val="24"/>
              </w:rPr>
            </w:pPr>
            <w:r w:rsidRPr="00610CE1">
              <w:rPr>
                <w:rFonts w:ascii="Times New Roman" w:hAnsi="Times New Roman" w:cs="Times New Roman"/>
                <w:b/>
                <w:bCs/>
                <w:sz w:val="24"/>
                <w:szCs w:val="24"/>
              </w:rPr>
              <w:t xml:space="preserve">Rata </w:t>
            </w:r>
            <w:proofErr w:type="spellStart"/>
            <w:r w:rsidRPr="00610CE1">
              <w:rPr>
                <w:rFonts w:ascii="Times New Roman" w:hAnsi="Times New Roman" w:cs="Times New Roman"/>
                <w:b/>
                <w:bCs/>
                <w:sz w:val="24"/>
                <w:szCs w:val="24"/>
              </w:rPr>
              <w:t>spread</w:t>
            </w:r>
            <w:proofErr w:type="spellEnd"/>
            <w:r w:rsidRPr="00610CE1">
              <w:rPr>
                <w:rFonts w:ascii="Times New Roman" w:hAnsi="Times New Roman" w:cs="Times New Roman"/>
                <w:b/>
                <w:bCs/>
                <w:sz w:val="24"/>
                <w:szCs w:val="24"/>
              </w:rPr>
              <w:t xml:space="preserve"> (%)</w:t>
            </w:r>
          </w:p>
          <w:p w14:paraId="61CEC955" w14:textId="77777777" w:rsidR="00610CE1" w:rsidRPr="00610CE1" w:rsidRDefault="00610CE1" w:rsidP="00610CE1">
            <w:pPr>
              <w:rPr>
                <w:rFonts w:ascii="Times New Roman" w:hAnsi="Times New Roman" w:cs="Times New Roman"/>
                <w:b/>
                <w:bCs/>
                <w:sz w:val="24"/>
                <w:szCs w:val="24"/>
              </w:rPr>
            </w:pPr>
            <w:r w:rsidRPr="00610CE1">
              <w:rPr>
                <w:rFonts w:ascii="Times New Roman" w:hAnsi="Times New Roman" w:cs="Times New Roman"/>
                <w:b/>
                <w:bCs/>
                <w:sz w:val="24"/>
                <w:szCs w:val="24"/>
              </w:rPr>
              <w:t>(2)</w:t>
            </w:r>
          </w:p>
        </w:tc>
      </w:tr>
      <w:tr w:rsidR="00610CE1" w:rsidRPr="00610CE1" w14:paraId="1FCFC224" w14:textId="77777777" w:rsidTr="00CA7AEE">
        <w:trPr>
          <w:jc w:val="center"/>
        </w:trPr>
        <w:tc>
          <w:tcPr>
            <w:tcW w:w="19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3F361B"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0 ≤ 1 lună</w:t>
            </w:r>
          </w:p>
        </w:tc>
        <w:tc>
          <w:tcPr>
            <w:tcW w:w="1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0B6288"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1,50</w:t>
            </w:r>
          </w:p>
        </w:tc>
      </w:tr>
      <w:tr w:rsidR="00610CE1" w:rsidRPr="00610CE1" w14:paraId="41BEBA20" w14:textId="77777777" w:rsidTr="00CA7AEE">
        <w:trPr>
          <w:jc w:val="center"/>
        </w:trPr>
        <w:tc>
          <w:tcPr>
            <w:tcW w:w="19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57A48A"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lastRenderedPageBreak/>
              <w:t>&gt; 1 ≤ 3 luni</w:t>
            </w:r>
          </w:p>
        </w:tc>
        <w:tc>
          <w:tcPr>
            <w:tcW w:w="1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500438"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1,50</w:t>
            </w:r>
          </w:p>
        </w:tc>
      </w:tr>
      <w:tr w:rsidR="00610CE1" w:rsidRPr="00610CE1" w14:paraId="3D410F05" w14:textId="77777777" w:rsidTr="00CA7AEE">
        <w:trPr>
          <w:jc w:val="center"/>
        </w:trPr>
        <w:tc>
          <w:tcPr>
            <w:tcW w:w="19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F7476C"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&gt; 3 ≤ 6 luni</w:t>
            </w:r>
          </w:p>
        </w:tc>
        <w:tc>
          <w:tcPr>
            <w:tcW w:w="1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7BE65B"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1,50</w:t>
            </w:r>
          </w:p>
        </w:tc>
      </w:tr>
      <w:tr w:rsidR="00610CE1" w:rsidRPr="00610CE1" w14:paraId="51ED5D3E" w14:textId="77777777" w:rsidTr="00CA7AEE">
        <w:trPr>
          <w:jc w:val="center"/>
        </w:trPr>
        <w:tc>
          <w:tcPr>
            <w:tcW w:w="19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EA041E"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&gt; 6 ≤ 12 luni</w:t>
            </w:r>
          </w:p>
        </w:tc>
        <w:tc>
          <w:tcPr>
            <w:tcW w:w="1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ACA972"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1,50</w:t>
            </w:r>
          </w:p>
        </w:tc>
      </w:tr>
      <w:tr w:rsidR="00610CE1" w:rsidRPr="00610CE1" w14:paraId="62FB4133" w14:textId="77777777" w:rsidTr="00CA7AEE">
        <w:trPr>
          <w:jc w:val="center"/>
        </w:trPr>
        <w:tc>
          <w:tcPr>
            <w:tcW w:w="19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1F03C5"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&gt; 1 ≤ 2 ani</w:t>
            </w:r>
          </w:p>
        </w:tc>
        <w:tc>
          <w:tcPr>
            <w:tcW w:w="1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E053CA"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1,50</w:t>
            </w:r>
          </w:p>
        </w:tc>
      </w:tr>
      <w:tr w:rsidR="00610CE1" w:rsidRPr="00610CE1" w14:paraId="43F42521" w14:textId="77777777" w:rsidTr="00CA7AEE">
        <w:trPr>
          <w:jc w:val="center"/>
        </w:trPr>
        <w:tc>
          <w:tcPr>
            <w:tcW w:w="19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01330B"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&gt; 2 ≤ 3 ani</w:t>
            </w:r>
          </w:p>
        </w:tc>
        <w:tc>
          <w:tcPr>
            <w:tcW w:w="1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100DF4"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1,50</w:t>
            </w:r>
          </w:p>
        </w:tc>
      </w:tr>
      <w:tr w:rsidR="00610CE1" w:rsidRPr="00610CE1" w14:paraId="3099E977" w14:textId="77777777" w:rsidTr="00CA7AEE">
        <w:trPr>
          <w:jc w:val="center"/>
        </w:trPr>
        <w:tc>
          <w:tcPr>
            <w:tcW w:w="19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413484"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&gt; 3 ani</w:t>
            </w:r>
          </w:p>
        </w:tc>
        <w:tc>
          <w:tcPr>
            <w:tcW w:w="167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88510B"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1,50</w:t>
            </w:r>
          </w:p>
        </w:tc>
      </w:tr>
    </w:tbl>
    <w:p w14:paraId="62C4E88F" w14:textId="77777777" w:rsidR="00610CE1" w:rsidRDefault="00610CE1" w:rsidP="00610CE1">
      <w:pPr>
        <w:rPr>
          <w:rFonts w:ascii="Times New Roman" w:hAnsi="Times New Roman" w:cs="Times New Roman"/>
          <w:sz w:val="24"/>
          <w:szCs w:val="24"/>
        </w:rPr>
      </w:pPr>
    </w:p>
    <w:p w14:paraId="2B37B2C1" w14:textId="3E4E7400"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525.   Pozițiile pe aceeași marfă pot fi compensate și pot fi încadrate pe benzile de scadență corespunzătoare pe bază netă pentru:</w:t>
      </w:r>
    </w:p>
    <w:p w14:paraId="12D17354"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525.1. pozițiile pe contracte care au scadența la aceeași dată;</w:t>
      </w:r>
    </w:p>
    <w:p w14:paraId="79D867E0" w14:textId="08420F7F" w:rsidR="00BE34BF"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525.2. pozițiile pe contracte care înregistrează unul față de celălalt o diferență de scadență de maximum 10 zile, dacă contractele sunt tranzacționate pe piețe care au date de livrare zilnice.</w:t>
      </w:r>
    </w:p>
    <w:p w14:paraId="45D49F9E" w14:textId="4E688C42" w:rsid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526.   Apoi, banca calculează suma pozițiilor lungi și suma pozițiilor scurte în fiecare bandă de scadență. Suma pozițiilor lungi puse în corespondență cu pozițiile scurte într-o anumită bandă de scadență reprezintă pozițiile puse în corespondență în acea bandă de scadență, în timp ce poziția reziduală lungă sau scurtă reprezintă poziția nepusă în corespondență pentru aceeași bandă.</w:t>
      </w:r>
    </w:p>
    <w:p w14:paraId="5390429F" w14:textId="2346B0DF" w:rsid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527.   Acea parte a poziției lungi, nepusă în corespondență în cadrul unei anumite benzi de scadență, care este, mai departe, pusă în corespondență cu poziția scurtă, nepusă în corespondență în cadrul unei benzi de scadență, sau invers, reprezintă poziția pusă în corespondență între două benzi de scadență. Acea parte a poziției lungi sau scurte, nepusă în corespondență, care nu poate fi astfel pusă în corespondență, reprezintă poziția nepusă în corespondență.</w:t>
      </w:r>
    </w:p>
    <w:p w14:paraId="4C5AA599"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528.   Cerința de fonduri proprii a băncii pentru fiecare marfă se calculează, pe baza benzilor de scadență relevante, ca sumă a următoarelor:</w:t>
      </w:r>
    </w:p>
    <w:p w14:paraId="4C8FC3A9"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 xml:space="preserve">528.1. suma pozițiilor lungi și scurte puse în corespondență, înmulțită cu rata </w:t>
      </w:r>
      <w:proofErr w:type="spellStart"/>
      <w:r w:rsidRPr="00610CE1">
        <w:rPr>
          <w:rFonts w:ascii="Times New Roman" w:hAnsi="Times New Roman" w:cs="Times New Roman"/>
          <w:sz w:val="24"/>
          <w:szCs w:val="24"/>
        </w:rPr>
        <w:t>spread</w:t>
      </w:r>
      <w:proofErr w:type="spellEnd"/>
      <w:r w:rsidRPr="00610CE1">
        <w:rPr>
          <w:rFonts w:ascii="Times New Roman" w:hAnsi="Times New Roman" w:cs="Times New Roman"/>
          <w:sz w:val="24"/>
          <w:szCs w:val="24"/>
        </w:rPr>
        <w:t xml:space="preserve"> corespunzătoare, așa cum se indică în a doua coloană a tabelului 1, pentru fiecare bandă de scadență, și cu prețul spot al mărfii;</w:t>
      </w:r>
    </w:p>
    <w:p w14:paraId="42520582" w14:textId="77777777" w:rsidR="00610CE1" w:rsidRP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528.2. poziția pusă în corespondență între două benzi de scadență, înmulțită, pentru fiecare bandă de scadență în care o poziție nepusă în corespondență este reportată, cu 0,6 %, care este rata carry, și cu prețul spot al mărfii;</w:t>
      </w:r>
    </w:p>
    <w:p w14:paraId="00AF2124" w14:textId="5FAA2145" w:rsid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 xml:space="preserve">528.3. pozițiile reziduale nepuse în corespondență, înmulțite cu 15 %, care este rata </w:t>
      </w:r>
      <w:proofErr w:type="spellStart"/>
      <w:r w:rsidRPr="00610CE1">
        <w:rPr>
          <w:rFonts w:ascii="Times New Roman" w:hAnsi="Times New Roman" w:cs="Times New Roman"/>
          <w:sz w:val="24"/>
          <w:szCs w:val="24"/>
        </w:rPr>
        <w:t>outright</w:t>
      </w:r>
      <w:proofErr w:type="spellEnd"/>
      <w:r w:rsidRPr="00610CE1">
        <w:rPr>
          <w:rFonts w:ascii="Times New Roman" w:hAnsi="Times New Roman" w:cs="Times New Roman"/>
          <w:sz w:val="24"/>
          <w:szCs w:val="24"/>
        </w:rPr>
        <w:t>, și cu prețul spot al mărfii.</w:t>
      </w:r>
    </w:p>
    <w:p w14:paraId="54C886AB" w14:textId="3F1ED1C8" w:rsidR="00610CE1" w:rsidRDefault="00610CE1" w:rsidP="00610CE1">
      <w:pPr>
        <w:rPr>
          <w:rFonts w:ascii="Times New Roman" w:hAnsi="Times New Roman" w:cs="Times New Roman"/>
          <w:sz w:val="24"/>
          <w:szCs w:val="24"/>
        </w:rPr>
      </w:pPr>
      <w:r w:rsidRPr="00610CE1">
        <w:rPr>
          <w:rFonts w:ascii="Times New Roman" w:hAnsi="Times New Roman" w:cs="Times New Roman"/>
          <w:sz w:val="24"/>
          <w:szCs w:val="24"/>
        </w:rPr>
        <w:t>529.   Cerința de fonduri proprii totală a băncii pentru riscul de marfă se calculează ca sumă a cerințelor de fonduri proprii calculate pentru fiecare marfă, conformpct.528.</w:t>
      </w:r>
    </w:p>
    <w:p w14:paraId="4644B80C" w14:textId="0D64B3A9" w:rsidR="00610CE1" w:rsidRDefault="00CE0B27" w:rsidP="00610CE1">
      <w:pPr>
        <w:rPr>
          <w:rFonts w:ascii="Times New Roman" w:hAnsi="Times New Roman" w:cs="Times New Roman"/>
          <w:sz w:val="24"/>
          <w:szCs w:val="24"/>
        </w:rPr>
      </w:pPr>
      <w:bookmarkStart w:id="104" w:name="_Hlk195100437"/>
      <w:r w:rsidRPr="00CC1E9B">
        <w:rPr>
          <w:rFonts w:ascii="Times New Roman" w:hAnsi="Times New Roman" w:cs="Times New Roman"/>
          <w:b/>
          <w:bCs/>
          <w:sz w:val="24"/>
          <w:szCs w:val="24"/>
        </w:rPr>
        <w:t>Secțiunea 6.</w:t>
      </w:r>
      <w:r w:rsidRPr="00CE0B27">
        <w:rPr>
          <w:rFonts w:ascii="Times New Roman" w:hAnsi="Times New Roman" w:cs="Times New Roman"/>
          <w:i/>
          <w:iCs/>
          <w:sz w:val="24"/>
          <w:szCs w:val="24"/>
        </w:rPr>
        <w:t xml:space="preserve"> </w:t>
      </w:r>
      <w:r w:rsidRPr="00CE0B27">
        <w:rPr>
          <w:rFonts w:ascii="Times New Roman" w:hAnsi="Times New Roman" w:cs="Times New Roman"/>
          <w:b/>
          <w:bCs/>
          <w:sz w:val="24"/>
          <w:szCs w:val="24"/>
        </w:rPr>
        <w:t>Abordare simplificată</w:t>
      </w:r>
      <w:bookmarkEnd w:id="104"/>
    </w:p>
    <w:p w14:paraId="26DAE282" w14:textId="77777777" w:rsidR="00CE0B27" w:rsidRPr="00CE0B27" w:rsidRDefault="00CE0B27" w:rsidP="00CE0B27">
      <w:pPr>
        <w:rPr>
          <w:rFonts w:ascii="Times New Roman" w:hAnsi="Times New Roman" w:cs="Times New Roman"/>
          <w:sz w:val="24"/>
          <w:szCs w:val="24"/>
        </w:rPr>
      </w:pPr>
      <w:r w:rsidRPr="00CE0B27">
        <w:rPr>
          <w:rFonts w:ascii="Times New Roman" w:hAnsi="Times New Roman" w:cs="Times New Roman"/>
          <w:sz w:val="24"/>
          <w:szCs w:val="24"/>
        </w:rPr>
        <w:t>530.   Cerința de fonduri proprii a băncii pentru fiecare marfă se calculează ca sumă a următoarelor elemente:</w:t>
      </w:r>
    </w:p>
    <w:p w14:paraId="36304D80" w14:textId="77777777" w:rsidR="00CE0B27" w:rsidRPr="00CE0B27" w:rsidRDefault="00CE0B27" w:rsidP="00CE0B27">
      <w:pPr>
        <w:rPr>
          <w:rFonts w:ascii="Times New Roman" w:hAnsi="Times New Roman" w:cs="Times New Roman"/>
          <w:sz w:val="24"/>
          <w:szCs w:val="24"/>
        </w:rPr>
      </w:pPr>
      <w:r w:rsidRPr="00CE0B27">
        <w:rPr>
          <w:rFonts w:ascii="Times New Roman" w:hAnsi="Times New Roman" w:cs="Times New Roman"/>
          <w:sz w:val="24"/>
          <w:szCs w:val="24"/>
        </w:rPr>
        <w:t>530.1 15 % din poziția netă, lungă sau scurtă, înmulțită cu prețul spot al mărfii;</w:t>
      </w:r>
    </w:p>
    <w:p w14:paraId="496A5822" w14:textId="7619EAC8" w:rsidR="00610CE1" w:rsidRDefault="00CE0B27" w:rsidP="00CE0B27">
      <w:pPr>
        <w:rPr>
          <w:rFonts w:ascii="Times New Roman" w:hAnsi="Times New Roman" w:cs="Times New Roman"/>
          <w:sz w:val="24"/>
          <w:szCs w:val="24"/>
        </w:rPr>
      </w:pPr>
      <w:r w:rsidRPr="00CE0B27">
        <w:rPr>
          <w:rFonts w:ascii="Times New Roman" w:hAnsi="Times New Roman" w:cs="Times New Roman"/>
          <w:sz w:val="24"/>
          <w:szCs w:val="24"/>
        </w:rPr>
        <w:t>530.2. 3 % din poziția brută, lungă plus scurtă, înmulțită cu prețul spot al mărfii.</w:t>
      </w:r>
    </w:p>
    <w:p w14:paraId="70E31144" w14:textId="04936F2A" w:rsidR="00CE0B27" w:rsidRDefault="00CE0B27" w:rsidP="00CE0B27">
      <w:pPr>
        <w:rPr>
          <w:rFonts w:ascii="Times New Roman" w:hAnsi="Times New Roman" w:cs="Times New Roman"/>
          <w:sz w:val="24"/>
          <w:szCs w:val="24"/>
        </w:rPr>
      </w:pPr>
      <w:r w:rsidRPr="00CE0B27">
        <w:rPr>
          <w:rFonts w:ascii="Times New Roman" w:hAnsi="Times New Roman" w:cs="Times New Roman"/>
          <w:sz w:val="24"/>
          <w:szCs w:val="24"/>
        </w:rPr>
        <w:lastRenderedPageBreak/>
        <w:t>531.  Cerința de fonduri proprii totală a băncii pentru riscul de marfă se calculează ca sumă a cerințelor de fonduri proprii calculate pentru fiecare marfă, conformpct.530.</w:t>
      </w:r>
    </w:p>
    <w:p w14:paraId="5801A57E" w14:textId="793870C9" w:rsidR="00CE0B27" w:rsidRDefault="00CE0B27" w:rsidP="00CE0B27">
      <w:pPr>
        <w:rPr>
          <w:rFonts w:ascii="Times New Roman" w:hAnsi="Times New Roman" w:cs="Times New Roman"/>
          <w:sz w:val="24"/>
          <w:szCs w:val="24"/>
        </w:rPr>
      </w:pPr>
      <w:bookmarkStart w:id="105" w:name="_Hlk195100459"/>
      <w:r w:rsidRPr="00CC1E9B">
        <w:rPr>
          <w:rFonts w:ascii="Times New Roman" w:hAnsi="Times New Roman" w:cs="Times New Roman"/>
          <w:b/>
          <w:bCs/>
          <w:sz w:val="24"/>
          <w:szCs w:val="24"/>
        </w:rPr>
        <w:t>Secțiunea 7.</w:t>
      </w:r>
      <w:r w:rsidRPr="00CE0B27">
        <w:rPr>
          <w:rFonts w:ascii="Times New Roman" w:hAnsi="Times New Roman" w:cs="Times New Roman"/>
          <w:i/>
          <w:iCs/>
          <w:sz w:val="24"/>
          <w:szCs w:val="24"/>
        </w:rPr>
        <w:t xml:space="preserve"> </w:t>
      </w:r>
      <w:r w:rsidRPr="00CE0B27">
        <w:rPr>
          <w:rFonts w:ascii="Times New Roman" w:hAnsi="Times New Roman" w:cs="Times New Roman"/>
          <w:b/>
          <w:bCs/>
          <w:sz w:val="24"/>
          <w:szCs w:val="24"/>
        </w:rPr>
        <w:t>Abordare extinsă pe benzi de scadență</w:t>
      </w:r>
      <w:bookmarkEnd w:id="105"/>
    </w:p>
    <w:p w14:paraId="35A8F917" w14:textId="77777777" w:rsidR="00CE0B27" w:rsidRPr="00CE0B27" w:rsidRDefault="00CE0B27" w:rsidP="00CE0B27">
      <w:pPr>
        <w:rPr>
          <w:rFonts w:ascii="Times New Roman" w:hAnsi="Times New Roman" w:cs="Times New Roman"/>
          <w:sz w:val="24"/>
          <w:szCs w:val="24"/>
        </w:rPr>
      </w:pPr>
      <w:r w:rsidRPr="00CE0B27">
        <w:rPr>
          <w:rFonts w:ascii="Times New Roman" w:hAnsi="Times New Roman" w:cs="Times New Roman"/>
          <w:sz w:val="24"/>
          <w:szCs w:val="24"/>
        </w:rPr>
        <w:t xml:space="preserve">532. Băncile pot utiliza ratele minime de </w:t>
      </w:r>
      <w:proofErr w:type="spellStart"/>
      <w:r w:rsidRPr="00CE0B27">
        <w:rPr>
          <w:rFonts w:ascii="Times New Roman" w:hAnsi="Times New Roman" w:cs="Times New Roman"/>
          <w:sz w:val="24"/>
          <w:szCs w:val="24"/>
        </w:rPr>
        <w:t>spread</w:t>
      </w:r>
      <w:proofErr w:type="spellEnd"/>
      <w:r w:rsidRPr="00CE0B27">
        <w:rPr>
          <w:rFonts w:ascii="Times New Roman" w:hAnsi="Times New Roman" w:cs="Times New Roman"/>
          <w:sz w:val="24"/>
          <w:szCs w:val="24"/>
        </w:rPr>
        <w:t xml:space="preserve">, carry și </w:t>
      </w:r>
      <w:proofErr w:type="spellStart"/>
      <w:r w:rsidRPr="00CE0B27">
        <w:rPr>
          <w:rFonts w:ascii="Times New Roman" w:hAnsi="Times New Roman" w:cs="Times New Roman"/>
          <w:sz w:val="24"/>
          <w:szCs w:val="24"/>
        </w:rPr>
        <w:t>outright</w:t>
      </w:r>
      <w:proofErr w:type="spellEnd"/>
      <w:r w:rsidRPr="00CE0B27">
        <w:rPr>
          <w:rFonts w:ascii="Times New Roman" w:hAnsi="Times New Roman" w:cs="Times New Roman"/>
          <w:sz w:val="24"/>
          <w:szCs w:val="24"/>
        </w:rPr>
        <w:t xml:space="preserve"> menționate în tabelul 2 de mai jos, în locul celor indicate la secțiunea 5, cu condiția ca băncile:</w:t>
      </w:r>
    </w:p>
    <w:p w14:paraId="2E68A6AC" w14:textId="77777777" w:rsidR="00CE0B27" w:rsidRPr="00CE0B27" w:rsidRDefault="00CE0B27" w:rsidP="00CE0B27">
      <w:pPr>
        <w:rPr>
          <w:rFonts w:ascii="Times New Roman" w:hAnsi="Times New Roman" w:cs="Times New Roman"/>
          <w:sz w:val="24"/>
          <w:szCs w:val="24"/>
        </w:rPr>
      </w:pPr>
      <w:r w:rsidRPr="00CE0B27">
        <w:rPr>
          <w:rFonts w:ascii="Times New Roman" w:hAnsi="Times New Roman" w:cs="Times New Roman"/>
          <w:sz w:val="24"/>
          <w:szCs w:val="24"/>
        </w:rPr>
        <w:t>532.1.  să desfășoare activități semnificative cu mărfuri;</w:t>
      </w:r>
    </w:p>
    <w:p w14:paraId="3DA5B9D6" w14:textId="0C346A69" w:rsidR="00CE0B27" w:rsidRDefault="00CE0B27" w:rsidP="00CE0B27">
      <w:pPr>
        <w:rPr>
          <w:rFonts w:ascii="Times New Roman" w:hAnsi="Times New Roman" w:cs="Times New Roman"/>
          <w:sz w:val="24"/>
          <w:szCs w:val="24"/>
        </w:rPr>
      </w:pPr>
      <w:r w:rsidRPr="00CE0B27">
        <w:rPr>
          <w:rFonts w:ascii="Times New Roman" w:hAnsi="Times New Roman" w:cs="Times New Roman"/>
          <w:sz w:val="24"/>
          <w:szCs w:val="24"/>
        </w:rPr>
        <w:t>532.2.  să aibă un portofoliu de mărfuri diversificat în mod adecvat.</w:t>
      </w:r>
    </w:p>
    <w:p w14:paraId="3D42BF74" w14:textId="77777777" w:rsidR="00CE0B27" w:rsidRPr="00CC1E9B" w:rsidRDefault="00CE0B27" w:rsidP="00CE0B27">
      <w:pPr>
        <w:rPr>
          <w:rFonts w:ascii="Times New Roman" w:hAnsi="Times New Roman" w:cs="Times New Roman"/>
          <w:b/>
          <w:bCs/>
          <w:i/>
          <w:iCs/>
          <w:sz w:val="24"/>
          <w:szCs w:val="24"/>
        </w:rPr>
      </w:pPr>
      <w:r w:rsidRPr="00CC1E9B">
        <w:rPr>
          <w:rFonts w:ascii="Times New Roman" w:hAnsi="Times New Roman" w:cs="Times New Roman"/>
          <w:b/>
          <w:bCs/>
          <w:i/>
          <w:iCs/>
          <w:sz w:val="24"/>
          <w:szCs w:val="24"/>
        </w:rPr>
        <w:t>Tabelul 2</w:t>
      </w:r>
    </w:p>
    <w:tbl>
      <w:tblPr>
        <w:tblW w:w="7032"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835"/>
        <w:gridCol w:w="1222"/>
        <w:gridCol w:w="1246"/>
        <w:gridCol w:w="1305"/>
        <w:gridCol w:w="1424"/>
      </w:tblGrid>
      <w:tr w:rsidR="00CE0B27" w:rsidRPr="00CE0B27" w14:paraId="4F5E264E" w14:textId="77777777" w:rsidTr="00CE0B27">
        <w:trPr>
          <w:jc w:val="center"/>
        </w:trPr>
        <w:tc>
          <w:tcPr>
            <w:tcW w:w="1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B7964A" w14:textId="77777777" w:rsidR="00CE0B27" w:rsidRPr="00CE0B27" w:rsidRDefault="00CE0B27" w:rsidP="00CE0B27">
            <w:pPr>
              <w:rPr>
                <w:rFonts w:ascii="Times New Roman" w:hAnsi="Times New Roman" w:cs="Times New Roman"/>
                <w:b/>
                <w:bCs/>
                <w:sz w:val="24"/>
                <w:szCs w:val="24"/>
              </w:rPr>
            </w:pPr>
            <w:r w:rsidRPr="00CE0B27">
              <w:rPr>
                <w:rFonts w:ascii="Times New Roman" w:hAnsi="Times New Roman" w:cs="Times New Roman"/>
                <w:b/>
                <w:bCs/>
                <w:sz w:val="24"/>
                <w:szCs w:val="24"/>
              </w:rPr>
              <w:t> </w:t>
            </w:r>
          </w:p>
        </w:tc>
        <w:tc>
          <w:tcPr>
            <w:tcW w:w="12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0D63DB" w14:textId="77777777" w:rsidR="00CE0B27" w:rsidRPr="00CE0B27" w:rsidRDefault="00CE0B27" w:rsidP="00CE0B27">
            <w:pPr>
              <w:rPr>
                <w:rFonts w:ascii="Times New Roman" w:hAnsi="Times New Roman" w:cs="Times New Roman"/>
                <w:b/>
                <w:bCs/>
                <w:sz w:val="24"/>
                <w:szCs w:val="24"/>
              </w:rPr>
            </w:pPr>
            <w:r w:rsidRPr="00CE0B27">
              <w:rPr>
                <w:rFonts w:ascii="Times New Roman" w:hAnsi="Times New Roman" w:cs="Times New Roman"/>
                <w:b/>
                <w:bCs/>
                <w:sz w:val="24"/>
                <w:szCs w:val="24"/>
              </w:rPr>
              <w:t>Metale prețioase (exceptând aurul)</w:t>
            </w:r>
          </w:p>
        </w:tc>
        <w:tc>
          <w:tcPr>
            <w:tcW w:w="12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BCB3A1" w14:textId="77777777" w:rsidR="00CE0B27" w:rsidRPr="00CE0B27" w:rsidRDefault="00CE0B27" w:rsidP="00CE0B27">
            <w:pPr>
              <w:rPr>
                <w:rFonts w:ascii="Times New Roman" w:hAnsi="Times New Roman" w:cs="Times New Roman"/>
                <w:b/>
                <w:bCs/>
                <w:sz w:val="24"/>
                <w:szCs w:val="24"/>
              </w:rPr>
            </w:pPr>
            <w:r w:rsidRPr="00CE0B27">
              <w:rPr>
                <w:rFonts w:ascii="Times New Roman" w:hAnsi="Times New Roman" w:cs="Times New Roman"/>
                <w:b/>
                <w:bCs/>
                <w:sz w:val="24"/>
                <w:szCs w:val="24"/>
              </w:rPr>
              <w:t>Metale de bază</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4416FB" w14:textId="77777777" w:rsidR="00CE0B27" w:rsidRPr="00CE0B27" w:rsidRDefault="00CE0B27" w:rsidP="00CE0B27">
            <w:pPr>
              <w:rPr>
                <w:rFonts w:ascii="Times New Roman" w:hAnsi="Times New Roman" w:cs="Times New Roman"/>
                <w:b/>
                <w:bCs/>
                <w:sz w:val="24"/>
                <w:szCs w:val="24"/>
              </w:rPr>
            </w:pPr>
            <w:r w:rsidRPr="00CE0B27">
              <w:rPr>
                <w:rFonts w:ascii="Times New Roman" w:hAnsi="Times New Roman" w:cs="Times New Roman"/>
                <w:b/>
                <w:bCs/>
                <w:sz w:val="24"/>
                <w:szCs w:val="24"/>
              </w:rPr>
              <w:t>Produse agricole (perisabile)</w:t>
            </w:r>
          </w:p>
        </w:tc>
        <w:tc>
          <w:tcPr>
            <w:tcW w:w="14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327FCF" w14:textId="77777777" w:rsidR="00CE0B27" w:rsidRPr="00CE0B27" w:rsidRDefault="00CE0B27" w:rsidP="00CE0B27">
            <w:pPr>
              <w:rPr>
                <w:rFonts w:ascii="Times New Roman" w:hAnsi="Times New Roman" w:cs="Times New Roman"/>
                <w:b/>
                <w:bCs/>
                <w:sz w:val="24"/>
                <w:szCs w:val="24"/>
              </w:rPr>
            </w:pPr>
            <w:r w:rsidRPr="00CE0B27">
              <w:rPr>
                <w:rFonts w:ascii="Times New Roman" w:hAnsi="Times New Roman" w:cs="Times New Roman"/>
                <w:b/>
                <w:bCs/>
                <w:sz w:val="24"/>
                <w:szCs w:val="24"/>
              </w:rPr>
              <w:t>Altele, inclusiv produse energetice</w:t>
            </w:r>
          </w:p>
        </w:tc>
      </w:tr>
      <w:tr w:rsidR="00CE0B27" w:rsidRPr="00CE0B27" w14:paraId="507CE8E3" w14:textId="77777777" w:rsidTr="00CE0B27">
        <w:trPr>
          <w:jc w:val="center"/>
        </w:trPr>
        <w:tc>
          <w:tcPr>
            <w:tcW w:w="1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F04CC9" w14:textId="77777777" w:rsidR="00CE0B27" w:rsidRPr="00CE0B27" w:rsidRDefault="00CE0B27" w:rsidP="00CE0B27">
            <w:pPr>
              <w:rPr>
                <w:rFonts w:ascii="Times New Roman" w:hAnsi="Times New Roman" w:cs="Times New Roman"/>
                <w:b/>
                <w:bCs/>
                <w:sz w:val="24"/>
                <w:szCs w:val="24"/>
              </w:rPr>
            </w:pPr>
            <w:r w:rsidRPr="00CE0B27">
              <w:rPr>
                <w:rFonts w:ascii="Times New Roman" w:hAnsi="Times New Roman" w:cs="Times New Roman"/>
                <w:b/>
                <w:bCs/>
                <w:sz w:val="24"/>
                <w:szCs w:val="24"/>
              </w:rPr>
              <w:t xml:space="preserve">Rata </w:t>
            </w:r>
            <w:proofErr w:type="spellStart"/>
            <w:r w:rsidRPr="00CE0B27">
              <w:rPr>
                <w:rFonts w:ascii="Times New Roman" w:hAnsi="Times New Roman" w:cs="Times New Roman"/>
                <w:b/>
                <w:bCs/>
                <w:sz w:val="24"/>
                <w:szCs w:val="24"/>
              </w:rPr>
              <w:t>spread</w:t>
            </w:r>
            <w:proofErr w:type="spellEnd"/>
            <w:r w:rsidRPr="00CE0B27">
              <w:rPr>
                <w:rFonts w:ascii="Times New Roman" w:hAnsi="Times New Roman" w:cs="Times New Roman"/>
                <w:b/>
                <w:bCs/>
                <w:sz w:val="24"/>
                <w:szCs w:val="24"/>
              </w:rPr>
              <w:t xml:space="preserve"> (%)</w:t>
            </w:r>
          </w:p>
        </w:tc>
        <w:tc>
          <w:tcPr>
            <w:tcW w:w="12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BE9BAD" w14:textId="77777777" w:rsidR="00CE0B27" w:rsidRPr="00CE0B27" w:rsidRDefault="00CE0B27" w:rsidP="00CE0B27">
            <w:pPr>
              <w:rPr>
                <w:rFonts w:ascii="Times New Roman" w:hAnsi="Times New Roman" w:cs="Times New Roman"/>
                <w:sz w:val="24"/>
                <w:szCs w:val="24"/>
              </w:rPr>
            </w:pPr>
            <w:r w:rsidRPr="00CE0B27">
              <w:rPr>
                <w:rFonts w:ascii="Times New Roman" w:hAnsi="Times New Roman" w:cs="Times New Roman"/>
                <w:sz w:val="24"/>
                <w:szCs w:val="24"/>
              </w:rPr>
              <w:t>1,0</w:t>
            </w:r>
          </w:p>
        </w:tc>
        <w:tc>
          <w:tcPr>
            <w:tcW w:w="12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6721D4" w14:textId="77777777" w:rsidR="00CE0B27" w:rsidRPr="00CE0B27" w:rsidRDefault="00CE0B27" w:rsidP="00CE0B27">
            <w:pPr>
              <w:rPr>
                <w:rFonts w:ascii="Times New Roman" w:hAnsi="Times New Roman" w:cs="Times New Roman"/>
                <w:sz w:val="24"/>
                <w:szCs w:val="24"/>
              </w:rPr>
            </w:pPr>
            <w:r w:rsidRPr="00CE0B27">
              <w:rPr>
                <w:rFonts w:ascii="Times New Roman" w:hAnsi="Times New Roman" w:cs="Times New Roman"/>
                <w:sz w:val="24"/>
                <w:szCs w:val="24"/>
              </w:rPr>
              <w:t>1,2</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897DAA" w14:textId="77777777" w:rsidR="00CE0B27" w:rsidRPr="00CE0B27" w:rsidRDefault="00CE0B27" w:rsidP="00CE0B27">
            <w:pPr>
              <w:rPr>
                <w:rFonts w:ascii="Times New Roman" w:hAnsi="Times New Roman" w:cs="Times New Roman"/>
                <w:sz w:val="24"/>
                <w:szCs w:val="24"/>
              </w:rPr>
            </w:pPr>
            <w:r w:rsidRPr="00CE0B27">
              <w:rPr>
                <w:rFonts w:ascii="Times New Roman" w:hAnsi="Times New Roman" w:cs="Times New Roman"/>
                <w:sz w:val="24"/>
                <w:szCs w:val="24"/>
              </w:rPr>
              <w:t>1,5</w:t>
            </w:r>
          </w:p>
        </w:tc>
        <w:tc>
          <w:tcPr>
            <w:tcW w:w="14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A6865A" w14:textId="77777777" w:rsidR="00CE0B27" w:rsidRPr="00CE0B27" w:rsidRDefault="00CE0B27" w:rsidP="00CE0B27">
            <w:pPr>
              <w:rPr>
                <w:rFonts w:ascii="Times New Roman" w:hAnsi="Times New Roman" w:cs="Times New Roman"/>
                <w:sz w:val="24"/>
                <w:szCs w:val="24"/>
              </w:rPr>
            </w:pPr>
            <w:r w:rsidRPr="00CE0B27">
              <w:rPr>
                <w:rFonts w:ascii="Times New Roman" w:hAnsi="Times New Roman" w:cs="Times New Roman"/>
                <w:sz w:val="24"/>
                <w:szCs w:val="24"/>
              </w:rPr>
              <w:t>1,5</w:t>
            </w:r>
          </w:p>
        </w:tc>
      </w:tr>
      <w:tr w:rsidR="00CE0B27" w:rsidRPr="00CE0B27" w14:paraId="7F19CD50" w14:textId="77777777" w:rsidTr="00CE0B27">
        <w:trPr>
          <w:jc w:val="center"/>
        </w:trPr>
        <w:tc>
          <w:tcPr>
            <w:tcW w:w="1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FF28A0" w14:textId="77777777" w:rsidR="00CE0B27" w:rsidRPr="00CE0B27" w:rsidRDefault="00CE0B27" w:rsidP="00CE0B27">
            <w:pPr>
              <w:rPr>
                <w:rFonts w:ascii="Times New Roman" w:hAnsi="Times New Roman" w:cs="Times New Roman"/>
                <w:b/>
                <w:bCs/>
                <w:sz w:val="24"/>
                <w:szCs w:val="24"/>
              </w:rPr>
            </w:pPr>
            <w:r w:rsidRPr="00CE0B27">
              <w:rPr>
                <w:rFonts w:ascii="Times New Roman" w:hAnsi="Times New Roman" w:cs="Times New Roman"/>
                <w:b/>
                <w:bCs/>
                <w:sz w:val="24"/>
                <w:szCs w:val="24"/>
              </w:rPr>
              <w:t>Rata carry (%)</w:t>
            </w:r>
          </w:p>
        </w:tc>
        <w:tc>
          <w:tcPr>
            <w:tcW w:w="12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C66BFF" w14:textId="77777777" w:rsidR="00CE0B27" w:rsidRPr="00CE0B27" w:rsidRDefault="00CE0B27" w:rsidP="00CE0B27">
            <w:pPr>
              <w:rPr>
                <w:rFonts w:ascii="Times New Roman" w:hAnsi="Times New Roman" w:cs="Times New Roman"/>
                <w:sz w:val="24"/>
                <w:szCs w:val="24"/>
              </w:rPr>
            </w:pPr>
            <w:r w:rsidRPr="00CE0B27">
              <w:rPr>
                <w:rFonts w:ascii="Times New Roman" w:hAnsi="Times New Roman" w:cs="Times New Roman"/>
                <w:sz w:val="24"/>
                <w:szCs w:val="24"/>
              </w:rPr>
              <w:t>0,3</w:t>
            </w:r>
          </w:p>
        </w:tc>
        <w:tc>
          <w:tcPr>
            <w:tcW w:w="12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2A08BA" w14:textId="77777777" w:rsidR="00CE0B27" w:rsidRPr="00CE0B27" w:rsidRDefault="00CE0B27" w:rsidP="00CE0B27">
            <w:pPr>
              <w:rPr>
                <w:rFonts w:ascii="Times New Roman" w:hAnsi="Times New Roman" w:cs="Times New Roman"/>
                <w:sz w:val="24"/>
                <w:szCs w:val="24"/>
              </w:rPr>
            </w:pPr>
            <w:r w:rsidRPr="00CE0B27">
              <w:rPr>
                <w:rFonts w:ascii="Times New Roman" w:hAnsi="Times New Roman" w:cs="Times New Roman"/>
                <w:sz w:val="24"/>
                <w:szCs w:val="24"/>
              </w:rPr>
              <w:t>0,5</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9DA169" w14:textId="77777777" w:rsidR="00CE0B27" w:rsidRPr="00CE0B27" w:rsidRDefault="00CE0B27" w:rsidP="00CE0B27">
            <w:pPr>
              <w:rPr>
                <w:rFonts w:ascii="Times New Roman" w:hAnsi="Times New Roman" w:cs="Times New Roman"/>
                <w:sz w:val="24"/>
                <w:szCs w:val="24"/>
              </w:rPr>
            </w:pPr>
            <w:r w:rsidRPr="00CE0B27">
              <w:rPr>
                <w:rFonts w:ascii="Times New Roman" w:hAnsi="Times New Roman" w:cs="Times New Roman"/>
                <w:sz w:val="24"/>
                <w:szCs w:val="24"/>
              </w:rPr>
              <w:t>0,6</w:t>
            </w:r>
          </w:p>
        </w:tc>
        <w:tc>
          <w:tcPr>
            <w:tcW w:w="14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460AD1" w14:textId="77777777" w:rsidR="00CE0B27" w:rsidRPr="00CE0B27" w:rsidRDefault="00CE0B27" w:rsidP="00CE0B27">
            <w:pPr>
              <w:rPr>
                <w:rFonts w:ascii="Times New Roman" w:hAnsi="Times New Roman" w:cs="Times New Roman"/>
                <w:sz w:val="24"/>
                <w:szCs w:val="24"/>
              </w:rPr>
            </w:pPr>
            <w:r w:rsidRPr="00CE0B27">
              <w:rPr>
                <w:rFonts w:ascii="Times New Roman" w:hAnsi="Times New Roman" w:cs="Times New Roman"/>
                <w:sz w:val="24"/>
                <w:szCs w:val="24"/>
              </w:rPr>
              <w:t>0,6</w:t>
            </w:r>
          </w:p>
        </w:tc>
      </w:tr>
      <w:tr w:rsidR="00CE0B27" w:rsidRPr="00CE0B27" w14:paraId="1D6BB33E" w14:textId="77777777" w:rsidTr="00CE0B27">
        <w:trPr>
          <w:jc w:val="center"/>
        </w:trPr>
        <w:tc>
          <w:tcPr>
            <w:tcW w:w="183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E66AA7" w14:textId="77777777" w:rsidR="00CE0B27" w:rsidRPr="00CE0B27" w:rsidRDefault="00CE0B27" w:rsidP="00CE0B27">
            <w:pPr>
              <w:rPr>
                <w:rFonts w:ascii="Times New Roman" w:hAnsi="Times New Roman" w:cs="Times New Roman"/>
                <w:b/>
                <w:bCs/>
                <w:sz w:val="24"/>
                <w:szCs w:val="24"/>
              </w:rPr>
            </w:pPr>
            <w:r w:rsidRPr="00CE0B27">
              <w:rPr>
                <w:rFonts w:ascii="Times New Roman" w:hAnsi="Times New Roman" w:cs="Times New Roman"/>
                <w:b/>
                <w:bCs/>
                <w:sz w:val="24"/>
                <w:szCs w:val="24"/>
              </w:rPr>
              <w:t xml:space="preserve">Rata </w:t>
            </w:r>
            <w:proofErr w:type="spellStart"/>
            <w:r w:rsidRPr="00CE0B27">
              <w:rPr>
                <w:rFonts w:ascii="Times New Roman" w:hAnsi="Times New Roman" w:cs="Times New Roman"/>
                <w:b/>
                <w:bCs/>
                <w:sz w:val="24"/>
                <w:szCs w:val="24"/>
              </w:rPr>
              <w:t>outright</w:t>
            </w:r>
            <w:proofErr w:type="spellEnd"/>
            <w:r w:rsidRPr="00CE0B27">
              <w:rPr>
                <w:rFonts w:ascii="Times New Roman" w:hAnsi="Times New Roman" w:cs="Times New Roman"/>
                <w:b/>
                <w:bCs/>
                <w:sz w:val="24"/>
                <w:szCs w:val="24"/>
              </w:rPr>
              <w:t xml:space="preserve"> (%)</w:t>
            </w:r>
          </w:p>
        </w:tc>
        <w:tc>
          <w:tcPr>
            <w:tcW w:w="12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96546B" w14:textId="77777777" w:rsidR="00CE0B27" w:rsidRPr="00CE0B27" w:rsidRDefault="00CE0B27" w:rsidP="00CE0B27">
            <w:pPr>
              <w:rPr>
                <w:rFonts w:ascii="Times New Roman" w:hAnsi="Times New Roman" w:cs="Times New Roman"/>
                <w:sz w:val="24"/>
                <w:szCs w:val="24"/>
              </w:rPr>
            </w:pPr>
            <w:r w:rsidRPr="00CE0B27">
              <w:rPr>
                <w:rFonts w:ascii="Times New Roman" w:hAnsi="Times New Roman" w:cs="Times New Roman"/>
                <w:sz w:val="24"/>
                <w:szCs w:val="24"/>
              </w:rPr>
              <w:t>8</w:t>
            </w:r>
          </w:p>
        </w:tc>
        <w:tc>
          <w:tcPr>
            <w:tcW w:w="124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317F37" w14:textId="77777777" w:rsidR="00CE0B27" w:rsidRPr="00CE0B27" w:rsidRDefault="00CE0B27" w:rsidP="00CE0B27">
            <w:pPr>
              <w:rPr>
                <w:rFonts w:ascii="Times New Roman" w:hAnsi="Times New Roman" w:cs="Times New Roman"/>
                <w:sz w:val="24"/>
                <w:szCs w:val="24"/>
              </w:rPr>
            </w:pPr>
            <w:r w:rsidRPr="00CE0B27">
              <w:rPr>
                <w:rFonts w:ascii="Times New Roman" w:hAnsi="Times New Roman" w:cs="Times New Roman"/>
                <w:sz w:val="24"/>
                <w:szCs w:val="24"/>
              </w:rPr>
              <w:t>10</w:t>
            </w:r>
          </w:p>
        </w:tc>
        <w:tc>
          <w:tcPr>
            <w:tcW w:w="130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EA1BA7" w14:textId="77777777" w:rsidR="00CE0B27" w:rsidRPr="00CE0B27" w:rsidRDefault="00CE0B27" w:rsidP="00CE0B27">
            <w:pPr>
              <w:rPr>
                <w:rFonts w:ascii="Times New Roman" w:hAnsi="Times New Roman" w:cs="Times New Roman"/>
                <w:sz w:val="24"/>
                <w:szCs w:val="24"/>
              </w:rPr>
            </w:pPr>
            <w:r w:rsidRPr="00CE0B27">
              <w:rPr>
                <w:rFonts w:ascii="Times New Roman" w:hAnsi="Times New Roman" w:cs="Times New Roman"/>
                <w:sz w:val="24"/>
                <w:szCs w:val="24"/>
              </w:rPr>
              <w:t>12</w:t>
            </w:r>
          </w:p>
        </w:tc>
        <w:tc>
          <w:tcPr>
            <w:tcW w:w="142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3391C2" w14:textId="77777777" w:rsidR="00CE0B27" w:rsidRPr="00CE0B27" w:rsidRDefault="00CE0B27" w:rsidP="00CE0B27">
            <w:pPr>
              <w:rPr>
                <w:rFonts w:ascii="Times New Roman" w:hAnsi="Times New Roman" w:cs="Times New Roman"/>
                <w:sz w:val="24"/>
                <w:szCs w:val="24"/>
              </w:rPr>
            </w:pPr>
            <w:r w:rsidRPr="00CE0B27">
              <w:rPr>
                <w:rFonts w:ascii="Times New Roman" w:hAnsi="Times New Roman" w:cs="Times New Roman"/>
                <w:sz w:val="24"/>
                <w:szCs w:val="24"/>
              </w:rPr>
              <w:t>15</w:t>
            </w:r>
          </w:p>
        </w:tc>
      </w:tr>
    </w:tbl>
    <w:p w14:paraId="111B79AF" w14:textId="2DC3592B" w:rsidR="00CE0B27" w:rsidRPr="00CE0B27" w:rsidRDefault="00CE0B27" w:rsidP="00CE0B27">
      <w:pPr>
        <w:rPr>
          <w:rFonts w:ascii="Times New Roman" w:hAnsi="Times New Roman" w:cs="Times New Roman"/>
          <w:sz w:val="24"/>
          <w:szCs w:val="24"/>
        </w:rPr>
      </w:pPr>
      <w:r w:rsidRPr="00CE0B27">
        <w:rPr>
          <w:rFonts w:ascii="Times New Roman" w:hAnsi="Times New Roman" w:cs="Times New Roman"/>
          <w:sz w:val="24"/>
          <w:szCs w:val="24"/>
        </w:rPr>
        <w:t>533. B</w:t>
      </w:r>
      <w:r>
        <w:rPr>
          <w:rFonts w:ascii="Times New Roman" w:hAnsi="Times New Roman" w:cs="Times New Roman"/>
          <w:sz w:val="24"/>
          <w:szCs w:val="24"/>
        </w:rPr>
        <w:t>ă</w:t>
      </w:r>
      <w:r w:rsidRPr="00CE0B27">
        <w:rPr>
          <w:rFonts w:ascii="Times New Roman" w:hAnsi="Times New Roman" w:cs="Times New Roman"/>
          <w:sz w:val="24"/>
          <w:szCs w:val="24"/>
        </w:rPr>
        <w:t>ncile notifică BNM modul în care aplică prezenta secțiune.</w:t>
      </w:r>
    </w:p>
    <w:p w14:paraId="25963FBC" w14:textId="77777777" w:rsidR="00CE0B27" w:rsidRPr="00CE0B27" w:rsidRDefault="00CE0B27" w:rsidP="00CE0B27">
      <w:pPr>
        <w:rPr>
          <w:rFonts w:ascii="Times New Roman" w:hAnsi="Times New Roman" w:cs="Times New Roman"/>
          <w:sz w:val="24"/>
          <w:szCs w:val="24"/>
        </w:rPr>
      </w:pPr>
    </w:p>
    <w:p w14:paraId="532DDFC9" w14:textId="5BEA03FD" w:rsidR="00602AC3" w:rsidRPr="00602AC3" w:rsidRDefault="00602AC3" w:rsidP="00602AC3">
      <w:pPr>
        <w:rPr>
          <w:rFonts w:ascii="Times New Roman" w:hAnsi="Times New Roman" w:cs="Times New Roman"/>
          <w:b/>
          <w:bCs/>
          <w:sz w:val="24"/>
          <w:szCs w:val="24"/>
        </w:rPr>
      </w:pPr>
      <w:r w:rsidRPr="00602AC3">
        <w:rPr>
          <w:rFonts w:ascii="Times New Roman" w:hAnsi="Times New Roman" w:cs="Times New Roman"/>
          <w:b/>
          <w:bCs/>
          <w:sz w:val="24"/>
          <w:szCs w:val="24"/>
        </w:rPr>
        <w:t xml:space="preserve">TITLUL III. </w:t>
      </w:r>
    </w:p>
    <w:p w14:paraId="008D4AFC" w14:textId="7096B0B8" w:rsidR="00344A07" w:rsidRPr="00E14364" w:rsidRDefault="00344A07" w:rsidP="00E14364">
      <w:pPr>
        <w:rPr>
          <w:rFonts w:ascii="Times New Roman" w:eastAsia="Times New Roman" w:hAnsi="Times New Roman" w:cs="Times New Roman"/>
          <w:b/>
          <w:kern w:val="0"/>
          <w:sz w:val="24"/>
          <w:szCs w:val="24"/>
          <w:lang w:val="ro-RO" w:eastAsia="ro-MD"/>
          <w14:ligatures w14:val="none"/>
        </w:rPr>
      </w:pPr>
      <w:r w:rsidRPr="00E14364">
        <w:rPr>
          <w:rFonts w:ascii="Times New Roman" w:eastAsia="Times New Roman" w:hAnsi="Times New Roman" w:cs="Times New Roman"/>
          <w:b/>
          <w:kern w:val="0"/>
          <w:sz w:val="24"/>
          <w:szCs w:val="24"/>
          <w:lang w:val="ro-RO" w:eastAsia="ro-MD"/>
          <w14:ligatures w14:val="none"/>
        </w:rPr>
        <w:t>PROCEDURA DE EMITERE DE CĂTRE BANCA NAŢIONALĂ A</w:t>
      </w:r>
      <w:r>
        <w:rPr>
          <w:rFonts w:ascii="Times New Roman" w:eastAsia="Times New Roman" w:hAnsi="Times New Roman" w:cs="Times New Roman"/>
          <w:b/>
          <w:kern w:val="0"/>
          <w:sz w:val="24"/>
          <w:szCs w:val="24"/>
          <w:lang w:val="ro-RO" w:eastAsia="ro-MD"/>
          <w14:ligatures w14:val="none"/>
        </w:rPr>
        <w:t xml:space="preserve"> </w:t>
      </w:r>
      <w:r w:rsidRPr="00E14364">
        <w:rPr>
          <w:rFonts w:ascii="Times New Roman" w:eastAsia="Times New Roman" w:hAnsi="Times New Roman" w:cs="Times New Roman"/>
          <w:b/>
          <w:kern w:val="0"/>
          <w:sz w:val="24"/>
          <w:szCs w:val="24"/>
          <w:lang w:val="ro-RO" w:eastAsia="ro-MD"/>
          <w14:ligatures w14:val="none"/>
        </w:rPr>
        <w:t xml:space="preserve">MOLDOVEI A APROBĂRILOR ŞI </w:t>
      </w:r>
      <w:r w:rsidR="00812AF8">
        <w:rPr>
          <w:rFonts w:ascii="Times New Roman" w:eastAsia="Times New Roman" w:hAnsi="Times New Roman" w:cs="Times New Roman"/>
          <w:b/>
          <w:kern w:val="0"/>
          <w:sz w:val="24"/>
          <w:szCs w:val="24"/>
          <w:lang w:val="ro-RO" w:eastAsia="ro-MD"/>
          <w14:ligatures w14:val="none"/>
        </w:rPr>
        <w:t>PERMISIUNILOR</w:t>
      </w:r>
    </w:p>
    <w:p w14:paraId="1B44179B" w14:textId="23057704" w:rsidR="00344A07" w:rsidRPr="00E14364" w:rsidRDefault="00344A07" w:rsidP="00344A07">
      <w:pPr>
        <w:rPr>
          <w:rFonts w:ascii="Times New Roman" w:hAnsi="Times New Roman" w:cs="Times New Roman"/>
          <w:i/>
          <w:iCs/>
          <w:sz w:val="24"/>
          <w:szCs w:val="24"/>
        </w:rPr>
      </w:pPr>
      <w:bookmarkStart w:id="106" w:name="_Hlk230937508"/>
      <w:r w:rsidRPr="00E14364">
        <w:rPr>
          <w:rFonts w:ascii="Times New Roman" w:hAnsi="Times New Roman" w:cs="Times New Roman"/>
          <w:b/>
          <w:bCs/>
          <w:i/>
          <w:iCs/>
          <w:sz w:val="24"/>
          <w:szCs w:val="24"/>
        </w:rPr>
        <w:t>Capitolul I</w:t>
      </w:r>
      <w:r>
        <w:rPr>
          <w:rFonts w:ascii="Times New Roman" w:hAnsi="Times New Roman" w:cs="Times New Roman"/>
          <w:b/>
          <w:bCs/>
          <w:i/>
          <w:iCs/>
          <w:sz w:val="24"/>
          <w:szCs w:val="24"/>
        </w:rPr>
        <w:t xml:space="preserve">. </w:t>
      </w:r>
      <w:r w:rsidRPr="00E14364">
        <w:rPr>
          <w:rFonts w:ascii="Times New Roman" w:hAnsi="Times New Roman" w:cs="Times New Roman"/>
          <w:b/>
          <w:bCs/>
          <w:i/>
          <w:iCs/>
          <w:sz w:val="24"/>
          <w:szCs w:val="24"/>
        </w:rPr>
        <w:t xml:space="preserve"> ACORDAREA APROBĂRILOR PREALABILE</w:t>
      </w:r>
      <w:bookmarkEnd w:id="106"/>
    </w:p>
    <w:p w14:paraId="1E4A47F6" w14:textId="69AEE3DC" w:rsidR="00344A07" w:rsidRPr="00344A07" w:rsidRDefault="008914D6" w:rsidP="00344A07">
      <w:pPr>
        <w:rPr>
          <w:rFonts w:ascii="Times New Roman" w:hAnsi="Times New Roman" w:cs="Times New Roman"/>
          <w:sz w:val="24"/>
          <w:szCs w:val="24"/>
        </w:rPr>
      </w:pPr>
      <w:r w:rsidRPr="00E14364">
        <w:rPr>
          <w:rFonts w:ascii="Times New Roman" w:hAnsi="Times New Roman" w:cs="Times New Roman"/>
          <w:sz w:val="24"/>
          <w:szCs w:val="24"/>
        </w:rPr>
        <w:t>534</w:t>
      </w:r>
      <w:r w:rsidR="00344A07" w:rsidRPr="00E14364">
        <w:rPr>
          <w:rFonts w:ascii="Times New Roman" w:hAnsi="Times New Roman" w:cs="Times New Roman"/>
          <w:sz w:val="24"/>
          <w:szCs w:val="24"/>
        </w:rPr>
        <w:t>.</w:t>
      </w:r>
      <w:r w:rsidR="00344A07" w:rsidRPr="00344A07">
        <w:rPr>
          <w:rFonts w:ascii="Times New Roman" w:hAnsi="Times New Roman" w:cs="Times New Roman"/>
          <w:sz w:val="24"/>
          <w:szCs w:val="24"/>
        </w:rPr>
        <w:t xml:space="preserve"> Prezentul capitol se aplică aprobărilor prealabile emise de către BNM potrivit </w:t>
      </w:r>
      <w:r>
        <w:rPr>
          <w:rFonts w:ascii="Times New Roman" w:hAnsi="Times New Roman" w:cs="Times New Roman"/>
          <w:sz w:val="24"/>
          <w:szCs w:val="24"/>
        </w:rPr>
        <w:t>titlului II capitolul III.</w:t>
      </w:r>
      <w:r w:rsidR="00344A07" w:rsidRPr="00344A07">
        <w:rPr>
          <w:rFonts w:ascii="Times New Roman" w:hAnsi="Times New Roman" w:cs="Times New Roman"/>
          <w:sz w:val="24"/>
          <w:szCs w:val="24"/>
        </w:rPr>
        <w:t xml:space="preserve"> Pentru eliberarea aprobării prealabile banca înaintează către BNM o cerere la care se anexează documentele </w:t>
      </w:r>
      <w:proofErr w:type="spellStart"/>
      <w:r w:rsidR="00344A07" w:rsidRPr="00344A07">
        <w:rPr>
          <w:rFonts w:ascii="Times New Roman" w:hAnsi="Times New Roman" w:cs="Times New Roman"/>
          <w:sz w:val="24"/>
          <w:szCs w:val="24"/>
        </w:rPr>
        <w:t>şi</w:t>
      </w:r>
      <w:proofErr w:type="spellEnd"/>
      <w:r w:rsidR="00344A07" w:rsidRPr="00344A07">
        <w:rPr>
          <w:rFonts w:ascii="Times New Roman" w:hAnsi="Times New Roman" w:cs="Times New Roman"/>
          <w:sz w:val="24"/>
          <w:szCs w:val="24"/>
        </w:rPr>
        <w:t xml:space="preserve"> </w:t>
      </w:r>
      <w:proofErr w:type="spellStart"/>
      <w:r w:rsidR="00344A07" w:rsidRPr="00344A07">
        <w:rPr>
          <w:rFonts w:ascii="Times New Roman" w:hAnsi="Times New Roman" w:cs="Times New Roman"/>
          <w:sz w:val="24"/>
          <w:szCs w:val="24"/>
        </w:rPr>
        <w:t>informaţiile</w:t>
      </w:r>
      <w:proofErr w:type="spellEnd"/>
      <w:r w:rsidR="00344A07" w:rsidRPr="00344A07">
        <w:rPr>
          <w:rFonts w:ascii="Times New Roman" w:hAnsi="Times New Roman" w:cs="Times New Roman"/>
          <w:sz w:val="24"/>
          <w:szCs w:val="24"/>
        </w:rPr>
        <w:t xml:space="preserve"> care confirmă îndeplinirea de către bancă a </w:t>
      </w:r>
      <w:proofErr w:type="spellStart"/>
      <w:r w:rsidR="00344A07" w:rsidRPr="00344A07">
        <w:rPr>
          <w:rFonts w:ascii="Times New Roman" w:hAnsi="Times New Roman" w:cs="Times New Roman"/>
          <w:sz w:val="24"/>
          <w:szCs w:val="24"/>
        </w:rPr>
        <w:t>condiţiilor</w:t>
      </w:r>
      <w:proofErr w:type="spellEnd"/>
      <w:r w:rsidR="00344A07" w:rsidRPr="00344A07">
        <w:rPr>
          <w:rFonts w:ascii="Times New Roman" w:hAnsi="Times New Roman" w:cs="Times New Roman"/>
          <w:sz w:val="24"/>
          <w:szCs w:val="24"/>
        </w:rPr>
        <w:t xml:space="preserve"> stabilite </w:t>
      </w:r>
      <w:r>
        <w:rPr>
          <w:rFonts w:ascii="Times New Roman" w:hAnsi="Times New Roman" w:cs="Times New Roman"/>
          <w:sz w:val="24"/>
          <w:szCs w:val="24"/>
        </w:rPr>
        <w:t>în capitolul respectiv</w:t>
      </w:r>
      <w:r w:rsidR="00344A07" w:rsidRPr="00344A07">
        <w:rPr>
          <w:rFonts w:ascii="Times New Roman" w:hAnsi="Times New Roman" w:cs="Times New Roman"/>
          <w:sz w:val="24"/>
          <w:szCs w:val="24"/>
        </w:rPr>
        <w:t>.</w:t>
      </w:r>
    </w:p>
    <w:p w14:paraId="22B77A1E" w14:textId="5D252599" w:rsidR="00344A07" w:rsidRPr="00344A07" w:rsidRDefault="008914D6" w:rsidP="00344A07">
      <w:pPr>
        <w:rPr>
          <w:rFonts w:ascii="Times New Roman" w:hAnsi="Times New Roman" w:cs="Times New Roman"/>
          <w:sz w:val="24"/>
          <w:szCs w:val="24"/>
        </w:rPr>
      </w:pPr>
      <w:r w:rsidRPr="00E14364">
        <w:rPr>
          <w:rFonts w:ascii="Times New Roman" w:hAnsi="Times New Roman" w:cs="Times New Roman"/>
          <w:sz w:val="24"/>
          <w:szCs w:val="24"/>
        </w:rPr>
        <w:t>535</w:t>
      </w:r>
      <w:r w:rsidR="00344A07" w:rsidRPr="00E14364">
        <w:rPr>
          <w:rFonts w:ascii="Times New Roman" w:hAnsi="Times New Roman" w:cs="Times New Roman"/>
          <w:sz w:val="24"/>
          <w:szCs w:val="24"/>
        </w:rPr>
        <w:t>.</w:t>
      </w:r>
      <w:r w:rsidR="00344A07" w:rsidRPr="00344A07">
        <w:rPr>
          <w:rFonts w:ascii="Times New Roman" w:hAnsi="Times New Roman" w:cs="Times New Roman"/>
          <w:sz w:val="24"/>
          <w:szCs w:val="24"/>
        </w:rPr>
        <w:t xml:space="preserve"> Cererea, precum </w:t>
      </w:r>
      <w:proofErr w:type="spellStart"/>
      <w:r w:rsidR="00344A07" w:rsidRPr="00344A07">
        <w:rPr>
          <w:rFonts w:ascii="Times New Roman" w:hAnsi="Times New Roman" w:cs="Times New Roman"/>
          <w:sz w:val="24"/>
          <w:szCs w:val="24"/>
        </w:rPr>
        <w:t>şi</w:t>
      </w:r>
      <w:proofErr w:type="spellEnd"/>
      <w:r w:rsidR="00344A07" w:rsidRPr="00344A07">
        <w:rPr>
          <w:rFonts w:ascii="Times New Roman" w:hAnsi="Times New Roman" w:cs="Times New Roman"/>
          <w:sz w:val="24"/>
          <w:szCs w:val="24"/>
        </w:rPr>
        <w:t xml:space="preserve"> documentele </w:t>
      </w:r>
      <w:proofErr w:type="spellStart"/>
      <w:r w:rsidR="00344A07" w:rsidRPr="00344A07">
        <w:rPr>
          <w:rFonts w:ascii="Times New Roman" w:hAnsi="Times New Roman" w:cs="Times New Roman"/>
          <w:sz w:val="24"/>
          <w:szCs w:val="24"/>
        </w:rPr>
        <w:t>şi</w:t>
      </w:r>
      <w:proofErr w:type="spellEnd"/>
      <w:r w:rsidR="00344A07" w:rsidRPr="00344A07">
        <w:rPr>
          <w:rFonts w:ascii="Times New Roman" w:hAnsi="Times New Roman" w:cs="Times New Roman"/>
          <w:sz w:val="24"/>
          <w:szCs w:val="24"/>
        </w:rPr>
        <w:t xml:space="preserve"> </w:t>
      </w:r>
      <w:proofErr w:type="spellStart"/>
      <w:r w:rsidR="00344A07" w:rsidRPr="00344A07">
        <w:rPr>
          <w:rFonts w:ascii="Times New Roman" w:hAnsi="Times New Roman" w:cs="Times New Roman"/>
          <w:sz w:val="24"/>
          <w:szCs w:val="24"/>
        </w:rPr>
        <w:t>informaţiile</w:t>
      </w:r>
      <w:proofErr w:type="spellEnd"/>
      <w:r w:rsidR="00344A07" w:rsidRPr="00344A07">
        <w:rPr>
          <w:rFonts w:ascii="Times New Roman" w:hAnsi="Times New Roman" w:cs="Times New Roman"/>
          <w:sz w:val="24"/>
          <w:szCs w:val="24"/>
        </w:rPr>
        <w:t xml:space="preserve"> </w:t>
      </w:r>
      <w:proofErr w:type="spellStart"/>
      <w:r w:rsidR="00344A07" w:rsidRPr="00344A07">
        <w:rPr>
          <w:rFonts w:ascii="Times New Roman" w:hAnsi="Times New Roman" w:cs="Times New Roman"/>
          <w:sz w:val="24"/>
          <w:szCs w:val="24"/>
        </w:rPr>
        <w:t>menţionate</w:t>
      </w:r>
      <w:proofErr w:type="spellEnd"/>
      <w:r w:rsidR="00344A07" w:rsidRPr="00344A07">
        <w:rPr>
          <w:rFonts w:ascii="Times New Roman" w:hAnsi="Times New Roman" w:cs="Times New Roman"/>
          <w:sz w:val="24"/>
          <w:szCs w:val="24"/>
        </w:rPr>
        <w:t xml:space="preserve"> la pct.</w:t>
      </w:r>
      <w:r>
        <w:rPr>
          <w:rFonts w:ascii="Times New Roman" w:hAnsi="Times New Roman" w:cs="Times New Roman"/>
          <w:sz w:val="24"/>
          <w:szCs w:val="24"/>
        </w:rPr>
        <w:t>534</w:t>
      </w:r>
      <w:r w:rsidR="00344A07" w:rsidRPr="00344A07">
        <w:rPr>
          <w:rFonts w:ascii="Times New Roman" w:hAnsi="Times New Roman" w:cs="Times New Roman"/>
          <w:sz w:val="24"/>
          <w:szCs w:val="24"/>
        </w:rPr>
        <w:t xml:space="preserve"> se prezintă la BNM în limba română </w:t>
      </w:r>
      <w:proofErr w:type="spellStart"/>
      <w:r w:rsidR="00344A07" w:rsidRPr="00344A07">
        <w:rPr>
          <w:rFonts w:ascii="Times New Roman" w:hAnsi="Times New Roman" w:cs="Times New Roman"/>
          <w:sz w:val="24"/>
          <w:szCs w:val="24"/>
        </w:rPr>
        <w:t>şi</w:t>
      </w:r>
      <w:proofErr w:type="spellEnd"/>
      <w:r w:rsidR="00344A07" w:rsidRPr="00344A07">
        <w:rPr>
          <w:rFonts w:ascii="Times New Roman" w:hAnsi="Times New Roman" w:cs="Times New Roman"/>
          <w:sz w:val="24"/>
          <w:szCs w:val="24"/>
        </w:rPr>
        <w:t xml:space="preserve"> se semnează de către persoana împuternicită de bancă.</w:t>
      </w:r>
    </w:p>
    <w:p w14:paraId="73D48AE4" w14:textId="0038E7A9" w:rsidR="00344A07" w:rsidRPr="00344A07" w:rsidRDefault="008914D6" w:rsidP="00344A07">
      <w:pPr>
        <w:rPr>
          <w:rFonts w:ascii="Times New Roman" w:hAnsi="Times New Roman" w:cs="Times New Roman"/>
          <w:sz w:val="24"/>
          <w:szCs w:val="24"/>
        </w:rPr>
      </w:pPr>
      <w:r w:rsidRPr="00E14364">
        <w:rPr>
          <w:rFonts w:ascii="Times New Roman" w:hAnsi="Times New Roman" w:cs="Times New Roman"/>
          <w:sz w:val="24"/>
          <w:szCs w:val="24"/>
        </w:rPr>
        <w:t>536</w:t>
      </w:r>
      <w:r w:rsidR="00344A07" w:rsidRPr="00E14364">
        <w:rPr>
          <w:rFonts w:ascii="Times New Roman" w:hAnsi="Times New Roman" w:cs="Times New Roman"/>
          <w:sz w:val="24"/>
          <w:szCs w:val="24"/>
        </w:rPr>
        <w:t>.</w:t>
      </w:r>
      <w:r w:rsidR="00344A07" w:rsidRPr="00344A07">
        <w:rPr>
          <w:rFonts w:ascii="Times New Roman" w:hAnsi="Times New Roman" w:cs="Times New Roman"/>
          <w:sz w:val="24"/>
          <w:szCs w:val="24"/>
        </w:rPr>
        <w:t xml:space="preserve"> În cazul în care documentele </w:t>
      </w:r>
      <w:proofErr w:type="spellStart"/>
      <w:r w:rsidR="00344A07" w:rsidRPr="00344A07">
        <w:rPr>
          <w:rFonts w:ascii="Times New Roman" w:hAnsi="Times New Roman" w:cs="Times New Roman"/>
          <w:sz w:val="24"/>
          <w:szCs w:val="24"/>
        </w:rPr>
        <w:t>şi</w:t>
      </w:r>
      <w:proofErr w:type="spellEnd"/>
      <w:r w:rsidR="00344A07" w:rsidRPr="00344A07">
        <w:rPr>
          <w:rFonts w:ascii="Times New Roman" w:hAnsi="Times New Roman" w:cs="Times New Roman"/>
          <w:sz w:val="24"/>
          <w:szCs w:val="24"/>
        </w:rPr>
        <w:t xml:space="preserve">/sau </w:t>
      </w:r>
      <w:proofErr w:type="spellStart"/>
      <w:r w:rsidR="00344A07" w:rsidRPr="00344A07">
        <w:rPr>
          <w:rFonts w:ascii="Times New Roman" w:hAnsi="Times New Roman" w:cs="Times New Roman"/>
          <w:sz w:val="24"/>
          <w:szCs w:val="24"/>
        </w:rPr>
        <w:t>informaţiile</w:t>
      </w:r>
      <w:proofErr w:type="spellEnd"/>
      <w:r w:rsidR="00344A07" w:rsidRPr="00344A07">
        <w:rPr>
          <w:rFonts w:ascii="Times New Roman" w:hAnsi="Times New Roman" w:cs="Times New Roman"/>
          <w:sz w:val="24"/>
          <w:szCs w:val="24"/>
        </w:rPr>
        <w:t xml:space="preserve"> specificate la pct.</w:t>
      </w:r>
      <w:r>
        <w:rPr>
          <w:rFonts w:ascii="Times New Roman" w:hAnsi="Times New Roman" w:cs="Times New Roman"/>
          <w:sz w:val="24"/>
          <w:szCs w:val="24"/>
        </w:rPr>
        <w:t>534</w:t>
      </w:r>
      <w:r w:rsidR="00344A07" w:rsidRPr="00344A07">
        <w:rPr>
          <w:rFonts w:ascii="Times New Roman" w:hAnsi="Times New Roman" w:cs="Times New Roman"/>
          <w:sz w:val="24"/>
          <w:szCs w:val="24"/>
        </w:rPr>
        <w:t xml:space="preserve"> nu corespund pct.</w:t>
      </w:r>
      <w:r>
        <w:rPr>
          <w:rFonts w:ascii="Times New Roman" w:hAnsi="Times New Roman" w:cs="Times New Roman"/>
          <w:sz w:val="24"/>
          <w:szCs w:val="24"/>
        </w:rPr>
        <w:t>534</w:t>
      </w:r>
      <w:r w:rsidR="00344A07" w:rsidRPr="00344A07">
        <w:rPr>
          <w:rFonts w:ascii="Times New Roman" w:hAnsi="Times New Roman" w:cs="Times New Roman"/>
          <w:sz w:val="24"/>
          <w:szCs w:val="24"/>
        </w:rPr>
        <w:t xml:space="preserve"> </w:t>
      </w:r>
      <w:proofErr w:type="spellStart"/>
      <w:r w:rsidR="00344A07" w:rsidRPr="00344A07">
        <w:rPr>
          <w:rFonts w:ascii="Times New Roman" w:hAnsi="Times New Roman" w:cs="Times New Roman"/>
          <w:sz w:val="24"/>
          <w:szCs w:val="24"/>
        </w:rPr>
        <w:t>şi</w:t>
      </w:r>
      <w:proofErr w:type="spellEnd"/>
      <w:r w:rsidR="00344A07" w:rsidRPr="00344A07">
        <w:rPr>
          <w:rFonts w:ascii="Times New Roman" w:hAnsi="Times New Roman" w:cs="Times New Roman"/>
          <w:sz w:val="24"/>
          <w:szCs w:val="24"/>
        </w:rPr>
        <w:t xml:space="preserve"> </w:t>
      </w:r>
      <w:r>
        <w:rPr>
          <w:rFonts w:ascii="Times New Roman" w:hAnsi="Times New Roman" w:cs="Times New Roman"/>
          <w:sz w:val="24"/>
          <w:szCs w:val="24"/>
        </w:rPr>
        <w:t>535</w:t>
      </w:r>
      <w:r w:rsidR="00344A07" w:rsidRPr="00344A07">
        <w:rPr>
          <w:rFonts w:ascii="Times New Roman" w:hAnsi="Times New Roman" w:cs="Times New Roman"/>
          <w:sz w:val="24"/>
          <w:szCs w:val="24"/>
        </w:rPr>
        <w:t xml:space="preserve">, BNM </w:t>
      </w:r>
      <w:proofErr w:type="spellStart"/>
      <w:r w:rsidR="00344A07" w:rsidRPr="00344A07">
        <w:rPr>
          <w:rFonts w:ascii="Times New Roman" w:hAnsi="Times New Roman" w:cs="Times New Roman"/>
          <w:sz w:val="24"/>
          <w:szCs w:val="24"/>
        </w:rPr>
        <w:t>înştiinţează</w:t>
      </w:r>
      <w:proofErr w:type="spellEnd"/>
      <w:r w:rsidR="00344A07" w:rsidRPr="00344A07">
        <w:rPr>
          <w:rFonts w:ascii="Times New Roman" w:hAnsi="Times New Roman" w:cs="Times New Roman"/>
          <w:sz w:val="24"/>
          <w:szCs w:val="24"/>
        </w:rPr>
        <w:t xml:space="preserve"> în scris banca despre acest fapt în termen de 5 zile lucrătoare de la data depunerii cererii. Banca, în termen de 10 zile lucrătoare de la data </w:t>
      </w:r>
      <w:proofErr w:type="spellStart"/>
      <w:r w:rsidR="00344A07" w:rsidRPr="00344A07">
        <w:rPr>
          <w:rFonts w:ascii="Times New Roman" w:hAnsi="Times New Roman" w:cs="Times New Roman"/>
          <w:sz w:val="24"/>
          <w:szCs w:val="24"/>
        </w:rPr>
        <w:t>recepţionării</w:t>
      </w:r>
      <w:proofErr w:type="spellEnd"/>
      <w:r w:rsidR="00344A07" w:rsidRPr="00344A07">
        <w:rPr>
          <w:rFonts w:ascii="Times New Roman" w:hAnsi="Times New Roman" w:cs="Times New Roman"/>
          <w:sz w:val="24"/>
          <w:szCs w:val="24"/>
        </w:rPr>
        <w:t xml:space="preserve"> scrisorii BNM, completează </w:t>
      </w:r>
      <w:proofErr w:type="spellStart"/>
      <w:r w:rsidR="00344A07" w:rsidRPr="00344A07">
        <w:rPr>
          <w:rFonts w:ascii="Times New Roman" w:hAnsi="Times New Roman" w:cs="Times New Roman"/>
          <w:sz w:val="24"/>
          <w:szCs w:val="24"/>
        </w:rPr>
        <w:t>şi</w:t>
      </w:r>
      <w:proofErr w:type="spellEnd"/>
      <w:r w:rsidR="00344A07" w:rsidRPr="00344A07">
        <w:rPr>
          <w:rFonts w:ascii="Times New Roman" w:hAnsi="Times New Roman" w:cs="Times New Roman"/>
          <w:sz w:val="24"/>
          <w:szCs w:val="24"/>
        </w:rPr>
        <w:t xml:space="preserve"> prezintă la BNM documentele </w:t>
      </w:r>
      <w:proofErr w:type="spellStart"/>
      <w:r w:rsidR="00344A07" w:rsidRPr="00344A07">
        <w:rPr>
          <w:rFonts w:ascii="Times New Roman" w:hAnsi="Times New Roman" w:cs="Times New Roman"/>
          <w:sz w:val="24"/>
          <w:szCs w:val="24"/>
        </w:rPr>
        <w:t>şi</w:t>
      </w:r>
      <w:proofErr w:type="spellEnd"/>
      <w:r w:rsidR="00344A07" w:rsidRPr="00344A07">
        <w:rPr>
          <w:rFonts w:ascii="Times New Roman" w:hAnsi="Times New Roman" w:cs="Times New Roman"/>
          <w:sz w:val="24"/>
          <w:szCs w:val="24"/>
        </w:rPr>
        <w:t xml:space="preserve">/sau </w:t>
      </w:r>
      <w:proofErr w:type="spellStart"/>
      <w:r w:rsidR="00344A07" w:rsidRPr="00344A07">
        <w:rPr>
          <w:rFonts w:ascii="Times New Roman" w:hAnsi="Times New Roman" w:cs="Times New Roman"/>
          <w:sz w:val="24"/>
          <w:szCs w:val="24"/>
        </w:rPr>
        <w:t>informaţiile</w:t>
      </w:r>
      <w:proofErr w:type="spellEnd"/>
      <w:r w:rsidR="00344A07" w:rsidRPr="00344A07">
        <w:rPr>
          <w:rFonts w:ascii="Times New Roman" w:hAnsi="Times New Roman" w:cs="Times New Roman"/>
          <w:sz w:val="24"/>
          <w:szCs w:val="24"/>
        </w:rPr>
        <w:t xml:space="preserve"> care lipsesc.</w:t>
      </w:r>
    </w:p>
    <w:p w14:paraId="3BE13D4C" w14:textId="6B47A01F" w:rsidR="00344A07" w:rsidRPr="00344A07" w:rsidRDefault="008914D6" w:rsidP="00344A07">
      <w:pPr>
        <w:rPr>
          <w:rFonts w:ascii="Times New Roman" w:hAnsi="Times New Roman" w:cs="Times New Roman"/>
          <w:sz w:val="24"/>
          <w:szCs w:val="24"/>
        </w:rPr>
      </w:pPr>
      <w:r w:rsidRPr="00E14364">
        <w:rPr>
          <w:rFonts w:ascii="Times New Roman" w:hAnsi="Times New Roman" w:cs="Times New Roman"/>
          <w:sz w:val="24"/>
          <w:szCs w:val="24"/>
        </w:rPr>
        <w:t>537</w:t>
      </w:r>
      <w:r w:rsidR="00344A07" w:rsidRPr="00E14364">
        <w:rPr>
          <w:rFonts w:ascii="Times New Roman" w:hAnsi="Times New Roman" w:cs="Times New Roman"/>
          <w:sz w:val="24"/>
          <w:szCs w:val="24"/>
        </w:rPr>
        <w:t>.</w:t>
      </w:r>
      <w:r w:rsidR="00344A07" w:rsidRPr="00344A07">
        <w:rPr>
          <w:rFonts w:ascii="Times New Roman" w:hAnsi="Times New Roman" w:cs="Times New Roman"/>
          <w:sz w:val="24"/>
          <w:szCs w:val="24"/>
        </w:rPr>
        <w:t xml:space="preserve"> În cazul în care banca nu completează în termenul prevăzut la pct.</w:t>
      </w:r>
      <w:r>
        <w:rPr>
          <w:rFonts w:ascii="Times New Roman" w:hAnsi="Times New Roman" w:cs="Times New Roman"/>
          <w:sz w:val="24"/>
          <w:szCs w:val="24"/>
        </w:rPr>
        <w:t>536</w:t>
      </w:r>
      <w:r w:rsidR="00344A07" w:rsidRPr="00344A07">
        <w:rPr>
          <w:rFonts w:ascii="Times New Roman" w:hAnsi="Times New Roman" w:cs="Times New Roman"/>
          <w:sz w:val="24"/>
          <w:szCs w:val="24"/>
        </w:rPr>
        <w:t xml:space="preserve"> setul de documente </w:t>
      </w:r>
      <w:proofErr w:type="spellStart"/>
      <w:r w:rsidR="00344A07" w:rsidRPr="00344A07">
        <w:rPr>
          <w:rFonts w:ascii="Times New Roman" w:hAnsi="Times New Roman" w:cs="Times New Roman"/>
          <w:sz w:val="24"/>
          <w:szCs w:val="24"/>
        </w:rPr>
        <w:t>şi</w:t>
      </w:r>
      <w:proofErr w:type="spellEnd"/>
      <w:r w:rsidR="00344A07" w:rsidRPr="00344A07">
        <w:rPr>
          <w:rFonts w:ascii="Times New Roman" w:hAnsi="Times New Roman" w:cs="Times New Roman"/>
          <w:sz w:val="24"/>
          <w:szCs w:val="24"/>
        </w:rPr>
        <w:t xml:space="preserve"> </w:t>
      </w:r>
      <w:proofErr w:type="spellStart"/>
      <w:r w:rsidR="00344A07" w:rsidRPr="00344A07">
        <w:rPr>
          <w:rFonts w:ascii="Times New Roman" w:hAnsi="Times New Roman" w:cs="Times New Roman"/>
          <w:sz w:val="24"/>
          <w:szCs w:val="24"/>
        </w:rPr>
        <w:t>informaţii</w:t>
      </w:r>
      <w:proofErr w:type="spellEnd"/>
      <w:r w:rsidR="00344A07" w:rsidRPr="00344A07">
        <w:rPr>
          <w:rFonts w:ascii="Times New Roman" w:hAnsi="Times New Roman" w:cs="Times New Roman"/>
          <w:sz w:val="24"/>
          <w:szCs w:val="24"/>
        </w:rPr>
        <w:t>, BNM informează banca despre încetarea procedurii administrative în termen de 3 zile lucrătoare de la expirarea termenului acordat.</w:t>
      </w:r>
    </w:p>
    <w:p w14:paraId="4AF958D0" w14:textId="70510ECE" w:rsidR="00344A07" w:rsidRPr="00344A07" w:rsidRDefault="008914D6" w:rsidP="00344A07">
      <w:pPr>
        <w:rPr>
          <w:rFonts w:ascii="Times New Roman" w:hAnsi="Times New Roman" w:cs="Times New Roman"/>
          <w:sz w:val="24"/>
          <w:szCs w:val="24"/>
        </w:rPr>
      </w:pPr>
      <w:r w:rsidRPr="00E14364">
        <w:rPr>
          <w:rFonts w:ascii="Times New Roman" w:hAnsi="Times New Roman" w:cs="Times New Roman"/>
          <w:sz w:val="24"/>
          <w:szCs w:val="24"/>
        </w:rPr>
        <w:t>538</w:t>
      </w:r>
      <w:r w:rsidR="00344A07" w:rsidRPr="00E14364">
        <w:rPr>
          <w:rFonts w:ascii="Times New Roman" w:hAnsi="Times New Roman" w:cs="Times New Roman"/>
          <w:sz w:val="24"/>
          <w:szCs w:val="24"/>
        </w:rPr>
        <w:t>.</w:t>
      </w:r>
      <w:r w:rsidR="00344A07" w:rsidRPr="00344A07">
        <w:rPr>
          <w:rFonts w:ascii="Times New Roman" w:hAnsi="Times New Roman" w:cs="Times New Roman"/>
          <w:sz w:val="24"/>
          <w:szCs w:val="24"/>
        </w:rPr>
        <w:t xml:space="preserve"> </w:t>
      </w:r>
      <w:bookmarkStart w:id="107" w:name="_Hlk230770988"/>
      <w:r w:rsidR="00344A07" w:rsidRPr="00344A07">
        <w:rPr>
          <w:rFonts w:ascii="Times New Roman" w:hAnsi="Times New Roman" w:cs="Times New Roman"/>
          <w:sz w:val="24"/>
          <w:szCs w:val="24"/>
        </w:rPr>
        <w:t xml:space="preserve">În termen de </w:t>
      </w:r>
      <w:r w:rsidR="00AE4742">
        <w:rPr>
          <w:rFonts w:ascii="Times New Roman" w:hAnsi="Times New Roman" w:cs="Times New Roman"/>
          <w:sz w:val="24"/>
          <w:szCs w:val="24"/>
        </w:rPr>
        <w:t>180</w:t>
      </w:r>
      <w:r w:rsidR="00344A07" w:rsidRPr="00344A07">
        <w:rPr>
          <w:rFonts w:ascii="Times New Roman" w:hAnsi="Times New Roman" w:cs="Times New Roman"/>
          <w:sz w:val="24"/>
          <w:szCs w:val="24"/>
        </w:rPr>
        <w:t xml:space="preserve"> de zile lucrătoare de la data primirii setului complet de documente </w:t>
      </w:r>
      <w:proofErr w:type="spellStart"/>
      <w:r w:rsidR="00344A07" w:rsidRPr="00344A07">
        <w:rPr>
          <w:rFonts w:ascii="Times New Roman" w:hAnsi="Times New Roman" w:cs="Times New Roman"/>
          <w:sz w:val="24"/>
          <w:szCs w:val="24"/>
        </w:rPr>
        <w:t>şi</w:t>
      </w:r>
      <w:proofErr w:type="spellEnd"/>
      <w:r w:rsidR="00344A07" w:rsidRPr="00344A07">
        <w:rPr>
          <w:rFonts w:ascii="Times New Roman" w:hAnsi="Times New Roman" w:cs="Times New Roman"/>
          <w:sz w:val="24"/>
          <w:szCs w:val="24"/>
        </w:rPr>
        <w:t xml:space="preserve"> </w:t>
      </w:r>
      <w:proofErr w:type="spellStart"/>
      <w:r w:rsidR="00344A07" w:rsidRPr="00344A07">
        <w:rPr>
          <w:rFonts w:ascii="Times New Roman" w:hAnsi="Times New Roman" w:cs="Times New Roman"/>
          <w:sz w:val="24"/>
          <w:szCs w:val="24"/>
        </w:rPr>
        <w:t>informaţii</w:t>
      </w:r>
      <w:proofErr w:type="spellEnd"/>
      <w:r w:rsidR="00344A07" w:rsidRPr="00344A07">
        <w:rPr>
          <w:rFonts w:ascii="Times New Roman" w:hAnsi="Times New Roman" w:cs="Times New Roman"/>
          <w:sz w:val="24"/>
          <w:szCs w:val="24"/>
        </w:rPr>
        <w:t xml:space="preserve"> în conformitate cu prezentul capitol, BNM eliberează aprobarea prealabilă corespunzătoare sau respinge cererea, informând în scris banca despre decizia sa. Dacă este necesară o examinare suplimentară sau este nevoie de mai mult timp pentru prelucrarea </w:t>
      </w:r>
      <w:proofErr w:type="spellStart"/>
      <w:r w:rsidR="00344A07" w:rsidRPr="00344A07">
        <w:rPr>
          <w:rFonts w:ascii="Times New Roman" w:hAnsi="Times New Roman" w:cs="Times New Roman"/>
          <w:sz w:val="24"/>
          <w:szCs w:val="24"/>
        </w:rPr>
        <w:t>informaţiilor</w:t>
      </w:r>
      <w:proofErr w:type="spellEnd"/>
      <w:r w:rsidR="00344A07" w:rsidRPr="00344A07">
        <w:rPr>
          <w:rFonts w:ascii="Times New Roman" w:hAnsi="Times New Roman" w:cs="Times New Roman"/>
          <w:sz w:val="24"/>
          <w:szCs w:val="24"/>
        </w:rPr>
        <w:t xml:space="preserve"> </w:t>
      </w:r>
      <w:proofErr w:type="spellStart"/>
      <w:r w:rsidR="00344A07" w:rsidRPr="00344A07">
        <w:rPr>
          <w:rFonts w:ascii="Times New Roman" w:hAnsi="Times New Roman" w:cs="Times New Roman"/>
          <w:sz w:val="24"/>
          <w:szCs w:val="24"/>
        </w:rPr>
        <w:t>şi</w:t>
      </w:r>
      <w:proofErr w:type="spellEnd"/>
      <w:r w:rsidR="00344A07" w:rsidRPr="00344A07">
        <w:rPr>
          <w:rFonts w:ascii="Times New Roman" w:hAnsi="Times New Roman" w:cs="Times New Roman"/>
          <w:sz w:val="24"/>
          <w:szCs w:val="24"/>
        </w:rPr>
        <w:t xml:space="preserve"> documentelor, termenul poate fi prelungit cu cel mult </w:t>
      </w:r>
      <w:r w:rsidR="00AE4742">
        <w:rPr>
          <w:rFonts w:ascii="Times New Roman" w:hAnsi="Times New Roman" w:cs="Times New Roman"/>
          <w:sz w:val="24"/>
          <w:szCs w:val="24"/>
        </w:rPr>
        <w:t>90</w:t>
      </w:r>
      <w:r w:rsidR="00344A07" w:rsidRPr="00344A07">
        <w:rPr>
          <w:rFonts w:ascii="Times New Roman" w:hAnsi="Times New Roman" w:cs="Times New Roman"/>
          <w:sz w:val="24"/>
          <w:szCs w:val="24"/>
        </w:rPr>
        <w:t xml:space="preserve"> de zile lucrătoare, cu notificarea băncii.</w:t>
      </w:r>
    </w:p>
    <w:bookmarkEnd w:id="107"/>
    <w:p w14:paraId="5AD0F2FC" w14:textId="46061ED3" w:rsidR="00344A07" w:rsidRPr="00344A07" w:rsidRDefault="008914D6" w:rsidP="00344A07">
      <w:pPr>
        <w:rPr>
          <w:rFonts w:ascii="Times New Roman" w:hAnsi="Times New Roman" w:cs="Times New Roman"/>
          <w:sz w:val="24"/>
          <w:szCs w:val="24"/>
        </w:rPr>
      </w:pPr>
      <w:r w:rsidRPr="00E14364">
        <w:rPr>
          <w:rFonts w:ascii="Times New Roman" w:hAnsi="Times New Roman" w:cs="Times New Roman"/>
          <w:sz w:val="24"/>
          <w:szCs w:val="24"/>
        </w:rPr>
        <w:lastRenderedPageBreak/>
        <w:t>539</w:t>
      </w:r>
      <w:r w:rsidR="00344A07" w:rsidRPr="00E14364">
        <w:rPr>
          <w:rFonts w:ascii="Times New Roman" w:hAnsi="Times New Roman" w:cs="Times New Roman"/>
          <w:sz w:val="24"/>
          <w:szCs w:val="24"/>
        </w:rPr>
        <w:t>.</w:t>
      </w:r>
      <w:r w:rsidR="00344A07" w:rsidRPr="00344A07">
        <w:rPr>
          <w:rFonts w:ascii="Times New Roman" w:hAnsi="Times New Roman" w:cs="Times New Roman"/>
          <w:sz w:val="24"/>
          <w:szCs w:val="24"/>
        </w:rPr>
        <w:t xml:space="preserve"> În cazul în care documentele </w:t>
      </w:r>
      <w:proofErr w:type="spellStart"/>
      <w:r w:rsidR="00344A07" w:rsidRPr="00344A07">
        <w:rPr>
          <w:rFonts w:ascii="Times New Roman" w:hAnsi="Times New Roman" w:cs="Times New Roman"/>
          <w:sz w:val="24"/>
          <w:szCs w:val="24"/>
        </w:rPr>
        <w:t>şi</w:t>
      </w:r>
      <w:proofErr w:type="spellEnd"/>
      <w:r w:rsidR="00344A07" w:rsidRPr="00344A07">
        <w:rPr>
          <w:rFonts w:ascii="Times New Roman" w:hAnsi="Times New Roman" w:cs="Times New Roman"/>
          <w:sz w:val="24"/>
          <w:szCs w:val="24"/>
        </w:rPr>
        <w:t xml:space="preserve"> </w:t>
      </w:r>
      <w:proofErr w:type="spellStart"/>
      <w:r w:rsidR="00344A07" w:rsidRPr="00344A07">
        <w:rPr>
          <w:rFonts w:ascii="Times New Roman" w:hAnsi="Times New Roman" w:cs="Times New Roman"/>
          <w:sz w:val="24"/>
          <w:szCs w:val="24"/>
        </w:rPr>
        <w:t>informaţiile</w:t>
      </w:r>
      <w:proofErr w:type="spellEnd"/>
      <w:r w:rsidR="00344A07" w:rsidRPr="00344A07">
        <w:rPr>
          <w:rFonts w:ascii="Times New Roman" w:hAnsi="Times New Roman" w:cs="Times New Roman"/>
          <w:sz w:val="24"/>
          <w:szCs w:val="24"/>
        </w:rPr>
        <w:t xml:space="preserve"> prezentate conform prezentul capitol sunt insuficiente pentru a lua o decizie cu privire la cererea de aprobare prealabilă în contextul pct.</w:t>
      </w:r>
      <w:r>
        <w:rPr>
          <w:rFonts w:ascii="Times New Roman" w:hAnsi="Times New Roman" w:cs="Times New Roman"/>
          <w:sz w:val="24"/>
          <w:szCs w:val="24"/>
        </w:rPr>
        <w:t>534</w:t>
      </w:r>
      <w:r w:rsidR="00344A07" w:rsidRPr="00344A07">
        <w:rPr>
          <w:rFonts w:ascii="Times New Roman" w:hAnsi="Times New Roman" w:cs="Times New Roman"/>
          <w:sz w:val="24"/>
          <w:szCs w:val="24"/>
        </w:rPr>
        <w:t xml:space="preserve">, BNM este în drept să solicite prezentarea documentelor </w:t>
      </w:r>
      <w:proofErr w:type="spellStart"/>
      <w:r w:rsidR="00344A07" w:rsidRPr="00344A07">
        <w:rPr>
          <w:rFonts w:ascii="Times New Roman" w:hAnsi="Times New Roman" w:cs="Times New Roman"/>
          <w:sz w:val="24"/>
          <w:szCs w:val="24"/>
        </w:rPr>
        <w:t>şi</w:t>
      </w:r>
      <w:proofErr w:type="spellEnd"/>
      <w:r w:rsidR="00344A07" w:rsidRPr="00344A07">
        <w:rPr>
          <w:rFonts w:ascii="Times New Roman" w:hAnsi="Times New Roman" w:cs="Times New Roman"/>
          <w:sz w:val="24"/>
          <w:szCs w:val="24"/>
        </w:rPr>
        <w:t xml:space="preserve"> a </w:t>
      </w:r>
      <w:proofErr w:type="spellStart"/>
      <w:r w:rsidR="00344A07" w:rsidRPr="00344A07">
        <w:rPr>
          <w:rFonts w:ascii="Times New Roman" w:hAnsi="Times New Roman" w:cs="Times New Roman"/>
          <w:sz w:val="24"/>
          <w:szCs w:val="24"/>
        </w:rPr>
        <w:t>informaţiilor</w:t>
      </w:r>
      <w:proofErr w:type="spellEnd"/>
      <w:r w:rsidR="00344A07" w:rsidRPr="00344A07">
        <w:rPr>
          <w:rFonts w:ascii="Times New Roman" w:hAnsi="Times New Roman" w:cs="Times New Roman"/>
          <w:sz w:val="24"/>
          <w:szCs w:val="24"/>
        </w:rPr>
        <w:t xml:space="preserve"> suplimentare.</w:t>
      </w:r>
    </w:p>
    <w:p w14:paraId="1D069C12" w14:textId="26E777A2" w:rsidR="00344A07" w:rsidRPr="00344A07" w:rsidRDefault="008914D6" w:rsidP="00344A07">
      <w:pPr>
        <w:rPr>
          <w:rFonts w:ascii="Times New Roman" w:hAnsi="Times New Roman" w:cs="Times New Roman"/>
          <w:sz w:val="24"/>
          <w:szCs w:val="24"/>
        </w:rPr>
      </w:pPr>
      <w:r w:rsidRPr="00E14364">
        <w:rPr>
          <w:rFonts w:ascii="Times New Roman" w:hAnsi="Times New Roman" w:cs="Times New Roman"/>
          <w:sz w:val="24"/>
          <w:szCs w:val="24"/>
        </w:rPr>
        <w:t>540</w:t>
      </w:r>
      <w:r w:rsidR="00344A07" w:rsidRPr="00E14364">
        <w:rPr>
          <w:rFonts w:ascii="Times New Roman" w:hAnsi="Times New Roman" w:cs="Times New Roman"/>
          <w:sz w:val="24"/>
          <w:szCs w:val="24"/>
        </w:rPr>
        <w:t>.</w:t>
      </w:r>
      <w:r w:rsidR="00344A07" w:rsidRPr="00344A07">
        <w:rPr>
          <w:rFonts w:ascii="Times New Roman" w:hAnsi="Times New Roman" w:cs="Times New Roman"/>
          <w:sz w:val="24"/>
          <w:szCs w:val="24"/>
        </w:rPr>
        <w:t xml:space="preserve"> Banca este obligată să prezinte </w:t>
      </w:r>
      <w:proofErr w:type="spellStart"/>
      <w:r w:rsidR="00344A07" w:rsidRPr="00344A07">
        <w:rPr>
          <w:rFonts w:ascii="Times New Roman" w:hAnsi="Times New Roman" w:cs="Times New Roman"/>
          <w:sz w:val="24"/>
          <w:szCs w:val="24"/>
        </w:rPr>
        <w:t>informaţiile</w:t>
      </w:r>
      <w:proofErr w:type="spellEnd"/>
      <w:r w:rsidR="00344A07" w:rsidRPr="00344A07">
        <w:rPr>
          <w:rFonts w:ascii="Times New Roman" w:hAnsi="Times New Roman" w:cs="Times New Roman"/>
          <w:sz w:val="24"/>
          <w:szCs w:val="24"/>
        </w:rPr>
        <w:t xml:space="preserve"> </w:t>
      </w:r>
      <w:proofErr w:type="spellStart"/>
      <w:r w:rsidR="00344A07" w:rsidRPr="00344A07">
        <w:rPr>
          <w:rFonts w:ascii="Times New Roman" w:hAnsi="Times New Roman" w:cs="Times New Roman"/>
          <w:sz w:val="24"/>
          <w:szCs w:val="24"/>
        </w:rPr>
        <w:t>şi</w:t>
      </w:r>
      <w:proofErr w:type="spellEnd"/>
      <w:r w:rsidR="00344A07" w:rsidRPr="00344A07">
        <w:rPr>
          <w:rFonts w:ascii="Times New Roman" w:hAnsi="Times New Roman" w:cs="Times New Roman"/>
          <w:sz w:val="24"/>
          <w:szCs w:val="24"/>
        </w:rPr>
        <w:t xml:space="preserve"> documentele suplimentare în termenul indicat de BNM, perioadă pe parcursul căreia termenul prevăzut la pct.</w:t>
      </w:r>
      <w:r>
        <w:rPr>
          <w:rFonts w:ascii="Times New Roman" w:hAnsi="Times New Roman" w:cs="Times New Roman"/>
          <w:sz w:val="24"/>
          <w:szCs w:val="24"/>
        </w:rPr>
        <w:t>538</w:t>
      </w:r>
      <w:r w:rsidR="00344A07" w:rsidRPr="00344A07">
        <w:rPr>
          <w:rFonts w:ascii="Times New Roman" w:hAnsi="Times New Roman" w:cs="Times New Roman"/>
          <w:sz w:val="24"/>
          <w:szCs w:val="24"/>
        </w:rPr>
        <w:t xml:space="preserve"> se suspendă.</w:t>
      </w:r>
    </w:p>
    <w:p w14:paraId="219E0EF2" w14:textId="341937D8" w:rsidR="00344A07" w:rsidRPr="00344A07" w:rsidRDefault="008914D6" w:rsidP="00344A07">
      <w:pPr>
        <w:rPr>
          <w:rFonts w:ascii="Times New Roman" w:hAnsi="Times New Roman" w:cs="Times New Roman"/>
          <w:sz w:val="24"/>
          <w:szCs w:val="24"/>
        </w:rPr>
      </w:pPr>
      <w:r w:rsidRPr="00E14364">
        <w:rPr>
          <w:rFonts w:ascii="Times New Roman" w:hAnsi="Times New Roman" w:cs="Times New Roman"/>
          <w:sz w:val="24"/>
          <w:szCs w:val="24"/>
        </w:rPr>
        <w:t>541</w:t>
      </w:r>
      <w:r w:rsidR="00344A07" w:rsidRPr="00E14364">
        <w:rPr>
          <w:rFonts w:ascii="Times New Roman" w:hAnsi="Times New Roman" w:cs="Times New Roman"/>
          <w:sz w:val="24"/>
          <w:szCs w:val="24"/>
        </w:rPr>
        <w:t>.</w:t>
      </w:r>
      <w:r w:rsidR="00344A07" w:rsidRPr="00344A07">
        <w:rPr>
          <w:rFonts w:ascii="Times New Roman" w:hAnsi="Times New Roman" w:cs="Times New Roman"/>
          <w:sz w:val="24"/>
          <w:szCs w:val="24"/>
        </w:rPr>
        <w:t xml:space="preserve"> În caz de respingere a cererii pentru </w:t>
      </w:r>
      <w:proofErr w:type="spellStart"/>
      <w:r w:rsidR="00344A07" w:rsidRPr="00344A07">
        <w:rPr>
          <w:rFonts w:ascii="Times New Roman" w:hAnsi="Times New Roman" w:cs="Times New Roman"/>
          <w:sz w:val="24"/>
          <w:szCs w:val="24"/>
        </w:rPr>
        <w:t>obţinerea</w:t>
      </w:r>
      <w:proofErr w:type="spellEnd"/>
      <w:r w:rsidR="00344A07" w:rsidRPr="00344A07">
        <w:rPr>
          <w:rFonts w:ascii="Times New Roman" w:hAnsi="Times New Roman" w:cs="Times New Roman"/>
          <w:sz w:val="24"/>
          <w:szCs w:val="24"/>
        </w:rPr>
        <w:t xml:space="preserve"> aprobării prealabile, se vor indica temeiurile în baza cărora se respinge cererea. Drept temei de respingere a cererii pentru </w:t>
      </w:r>
      <w:proofErr w:type="spellStart"/>
      <w:r w:rsidR="00344A07" w:rsidRPr="00344A07">
        <w:rPr>
          <w:rFonts w:ascii="Times New Roman" w:hAnsi="Times New Roman" w:cs="Times New Roman"/>
          <w:sz w:val="24"/>
          <w:szCs w:val="24"/>
        </w:rPr>
        <w:t>obţinerea</w:t>
      </w:r>
      <w:proofErr w:type="spellEnd"/>
      <w:r w:rsidR="00344A07" w:rsidRPr="00344A07">
        <w:rPr>
          <w:rFonts w:ascii="Times New Roman" w:hAnsi="Times New Roman" w:cs="Times New Roman"/>
          <w:sz w:val="24"/>
          <w:szCs w:val="24"/>
        </w:rPr>
        <w:t xml:space="preserve"> aprobării prealabile a BNM sunt considerate următoarele:</w:t>
      </w:r>
    </w:p>
    <w:p w14:paraId="47B01A6D" w14:textId="7F5A1B28" w:rsidR="00344A07" w:rsidRPr="00344A07" w:rsidRDefault="001F0690" w:rsidP="00344A07">
      <w:pPr>
        <w:rPr>
          <w:rFonts w:ascii="Times New Roman" w:hAnsi="Times New Roman" w:cs="Times New Roman"/>
          <w:sz w:val="24"/>
          <w:szCs w:val="24"/>
        </w:rPr>
      </w:pPr>
      <w:r w:rsidRPr="00E14364">
        <w:rPr>
          <w:rFonts w:ascii="Times New Roman" w:hAnsi="Times New Roman" w:cs="Times New Roman"/>
          <w:sz w:val="24"/>
          <w:szCs w:val="24"/>
        </w:rPr>
        <w:t>541</w:t>
      </w:r>
      <w:r w:rsidR="00344A07" w:rsidRPr="00E14364">
        <w:rPr>
          <w:rFonts w:ascii="Times New Roman" w:hAnsi="Times New Roman" w:cs="Times New Roman"/>
          <w:sz w:val="24"/>
          <w:szCs w:val="24"/>
        </w:rPr>
        <w:t>.1.</w:t>
      </w:r>
      <w:r w:rsidR="00344A07" w:rsidRPr="00344A07">
        <w:rPr>
          <w:rFonts w:ascii="Times New Roman" w:hAnsi="Times New Roman" w:cs="Times New Roman"/>
          <w:sz w:val="24"/>
          <w:szCs w:val="24"/>
        </w:rPr>
        <w:t xml:space="preserve"> neîndeplinirea </w:t>
      </w:r>
      <w:proofErr w:type="spellStart"/>
      <w:r w:rsidR="00344A07" w:rsidRPr="00344A07">
        <w:rPr>
          <w:rFonts w:ascii="Times New Roman" w:hAnsi="Times New Roman" w:cs="Times New Roman"/>
          <w:sz w:val="24"/>
          <w:szCs w:val="24"/>
        </w:rPr>
        <w:t>condiţiilor</w:t>
      </w:r>
      <w:proofErr w:type="spellEnd"/>
      <w:r w:rsidR="00344A07" w:rsidRPr="00344A07">
        <w:rPr>
          <w:rFonts w:ascii="Times New Roman" w:hAnsi="Times New Roman" w:cs="Times New Roman"/>
          <w:sz w:val="24"/>
          <w:szCs w:val="24"/>
        </w:rPr>
        <w:t xml:space="preserve"> stabilite pentru </w:t>
      </w:r>
      <w:proofErr w:type="spellStart"/>
      <w:r w:rsidR="00344A07" w:rsidRPr="00344A07">
        <w:rPr>
          <w:rFonts w:ascii="Times New Roman" w:hAnsi="Times New Roman" w:cs="Times New Roman"/>
          <w:sz w:val="24"/>
          <w:szCs w:val="24"/>
        </w:rPr>
        <w:t>obţinerea</w:t>
      </w:r>
      <w:proofErr w:type="spellEnd"/>
      <w:r w:rsidR="00344A07" w:rsidRPr="00344A07">
        <w:rPr>
          <w:rFonts w:ascii="Times New Roman" w:hAnsi="Times New Roman" w:cs="Times New Roman"/>
          <w:sz w:val="24"/>
          <w:szCs w:val="24"/>
        </w:rPr>
        <w:t xml:space="preserve"> aprobării prealabile respective, după caz </w:t>
      </w:r>
      <w:proofErr w:type="spellStart"/>
      <w:r w:rsidR="00344A07" w:rsidRPr="00344A07">
        <w:rPr>
          <w:rFonts w:ascii="Times New Roman" w:hAnsi="Times New Roman" w:cs="Times New Roman"/>
          <w:sz w:val="24"/>
          <w:szCs w:val="24"/>
        </w:rPr>
        <w:t>şi</w:t>
      </w:r>
      <w:proofErr w:type="spellEnd"/>
      <w:r w:rsidR="00344A07" w:rsidRPr="00344A07">
        <w:rPr>
          <w:rFonts w:ascii="Times New Roman" w:hAnsi="Times New Roman" w:cs="Times New Roman"/>
          <w:sz w:val="24"/>
          <w:szCs w:val="24"/>
        </w:rPr>
        <w:t>/sau</w:t>
      </w:r>
    </w:p>
    <w:p w14:paraId="49F2B07F" w14:textId="6F064B76" w:rsidR="00344A07" w:rsidRPr="00344A07" w:rsidRDefault="001F0690" w:rsidP="00344A07">
      <w:pPr>
        <w:rPr>
          <w:rFonts w:ascii="Times New Roman" w:hAnsi="Times New Roman" w:cs="Times New Roman"/>
          <w:sz w:val="24"/>
          <w:szCs w:val="24"/>
        </w:rPr>
      </w:pPr>
      <w:r w:rsidRPr="00E14364">
        <w:rPr>
          <w:rFonts w:ascii="Times New Roman" w:hAnsi="Times New Roman" w:cs="Times New Roman"/>
          <w:sz w:val="24"/>
          <w:szCs w:val="24"/>
        </w:rPr>
        <w:t>54</w:t>
      </w:r>
      <w:r>
        <w:rPr>
          <w:rFonts w:ascii="Times New Roman" w:hAnsi="Times New Roman" w:cs="Times New Roman"/>
          <w:sz w:val="24"/>
          <w:szCs w:val="24"/>
        </w:rPr>
        <w:t>1</w:t>
      </w:r>
      <w:r w:rsidR="00344A07" w:rsidRPr="00E14364">
        <w:rPr>
          <w:rFonts w:ascii="Times New Roman" w:hAnsi="Times New Roman" w:cs="Times New Roman"/>
          <w:sz w:val="24"/>
          <w:szCs w:val="24"/>
        </w:rPr>
        <w:t>.2.</w:t>
      </w:r>
      <w:r w:rsidR="00344A07" w:rsidRPr="00344A07">
        <w:rPr>
          <w:rFonts w:ascii="Times New Roman" w:hAnsi="Times New Roman" w:cs="Times New Roman"/>
          <w:sz w:val="24"/>
          <w:szCs w:val="24"/>
        </w:rPr>
        <w:t xml:space="preserve"> prezentarea la BNM a </w:t>
      </w:r>
      <w:proofErr w:type="spellStart"/>
      <w:r w:rsidR="00344A07" w:rsidRPr="00344A07">
        <w:rPr>
          <w:rFonts w:ascii="Times New Roman" w:hAnsi="Times New Roman" w:cs="Times New Roman"/>
          <w:sz w:val="24"/>
          <w:szCs w:val="24"/>
        </w:rPr>
        <w:t>informaţiei</w:t>
      </w:r>
      <w:proofErr w:type="spellEnd"/>
      <w:r w:rsidR="00344A07" w:rsidRPr="00344A07">
        <w:rPr>
          <w:rFonts w:ascii="Times New Roman" w:hAnsi="Times New Roman" w:cs="Times New Roman"/>
          <w:sz w:val="24"/>
          <w:szCs w:val="24"/>
        </w:rPr>
        <w:t xml:space="preserve"> eronate, neautentice </w:t>
      </w:r>
      <w:proofErr w:type="spellStart"/>
      <w:r w:rsidR="00344A07" w:rsidRPr="00344A07">
        <w:rPr>
          <w:rFonts w:ascii="Times New Roman" w:hAnsi="Times New Roman" w:cs="Times New Roman"/>
          <w:sz w:val="24"/>
          <w:szCs w:val="24"/>
        </w:rPr>
        <w:t>şi</w:t>
      </w:r>
      <w:proofErr w:type="spellEnd"/>
      <w:r w:rsidR="00344A07" w:rsidRPr="00344A07">
        <w:rPr>
          <w:rFonts w:ascii="Times New Roman" w:hAnsi="Times New Roman" w:cs="Times New Roman"/>
          <w:sz w:val="24"/>
          <w:szCs w:val="24"/>
        </w:rPr>
        <w:t>/sau contradictorii;</w:t>
      </w:r>
    </w:p>
    <w:p w14:paraId="7E69DD5D" w14:textId="0DAA04EB" w:rsidR="00344A07" w:rsidRPr="00344A07" w:rsidRDefault="001F0690" w:rsidP="00344A07">
      <w:pPr>
        <w:rPr>
          <w:rFonts w:ascii="Times New Roman" w:hAnsi="Times New Roman" w:cs="Times New Roman"/>
          <w:sz w:val="24"/>
          <w:szCs w:val="24"/>
        </w:rPr>
      </w:pPr>
      <w:r w:rsidRPr="00E14364">
        <w:rPr>
          <w:rFonts w:ascii="Times New Roman" w:hAnsi="Times New Roman" w:cs="Times New Roman"/>
          <w:sz w:val="24"/>
          <w:szCs w:val="24"/>
        </w:rPr>
        <w:t>54</w:t>
      </w:r>
      <w:r>
        <w:rPr>
          <w:rFonts w:ascii="Times New Roman" w:hAnsi="Times New Roman" w:cs="Times New Roman"/>
          <w:sz w:val="24"/>
          <w:szCs w:val="24"/>
        </w:rPr>
        <w:t>1</w:t>
      </w:r>
      <w:r w:rsidR="00344A07" w:rsidRPr="00E14364">
        <w:rPr>
          <w:rFonts w:ascii="Times New Roman" w:hAnsi="Times New Roman" w:cs="Times New Roman"/>
          <w:sz w:val="24"/>
          <w:szCs w:val="24"/>
        </w:rPr>
        <w:t>.3.</w:t>
      </w:r>
      <w:r w:rsidR="00344A07" w:rsidRPr="00344A07">
        <w:rPr>
          <w:rFonts w:ascii="Times New Roman" w:hAnsi="Times New Roman" w:cs="Times New Roman"/>
          <w:sz w:val="24"/>
          <w:szCs w:val="24"/>
        </w:rPr>
        <w:t xml:space="preserve"> neprezentarea documentelor </w:t>
      </w:r>
      <w:proofErr w:type="spellStart"/>
      <w:r w:rsidR="00344A07" w:rsidRPr="00344A07">
        <w:rPr>
          <w:rFonts w:ascii="Times New Roman" w:hAnsi="Times New Roman" w:cs="Times New Roman"/>
          <w:sz w:val="24"/>
          <w:szCs w:val="24"/>
        </w:rPr>
        <w:t>şi</w:t>
      </w:r>
      <w:proofErr w:type="spellEnd"/>
      <w:r w:rsidR="00344A07" w:rsidRPr="00344A07">
        <w:rPr>
          <w:rFonts w:ascii="Times New Roman" w:hAnsi="Times New Roman" w:cs="Times New Roman"/>
          <w:sz w:val="24"/>
          <w:szCs w:val="24"/>
        </w:rPr>
        <w:t xml:space="preserve"> </w:t>
      </w:r>
      <w:proofErr w:type="spellStart"/>
      <w:r w:rsidR="00344A07" w:rsidRPr="00344A07">
        <w:rPr>
          <w:rFonts w:ascii="Times New Roman" w:hAnsi="Times New Roman" w:cs="Times New Roman"/>
          <w:sz w:val="24"/>
          <w:szCs w:val="24"/>
        </w:rPr>
        <w:t>informaţiilor</w:t>
      </w:r>
      <w:proofErr w:type="spellEnd"/>
      <w:r w:rsidR="00344A07" w:rsidRPr="00344A07">
        <w:rPr>
          <w:rFonts w:ascii="Times New Roman" w:hAnsi="Times New Roman" w:cs="Times New Roman"/>
          <w:sz w:val="24"/>
          <w:szCs w:val="24"/>
        </w:rPr>
        <w:t xml:space="preserve"> care confirmă întrunirea de către bancă a </w:t>
      </w:r>
      <w:proofErr w:type="spellStart"/>
      <w:r w:rsidR="00344A07" w:rsidRPr="00344A07">
        <w:rPr>
          <w:rFonts w:ascii="Times New Roman" w:hAnsi="Times New Roman" w:cs="Times New Roman"/>
          <w:sz w:val="24"/>
          <w:szCs w:val="24"/>
        </w:rPr>
        <w:t>condiţiilor</w:t>
      </w:r>
      <w:proofErr w:type="spellEnd"/>
      <w:r w:rsidR="00344A07" w:rsidRPr="00344A07">
        <w:rPr>
          <w:rFonts w:ascii="Times New Roman" w:hAnsi="Times New Roman" w:cs="Times New Roman"/>
          <w:sz w:val="24"/>
          <w:szCs w:val="24"/>
        </w:rPr>
        <w:t xml:space="preserve"> stabilite pentru </w:t>
      </w:r>
      <w:proofErr w:type="spellStart"/>
      <w:r w:rsidR="00344A07" w:rsidRPr="00344A07">
        <w:rPr>
          <w:rFonts w:ascii="Times New Roman" w:hAnsi="Times New Roman" w:cs="Times New Roman"/>
          <w:sz w:val="24"/>
          <w:szCs w:val="24"/>
        </w:rPr>
        <w:t>obţinerea</w:t>
      </w:r>
      <w:proofErr w:type="spellEnd"/>
      <w:r w:rsidR="00344A07" w:rsidRPr="00344A07">
        <w:rPr>
          <w:rFonts w:ascii="Times New Roman" w:hAnsi="Times New Roman" w:cs="Times New Roman"/>
          <w:sz w:val="24"/>
          <w:szCs w:val="24"/>
        </w:rPr>
        <w:t xml:space="preserve"> aprobării prealabile respective.</w:t>
      </w:r>
    </w:p>
    <w:p w14:paraId="3E5E21D6" w14:textId="28111E92" w:rsidR="00344A07" w:rsidRDefault="001F0690" w:rsidP="00344A07">
      <w:pPr>
        <w:rPr>
          <w:rFonts w:ascii="Times New Roman" w:hAnsi="Times New Roman" w:cs="Times New Roman"/>
          <w:sz w:val="24"/>
          <w:szCs w:val="24"/>
        </w:rPr>
      </w:pPr>
      <w:r w:rsidRPr="00E14364">
        <w:rPr>
          <w:rFonts w:ascii="Times New Roman" w:hAnsi="Times New Roman" w:cs="Times New Roman"/>
          <w:sz w:val="24"/>
          <w:szCs w:val="24"/>
        </w:rPr>
        <w:t>542</w:t>
      </w:r>
      <w:r w:rsidR="00344A07" w:rsidRPr="00E14364">
        <w:rPr>
          <w:rFonts w:ascii="Times New Roman" w:hAnsi="Times New Roman" w:cs="Times New Roman"/>
          <w:sz w:val="24"/>
          <w:szCs w:val="24"/>
        </w:rPr>
        <w:t>.</w:t>
      </w:r>
      <w:r w:rsidR="00344A07" w:rsidRPr="00344A07">
        <w:rPr>
          <w:rFonts w:ascii="Times New Roman" w:hAnsi="Times New Roman" w:cs="Times New Roman"/>
          <w:sz w:val="24"/>
          <w:szCs w:val="24"/>
        </w:rPr>
        <w:t xml:space="preserve"> Banca este în drept să aplice prevederile stabilite în aprobările prealabile începând cu data eliberării aprobării prealabile.</w:t>
      </w:r>
    </w:p>
    <w:p w14:paraId="2BFCE725" w14:textId="647998F4" w:rsidR="00AB342E" w:rsidRPr="00E14364" w:rsidRDefault="00AB342E" w:rsidP="00AB342E">
      <w:pPr>
        <w:rPr>
          <w:rFonts w:ascii="Times New Roman" w:hAnsi="Times New Roman" w:cs="Times New Roman"/>
          <w:b/>
          <w:bCs/>
          <w:i/>
          <w:iCs/>
          <w:sz w:val="24"/>
          <w:szCs w:val="24"/>
        </w:rPr>
      </w:pPr>
      <w:bookmarkStart w:id="108" w:name="_Hlk230937527"/>
      <w:r w:rsidRPr="00E14364">
        <w:rPr>
          <w:rFonts w:ascii="Times New Roman" w:hAnsi="Times New Roman" w:cs="Times New Roman"/>
          <w:b/>
          <w:bCs/>
          <w:i/>
          <w:iCs/>
          <w:sz w:val="24"/>
          <w:szCs w:val="24"/>
        </w:rPr>
        <w:t>Capitolul II</w:t>
      </w:r>
      <w:r w:rsidR="0062503D">
        <w:rPr>
          <w:rFonts w:ascii="Times New Roman" w:hAnsi="Times New Roman" w:cs="Times New Roman"/>
          <w:b/>
          <w:bCs/>
          <w:i/>
          <w:iCs/>
          <w:sz w:val="24"/>
          <w:szCs w:val="24"/>
        </w:rPr>
        <w:t xml:space="preserve">. </w:t>
      </w:r>
      <w:r w:rsidRPr="00E14364">
        <w:rPr>
          <w:rFonts w:ascii="Times New Roman" w:hAnsi="Times New Roman" w:cs="Times New Roman"/>
          <w:b/>
          <w:bCs/>
          <w:i/>
          <w:iCs/>
          <w:sz w:val="24"/>
          <w:szCs w:val="24"/>
        </w:rPr>
        <w:t>ACORDAREA APROBĂRILOR</w:t>
      </w:r>
      <w:r w:rsidR="00C72DD7">
        <w:rPr>
          <w:rFonts w:ascii="Times New Roman" w:hAnsi="Times New Roman" w:cs="Times New Roman"/>
          <w:b/>
          <w:bCs/>
          <w:i/>
          <w:iCs/>
          <w:sz w:val="24"/>
          <w:szCs w:val="24"/>
        </w:rPr>
        <w:t>,</w:t>
      </w:r>
      <w:r w:rsidR="00A31C0B">
        <w:rPr>
          <w:rFonts w:ascii="Times New Roman" w:hAnsi="Times New Roman" w:cs="Times New Roman"/>
          <w:b/>
          <w:bCs/>
          <w:i/>
          <w:iCs/>
          <w:sz w:val="24"/>
          <w:szCs w:val="24"/>
        </w:rPr>
        <w:t xml:space="preserve"> PERMISIUNILOR</w:t>
      </w:r>
      <w:r w:rsidR="00C72DD7" w:rsidRPr="00C72DD7">
        <w:rPr>
          <w:rFonts w:ascii="Times New Roman" w:hAnsi="Times New Roman" w:cs="Times New Roman"/>
          <w:b/>
          <w:bCs/>
          <w:i/>
          <w:iCs/>
          <w:sz w:val="24"/>
          <w:szCs w:val="24"/>
        </w:rPr>
        <w:t xml:space="preserve"> </w:t>
      </w:r>
      <w:r w:rsidR="00C72DD7">
        <w:rPr>
          <w:rFonts w:ascii="Times New Roman" w:hAnsi="Times New Roman" w:cs="Times New Roman"/>
          <w:b/>
          <w:bCs/>
          <w:i/>
          <w:iCs/>
          <w:sz w:val="24"/>
          <w:szCs w:val="24"/>
        </w:rPr>
        <w:t xml:space="preserve">ȘI </w:t>
      </w:r>
      <w:r w:rsidR="00F52FBB">
        <w:rPr>
          <w:rFonts w:ascii="Times New Roman" w:hAnsi="Times New Roman" w:cs="Times New Roman"/>
          <w:b/>
          <w:bCs/>
          <w:i/>
          <w:iCs/>
          <w:sz w:val="24"/>
          <w:szCs w:val="24"/>
        </w:rPr>
        <w:t xml:space="preserve">IMPUNEREA </w:t>
      </w:r>
      <w:r w:rsidR="00C72DD7">
        <w:rPr>
          <w:rFonts w:ascii="Times New Roman" w:hAnsi="Times New Roman" w:cs="Times New Roman"/>
          <w:b/>
          <w:bCs/>
          <w:i/>
          <w:iCs/>
          <w:sz w:val="24"/>
          <w:szCs w:val="24"/>
        </w:rPr>
        <w:t>CONDIȚIILOR MAI SRICTE</w:t>
      </w:r>
    </w:p>
    <w:bookmarkEnd w:id="108"/>
    <w:p w14:paraId="229AECD1" w14:textId="17A3C8CE" w:rsidR="00A31C0B" w:rsidRPr="00E14364" w:rsidRDefault="00A31C0B" w:rsidP="00AB342E">
      <w:pPr>
        <w:rPr>
          <w:rFonts w:ascii="Times New Roman" w:hAnsi="Times New Roman" w:cs="Times New Roman"/>
          <w:sz w:val="24"/>
          <w:szCs w:val="24"/>
        </w:rPr>
      </w:pPr>
      <w:r w:rsidRPr="00E14364">
        <w:rPr>
          <w:rFonts w:ascii="Times New Roman" w:hAnsi="Times New Roman" w:cs="Times New Roman"/>
          <w:sz w:val="24"/>
          <w:szCs w:val="24"/>
        </w:rPr>
        <w:t xml:space="preserve">543. În scopul obținerii </w:t>
      </w:r>
      <w:r>
        <w:rPr>
          <w:rFonts w:ascii="Times New Roman" w:hAnsi="Times New Roman" w:cs="Times New Roman"/>
          <w:sz w:val="24"/>
          <w:szCs w:val="24"/>
        </w:rPr>
        <w:t>aprobărilor (prevăzute la pct.</w:t>
      </w:r>
      <w:r w:rsidR="001666AE">
        <w:rPr>
          <w:rFonts w:ascii="Times New Roman" w:hAnsi="Times New Roman" w:cs="Times New Roman"/>
          <w:sz w:val="24"/>
          <w:szCs w:val="24"/>
        </w:rPr>
        <w:t>2</w:t>
      </w:r>
      <w:r w:rsidR="009417AF">
        <w:rPr>
          <w:rFonts w:ascii="Times New Roman" w:hAnsi="Times New Roman" w:cs="Times New Roman"/>
          <w:sz w:val="24"/>
          <w:szCs w:val="24"/>
        </w:rPr>
        <w:t>1</w:t>
      </w:r>
      <w:r w:rsidR="001666AE">
        <w:rPr>
          <w:rFonts w:ascii="Times New Roman" w:hAnsi="Times New Roman" w:cs="Times New Roman"/>
          <w:sz w:val="24"/>
          <w:szCs w:val="24"/>
        </w:rPr>
        <w:t xml:space="preserve">, </w:t>
      </w:r>
      <w:r w:rsidR="00365B88">
        <w:rPr>
          <w:rFonts w:ascii="Times New Roman" w:hAnsi="Times New Roman" w:cs="Times New Roman"/>
          <w:sz w:val="24"/>
          <w:szCs w:val="24"/>
        </w:rPr>
        <w:t>26</w:t>
      </w:r>
      <w:r w:rsidR="00AF4881">
        <w:rPr>
          <w:rFonts w:ascii="Times New Roman" w:hAnsi="Times New Roman" w:cs="Times New Roman"/>
          <w:sz w:val="24"/>
          <w:szCs w:val="24"/>
        </w:rPr>
        <w:t>,</w:t>
      </w:r>
      <w:r w:rsidR="00783684">
        <w:rPr>
          <w:rFonts w:ascii="Times New Roman" w:hAnsi="Times New Roman" w:cs="Times New Roman"/>
          <w:sz w:val="24"/>
          <w:szCs w:val="24"/>
        </w:rPr>
        <w:t xml:space="preserve"> 38</w:t>
      </w:r>
      <w:r w:rsidR="000639D9">
        <w:rPr>
          <w:rFonts w:ascii="Times New Roman" w:hAnsi="Times New Roman" w:cs="Times New Roman"/>
          <w:sz w:val="24"/>
          <w:szCs w:val="24"/>
        </w:rPr>
        <w:t>, 40,</w:t>
      </w:r>
      <w:r w:rsidR="00666FA2">
        <w:rPr>
          <w:rFonts w:ascii="Times New Roman" w:hAnsi="Times New Roman" w:cs="Times New Roman"/>
          <w:sz w:val="24"/>
          <w:szCs w:val="24"/>
        </w:rPr>
        <w:t xml:space="preserve"> 86, 89</w:t>
      </w:r>
      <w:r w:rsidR="00FA657D">
        <w:rPr>
          <w:rFonts w:ascii="Times New Roman" w:hAnsi="Times New Roman" w:cs="Times New Roman"/>
          <w:sz w:val="24"/>
          <w:szCs w:val="24"/>
        </w:rPr>
        <w:t xml:space="preserve">, 147, </w:t>
      </w:r>
      <w:r w:rsidR="00395F48">
        <w:rPr>
          <w:rFonts w:ascii="Times New Roman" w:hAnsi="Times New Roman" w:cs="Times New Roman"/>
          <w:sz w:val="24"/>
          <w:szCs w:val="24"/>
        </w:rPr>
        <w:t>216, 217, 223, 318</w:t>
      </w:r>
      <w:r w:rsidR="00462D31">
        <w:rPr>
          <w:rFonts w:ascii="Times New Roman" w:hAnsi="Times New Roman" w:cs="Times New Roman"/>
          <w:sz w:val="24"/>
          <w:szCs w:val="24"/>
        </w:rPr>
        <w:t>, 426</w:t>
      </w:r>
      <w:r w:rsidR="00D73C9E">
        <w:rPr>
          <w:rFonts w:ascii="Times New Roman" w:hAnsi="Times New Roman" w:cs="Times New Roman"/>
          <w:sz w:val="24"/>
          <w:szCs w:val="24"/>
        </w:rPr>
        <w:t xml:space="preserve"> și</w:t>
      </w:r>
      <w:r w:rsidR="00B37C59">
        <w:rPr>
          <w:rFonts w:ascii="Times New Roman" w:hAnsi="Times New Roman" w:cs="Times New Roman"/>
          <w:sz w:val="24"/>
          <w:szCs w:val="24"/>
        </w:rPr>
        <w:t xml:space="preserve"> 497</w:t>
      </w:r>
      <w:r>
        <w:rPr>
          <w:rFonts w:ascii="Times New Roman" w:hAnsi="Times New Roman" w:cs="Times New Roman"/>
          <w:sz w:val="24"/>
          <w:szCs w:val="24"/>
        </w:rPr>
        <w:t>) și permisiunilor (prevăzute la</w:t>
      </w:r>
      <w:r w:rsidR="00AF4881" w:rsidRPr="00AF4881">
        <w:rPr>
          <w:rFonts w:ascii="Times New Roman" w:hAnsi="Times New Roman" w:cs="Times New Roman"/>
          <w:sz w:val="24"/>
          <w:szCs w:val="24"/>
        </w:rPr>
        <w:t xml:space="preserve"> subpct.28.2</w:t>
      </w:r>
      <w:r w:rsidR="00FA657D">
        <w:rPr>
          <w:rFonts w:ascii="Times New Roman" w:hAnsi="Times New Roman" w:cs="Times New Roman"/>
          <w:sz w:val="24"/>
          <w:szCs w:val="24"/>
        </w:rPr>
        <w:t>, pct.136, 143, 199, 200</w:t>
      </w:r>
      <w:r w:rsidR="00C72DD7">
        <w:rPr>
          <w:rFonts w:ascii="Times New Roman" w:hAnsi="Times New Roman" w:cs="Times New Roman"/>
          <w:sz w:val="24"/>
          <w:szCs w:val="24"/>
        </w:rPr>
        <w:t>, 363</w:t>
      </w:r>
      <w:r w:rsidR="00D73C9E">
        <w:rPr>
          <w:rFonts w:ascii="Times New Roman" w:hAnsi="Times New Roman" w:cs="Times New Roman"/>
          <w:sz w:val="24"/>
          <w:szCs w:val="24"/>
        </w:rPr>
        <w:t xml:space="preserve"> și</w:t>
      </w:r>
      <w:r w:rsidR="00C72DD7">
        <w:rPr>
          <w:rFonts w:ascii="Times New Roman" w:hAnsi="Times New Roman" w:cs="Times New Roman"/>
          <w:sz w:val="24"/>
          <w:szCs w:val="24"/>
        </w:rPr>
        <w:t xml:space="preserve"> 366</w:t>
      </w:r>
      <w:r>
        <w:rPr>
          <w:rFonts w:ascii="Times New Roman" w:hAnsi="Times New Roman" w:cs="Times New Roman"/>
          <w:sz w:val="24"/>
          <w:szCs w:val="24"/>
        </w:rPr>
        <w:t>) se aplică prevederile capitolului I.</w:t>
      </w:r>
    </w:p>
    <w:p w14:paraId="203C4C63" w14:textId="35F473A6" w:rsidR="00AB342E" w:rsidRPr="00AB342E" w:rsidRDefault="0062503D" w:rsidP="00AB342E">
      <w:pPr>
        <w:rPr>
          <w:rFonts w:ascii="Times New Roman" w:hAnsi="Times New Roman" w:cs="Times New Roman"/>
          <w:sz w:val="24"/>
          <w:szCs w:val="24"/>
        </w:rPr>
      </w:pPr>
      <w:r w:rsidRPr="00E14364">
        <w:rPr>
          <w:rFonts w:ascii="Times New Roman" w:hAnsi="Times New Roman" w:cs="Times New Roman"/>
          <w:sz w:val="24"/>
          <w:szCs w:val="24"/>
        </w:rPr>
        <w:t>54</w:t>
      </w:r>
      <w:r w:rsidR="00A31C0B" w:rsidRPr="00E14364">
        <w:rPr>
          <w:rFonts w:ascii="Times New Roman" w:hAnsi="Times New Roman" w:cs="Times New Roman"/>
          <w:sz w:val="24"/>
          <w:szCs w:val="24"/>
        </w:rPr>
        <w:t>4</w:t>
      </w:r>
      <w:r w:rsidR="00AB342E" w:rsidRPr="00E14364">
        <w:rPr>
          <w:rFonts w:ascii="Times New Roman" w:hAnsi="Times New Roman" w:cs="Times New Roman"/>
          <w:sz w:val="24"/>
          <w:szCs w:val="24"/>
        </w:rPr>
        <w:t>.</w:t>
      </w:r>
      <w:r w:rsidR="00AB342E" w:rsidRPr="00AB342E">
        <w:rPr>
          <w:rFonts w:ascii="Times New Roman" w:hAnsi="Times New Roman" w:cs="Times New Roman"/>
          <w:sz w:val="24"/>
          <w:szCs w:val="24"/>
        </w:rPr>
        <w:t xml:space="preserve"> În cadrul procesului de supraveghere, BNM poate acorda aprobări </w:t>
      </w:r>
      <w:r w:rsidR="00332FF4">
        <w:rPr>
          <w:rFonts w:ascii="Times New Roman" w:hAnsi="Times New Roman" w:cs="Times New Roman"/>
          <w:sz w:val="24"/>
          <w:szCs w:val="24"/>
        </w:rPr>
        <w:t>(</w:t>
      </w:r>
      <w:r w:rsidR="00AB342E" w:rsidRPr="00AB342E">
        <w:rPr>
          <w:rFonts w:ascii="Times New Roman" w:hAnsi="Times New Roman" w:cs="Times New Roman"/>
          <w:sz w:val="24"/>
          <w:szCs w:val="24"/>
        </w:rPr>
        <w:t>în cazurile prevăzute la pct.</w:t>
      </w:r>
      <w:r w:rsidR="009417AF">
        <w:rPr>
          <w:rFonts w:ascii="Times New Roman" w:hAnsi="Times New Roman" w:cs="Times New Roman"/>
          <w:sz w:val="24"/>
          <w:szCs w:val="24"/>
        </w:rPr>
        <w:t>20</w:t>
      </w:r>
      <w:r w:rsidR="00113DE1">
        <w:rPr>
          <w:rFonts w:ascii="Times New Roman" w:hAnsi="Times New Roman" w:cs="Times New Roman"/>
          <w:sz w:val="24"/>
          <w:szCs w:val="24"/>
        </w:rPr>
        <w:t>, 419</w:t>
      </w:r>
      <w:r w:rsidR="00332FF4">
        <w:rPr>
          <w:rFonts w:ascii="Times New Roman" w:hAnsi="Times New Roman" w:cs="Times New Roman"/>
          <w:sz w:val="24"/>
          <w:szCs w:val="24"/>
        </w:rPr>
        <w:t>)</w:t>
      </w:r>
      <w:r w:rsidR="00F52FBB">
        <w:rPr>
          <w:rFonts w:ascii="Times New Roman" w:hAnsi="Times New Roman" w:cs="Times New Roman"/>
          <w:sz w:val="24"/>
          <w:szCs w:val="24"/>
        </w:rPr>
        <w:t>,</w:t>
      </w:r>
      <w:r w:rsidR="00332FF4">
        <w:rPr>
          <w:rFonts w:ascii="Times New Roman" w:hAnsi="Times New Roman" w:cs="Times New Roman"/>
          <w:sz w:val="24"/>
          <w:szCs w:val="24"/>
        </w:rPr>
        <w:t xml:space="preserve"> permisiuni (în cazurile prevăzute la pct.109</w:t>
      </w:r>
      <w:r w:rsidR="00F52FBB">
        <w:rPr>
          <w:rFonts w:ascii="Times New Roman" w:hAnsi="Times New Roman" w:cs="Times New Roman"/>
          <w:sz w:val="24"/>
          <w:szCs w:val="24"/>
        </w:rPr>
        <w:t>, 373, 376</w:t>
      </w:r>
      <w:r w:rsidR="00332FF4">
        <w:rPr>
          <w:rFonts w:ascii="Times New Roman" w:hAnsi="Times New Roman" w:cs="Times New Roman"/>
          <w:sz w:val="24"/>
          <w:szCs w:val="24"/>
        </w:rPr>
        <w:t>)</w:t>
      </w:r>
      <w:r w:rsidR="00C72DD7">
        <w:rPr>
          <w:rFonts w:ascii="Times New Roman" w:hAnsi="Times New Roman" w:cs="Times New Roman"/>
          <w:sz w:val="24"/>
          <w:szCs w:val="24"/>
        </w:rPr>
        <w:t>, precum și impune condiții mai stricte (în cazurile prevăzute la pct</w:t>
      </w:r>
      <w:r w:rsidR="00AB342E" w:rsidRPr="00AB342E">
        <w:rPr>
          <w:rFonts w:ascii="Times New Roman" w:hAnsi="Times New Roman" w:cs="Times New Roman"/>
          <w:sz w:val="24"/>
          <w:szCs w:val="24"/>
        </w:rPr>
        <w:t>.</w:t>
      </w:r>
      <w:r w:rsidR="00C72DD7">
        <w:rPr>
          <w:rFonts w:ascii="Times New Roman" w:hAnsi="Times New Roman" w:cs="Times New Roman"/>
          <w:sz w:val="24"/>
          <w:szCs w:val="24"/>
        </w:rPr>
        <w:t>364).</w:t>
      </w:r>
    </w:p>
    <w:p w14:paraId="444B328E" w14:textId="60CA3E5D" w:rsidR="00AB342E" w:rsidRPr="00AB342E" w:rsidRDefault="00A31C0B" w:rsidP="00AB342E">
      <w:pPr>
        <w:rPr>
          <w:rFonts w:ascii="Times New Roman" w:hAnsi="Times New Roman" w:cs="Times New Roman"/>
          <w:sz w:val="24"/>
          <w:szCs w:val="24"/>
        </w:rPr>
      </w:pPr>
      <w:r w:rsidRPr="00E14364">
        <w:rPr>
          <w:rFonts w:ascii="Times New Roman" w:hAnsi="Times New Roman" w:cs="Times New Roman"/>
          <w:sz w:val="24"/>
          <w:szCs w:val="24"/>
        </w:rPr>
        <w:t>545</w:t>
      </w:r>
      <w:r w:rsidR="00AB342E" w:rsidRPr="00E14364">
        <w:rPr>
          <w:rFonts w:ascii="Times New Roman" w:hAnsi="Times New Roman" w:cs="Times New Roman"/>
          <w:sz w:val="24"/>
          <w:szCs w:val="24"/>
        </w:rPr>
        <w:t>.</w:t>
      </w:r>
      <w:r w:rsidR="00AB342E" w:rsidRPr="00AB342E">
        <w:rPr>
          <w:rFonts w:ascii="Times New Roman" w:hAnsi="Times New Roman" w:cs="Times New Roman"/>
          <w:sz w:val="24"/>
          <w:szCs w:val="24"/>
        </w:rPr>
        <w:t xml:space="preserve"> În cazul în care BNM </w:t>
      </w:r>
      <w:proofErr w:type="spellStart"/>
      <w:r w:rsidR="00AB342E" w:rsidRPr="00AB342E">
        <w:rPr>
          <w:rFonts w:ascii="Times New Roman" w:hAnsi="Times New Roman" w:cs="Times New Roman"/>
          <w:sz w:val="24"/>
          <w:szCs w:val="24"/>
        </w:rPr>
        <w:t>iniţiază</w:t>
      </w:r>
      <w:proofErr w:type="spellEnd"/>
      <w:r w:rsidR="00AB342E" w:rsidRPr="00AB342E">
        <w:rPr>
          <w:rFonts w:ascii="Times New Roman" w:hAnsi="Times New Roman" w:cs="Times New Roman"/>
          <w:sz w:val="24"/>
          <w:szCs w:val="24"/>
        </w:rPr>
        <w:t xml:space="preserve"> una din procedurile </w:t>
      </w:r>
      <w:proofErr w:type="spellStart"/>
      <w:r w:rsidR="00AB342E" w:rsidRPr="00AB342E">
        <w:rPr>
          <w:rFonts w:ascii="Times New Roman" w:hAnsi="Times New Roman" w:cs="Times New Roman"/>
          <w:sz w:val="24"/>
          <w:szCs w:val="24"/>
        </w:rPr>
        <w:t>menţionate</w:t>
      </w:r>
      <w:proofErr w:type="spellEnd"/>
      <w:r w:rsidR="00AB342E" w:rsidRPr="00AB342E">
        <w:rPr>
          <w:rFonts w:ascii="Times New Roman" w:hAnsi="Times New Roman" w:cs="Times New Roman"/>
          <w:sz w:val="24"/>
          <w:szCs w:val="24"/>
        </w:rPr>
        <w:t xml:space="preserve"> la pct.</w:t>
      </w:r>
      <w:r>
        <w:rPr>
          <w:rFonts w:ascii="Times New Roman" w:hAnsi="Times New Roman" w:cs="Times New Roman"/>
          <w:sz w:val="24"/>
          <w:szCs w:val="24"/>
        </w:rPr>
        <w:t>54</w:t>
      </w:r>
      <w:r w:rsidR="00AB342E" w:rsidRPr="00AB342E">
        <w:rPr>
          <w:rFonts w:ascii="Times New Roman" w:hAnsi="Times New Roman" w:cs="Times New Roman"/>
          <w:sz w:val="24"/>
          <w:szCs w:val="24"/>
        </w:rPr>
        <w:t xml:space="preserve">4, aceasta informează în scris banca despre acest fapt în termen de 3 zile lucrătoare de la data </w:t>
      </w:r>
      <w:proofErr w:type="spellStart"/>
      <w:r w:rsidR="00AB342E" w:rsidRPr="00AB342E">
        <w:rPr>
          <w:rFonts w:ascii="Times New Roman" w:hAnsi="Times New Roman" w:cs="Times New Roman"/>
          <w:sz w:val="24"/>
          <w:szCs w:val="24"/>
        </w:rPr>
        <w:t>iniţierii</w:t>
      </w:r>
      <w:proofErr w:type="spellEnd"/>
      <w:r w:rsidR="00AB342E" w:rsidRPr="00AB342E">
        <w:rPr>
          <w:rFonts w:ascii="Times New Roman" w:hAnsi="Times New Roman" w:cs="Times New Roman"/>
          <w:sz w:val="24"/>
          <w:szCs w:val="24"/>
        </w:rPr>
        <w:t xml:space="preserve"> procedurii, după caz </w:t>
      </w:r>
      <w:proofErr w:type="spellStart"/>
      <w:r w:rsidR="00AB342E" w:rsidRPr="00AB342E">
        <w:rPr>
          <w:rFonts w:ascii="Times New Roman" w:hAnsi="Times New Roman" w:cs="Times New Roman"/>
          <w:sz w:val="24"/>
          <w:szCs w:val="24"/>
        </w:rPr>
        <w:t>şi</w:t>
      </w:r>
      <w:proofErr w:type="spellEnd"/>
      <w:r w:rsidR="00AB342E" w:rsidRPr="00AB342E">
        <w:rPr>
          <w:rFonts w:ascii="Times New Roman" w:hAnsi="Times New Roman" w:cs="Times New Roman"/>
          <w:sz w:val="24"/>
          <w:szCs w:val="24"/>
        </w:rPr>
        <w:t xml:space="preserve"> la necesitate solicită prezentarea </w:t>
      </w:r>
      <w:proofErr w:type="spellStart"/>
      <w:r w:rsidR="00AB342E" w:rsidRPr="00AB342E">
        <w:rPr>
          <w:rFonts w:ascii="Times New Roman" w:hAnsi="Times New Roman" w:cs="Times New Roman"/>
          <w:sz w:val="24"/>
          <w:szCs w:val="24"/>
        </w:rPr>
        <w:t>informaţiilor</w:t>
      </w:r>
      <w:proofErr w:type="spellEnd"/>
      <w:r w:rsidR="00AB342E" w:rsidRPr="00AB342E">
        <w:rPr>
          <w:rFonts w:ascii="Times New Roman" w:hAnsi="Times New Roman" w:cs="Times New Roman"/>
          <w:sz w:val="24"/>
          <w:szCs w:val="24"/>
        </w:rPr>
        <w:t xml:space="preserve"> </w:t>
      </w:r>
      <w:proofErr w:type="spellStart"/>
      <w:r w:rsidR="00AB342E" w:rsidRPr="00AB342E">
        <w:rPr>
          <w:rFonts w:ascii="Times New Roman" w:hAnsi="Times New Roman" w:cs="Times New Roman"/>
          <w:sz w:val="24"/>
          <w:szCs w:val="24"/>
        </w:rPr>
        <w:t>şi</w:t>
      </w:r>
      <w:proofErr w:type="spellEnd"/>
      <w:r w:rsidR="00AB342E" w:rsidRPr="00AB342E">
        <w:rPr>
          <w:rFonts w:ascii="Times New Roman" w:hAnsi="Times New Roman" w:cs="Times New Roman"/>
          <w:sz w:val="24"/>
          <w:szCs w:val="24"/>
        </w:rPr>
        <w:t xml:space="preserve"> a documentelor relevante care confirmă că banca </w:t>
      </w:r>
      <w:proofErr w:type="spellStart"/>
      <w:r w:rsidR="00AB342E" w:rsidRPr="00AB342E">
        <w:rPr>
          <w:rFonts w:ascii="Times New Roman" w:hAnsi="Times New Roman" w:cs="Times New Roman"/>
          <w:sz w:val="24"/>
          <w:szCs w:val="24"/>
        </w:rPr>
        <w:t>îndeplineşte</w:t>
      </w:r>
      <w:proofErr w:type="spellEnd"/>
      <w:r w:rsidR="00AB342E" w:rsidRPr="00AB342E">
        <w:rPr>
          <w:rFonts w:ascii="Times New Roman" w:hAnsi="Times New Roman" w:cs="Times New Roman"/>
          <w:sz w:val="24"/>
          <w:szCs w:val="24"/>
        </w:rPr>
        <w:t xml:space="preserve"> </w:t>
      </w:r>
      <w:proofErr w:type="spellStart"/>
      <w:r w:rsidR="00AB342E" w:rsidRPr="00AB342E">
        <w:rPr>
          <w:rFonts w:ascii="Times New Roman" w:hAnsi="Times New Roman" w:cs="Times New Roman"/>
          <w:sz w:val="24"/>
          <w:szCs w:val="24"/>
        </w:rPr>
        <w:t>cerinţele</w:t>
      </w:r>
      <w:proofErr w:type="spellEnd"/>
      <w:r w:rsidR="00AB342E" w:rsidRPr="00AB342E">
        <w:rPr>
          <w:rFonts w:ascii="Times New Roman" w:hAnsi="Times New Roman" w:cs="Times New Roman"/>
          <w:sz w:val="24"/>
          <w:szCs w:val="24"/>
        </w:rPr>
        <w:t xml:space="preserve"> stabilite în prezentul regulament.</w:t>
      </w:r>
    </w:p>
    <w:p w14:paraId="13DF3B18" w14:textId="2E8198B5" w:rsidR="00AB342E" w:rsidRPr="00AB342E" w:rsidRDefault="00A31C0B" w:rsidP="00AB342E">
      <w:pPr>
        <w:rPr>
          <w:rFonts w:ascii="Times New Roman" w:hAnsi="Times New Roman" w:cs="Times New Roman"/>
          <w:sz w:val="24"/>
          <w:szCs w:val="24"/>
        </w:rPr>
      </w:pPr>
      <w:r w:rsidRPr="00E14364">
        <w:rPr>
          <w:rFonts w:ascii="Times New Roman" w:hAnsi="Times New Roman" w:cs="Times New Roman"/>
          <w:sz w:val="24"/>
          <w:szCs w:val="24"/>
        </w:rPr>
        <w:t>546</w:t>
      </w:r>
      <w:r w:rsidR="00AB342E" w:rsidRPr="00E14364">
        <w:rPr>
          <w:rFonts w:ascii="Times New Roman" w:hAnsi="Times New Roman" w:cs="Times New Roman"/>
          <w:sz w:val="24"/>
          <w:szCs w:val="24"/>
        </w:rPr>
        <w:t>.</w:t>
      </w:r>
      <w:r w:rsidR="00AB342E" w:rsidRPr="00AB342E">
        <w:rPr>
          <w:rFonts w:ascii="Times New Roman" w:hAnsi="Times New Roman" w:cs="Times New Roman"/>
          <w:sz w:val="24"/>
          <w:szCs w:val="24"/>
        </w:rPr>
        <w:t xml:space="preserve"> </w:t>
      </w:r>
      <w:proofErr w:type="spellStart"/>
      <w:r w:rsidR="00AB342E" w:rsidRPr="00AB342E">
        <w:rPr>
          <w:rFonts w:ascii="Times New Roman" w:hAnsi="Times New Roman" w:cs="Times New Roman"/>
          <w:sz w:val="24"/>
          <w:szCs w:val="24"/>
        </w:rPr>
        <w:t>Informaţia</w:t>
      </w:r>
      <w:proofErr w:type="spellEnd"/>
      <w:r w:rsidR="00AB342E" w:rsidRPr="00AB342E">
        <w:rPr>
          <w:rFonts w:ascii="Times New Roman" w:hAnsi="Times New Roman" w:cs="Times New Roman"/>
          <w:sz w:val="24"/>
          <w:szCs w:val="24"/>
        </w:rPr>
        <w:t xml:space="preserve"> </w:t>
      </w:r>
      <w:proofErr w:type="spellStart"/>
      <w:r w:rsidR="00AB342E" w:rsidRPr="00AB342E">
        <w:rPr>
          <w:rFonts w:ascii="Times New Roman" w:hAnsi="Times New Roman" w:cs="Times New Roman"/>
          <w:sz w:val="24"/>
          <w:szCs w:val="24"/>
        </w:rPr>
        <w:t>şi</w:t>
      </w:r>
      <w:proofErr w:type="spellEnd"/>
      <w:r w:rsidR="00AB342E" w:rsidRPr="00AB342E">
        <w:rPr>
          <w:rFonts w:ascii="Times New Roman" w:hAnsi="Times New Roman" w:cs="Times New Roman"/>
          <w:sz w:val="24"/>
          <w:szCs w:val="24"/>
        </w:rPr>
        <w:t xml:space="preserve"> documentele solicitate se prezintă în limba română </w:t>
      </w:r>
      <w:proofErr w:type="spellStart"/>
      <w:r w:rsidR="00AB342E" w:rsidRPr="00AB342E">
        <w:rPr>
          <w:rFonts w:ascii="Times New Roman" w:hAnsi="Times New Roman" w:cs="Times New Roman"/>
          <w:sz w:val="24"/>
          <w:szCs w:val="24"/>
        </w:rPr>
        <w:t>şi</w:t>
      </w:r>
      <w:proofErr w:type="spellEnd"/>
      <w:r w:rsidR="00AB342E" w:rsidRPr="00AB342E">
        <w:rPr>
          <w:rFonts w:ascii="Times New Roman" w:hAnsi="Times New Roman" w:cs="Times New Roman"/>
          <w:sz w:val="24"/>
          <w:szCs w:val="24"/>
        </w:rPr>
        <w:t xml:space="preserve"> se semnează de către persoana împuternicită de bancă.</w:t>
      </w:r>
    </w:p>
    <w:p w14:paraId="147041C3" w14:textId="2F8F2C72" w:rsidR="00E44A8E" w:rsidRDefault="00A31C0B" w:rsidP="00344A07">
      <w:pPr>
        <w:rPr>
          <w:rFonts w:ascii="Times New Roman" w:hAnsi="Times New Roman" w:cs="Times New Roman"/>
          <w:sz w:val="24"/>
          <w:szCs w:val="24"/>
        </w:rPr>
      </w:pPr>
      <w:r w:rsidRPr="00E14364">
        <w:rPr>
          <w:rFonts w:ascii="Times New Roman" w:hAnsi="Times New Roman" w:cs="Times New Roman"/>
          <w:sz w:val="24"/>
          <w:szCs w:val="24"/>
        </w:rPr>
        <w:t>547.</w:t>
      </w:r>
      <w:r w:rsidR="00AB342E" w:rsidRPr="00AB342E">
        <w:rPr>
          <w:rFonts w:ascii="Times New Roman" w:hAnsi="Times New Roman" w:cs="Times New Roman"/>
          <w:sz w:val="24"/>
          <w:szCs w:val="24"/>
        </w:rPr>
        <w:t xml:space="preserve"> Prevederile aferente procedurii prevăzute la pct.</w:t>
      </w:r>
      <w:r>
        <w:rPr>
          <w:rFonts w:ascii="Times New Roman" w:hAnsi="Times New Roman" w:cs="Times New Roman"/>
          <w:sz w:val="24"/>
          <w:szCs w:val="24"/>
        </w:rPr>
        <w:t>536-542</w:t>
      </w:r>
      <w:r w:rsidR="00AB342E" w:rsidRPr="00AB342E">
        <w:rPr>
          <w:rFonts w:ascii="Times New Roman" w:hAnsi="Times New Roman" w:cs="Times New Roman"/>
          <w:sz w:val="24"/>
          <w:szCs w:val="24"/>
        </w:rPr>
        <w:t xml:space="preserve"> se aplică în mod corespunzător</w:t>
      </w:r>
      <w:r w:rsidR="00D73C9E">
        <w:rPr>
          <w:rFonts w:ascii="Times New Roman" w:hAnsi="Times New Roman" w:cs="Times New Roman"/>
          <w:sz w:val="24"/>
          <w:szCs w:val="24"/>
        </w:rPr>
        <w:t xml:space="preserve">, cu excepția termenelor stabilite la pct.538. Pentru </w:t>
      </w:r>
      <w:r w:rsidR="00D73C9E" w:rsidRPr="00D73C9E">
        <w:rPr>
          <w:rFonts w:ascii="Times New Roman" w:hAnsi="Times New Roman" w:cs="Times New Roman"/>
          <w:sz w:val="24"/>
          <w:szCs w:val="24"/>
        </w:rPr>
        <w:t xml:space="preserve">acordarea aprobărilor, permisiunilor și impunerea condițiilor mai </w:t>
      </w:r>
      <w:proofErr w:type="spellStart"/>
      <w:r w:rsidR="00D73C9E" w:rsidRPr="00D73C9E">
        <w:rPr>
          <w:rFonts w:ascii="Times New Roman" w:hAnsi="Times New Roman" w:cs="Times New Roman"/>
          <w:sz w:val="24"/>
          <w:szCs w:val="24"/>
        </w:rPr>
        <w:t>sricte</w:t>
      </w:r>
      <w:proofErr w:type="spellEnd"/>
      <w:r w:rsidR="00D73C9E">
        <w:rPr>
          <w:rFonts w:ascii="Times New Roman" w:hAnsi="Times New Roman" w:cs="Times New Roman"/>
          <w:sz w:val="24"/>
          <w:szCs w:val="24"/>
        </w:rPr>
        <w:t xml:space="preserve"> se aplică </w:t>
      </w:r>
      <w:r w:rsidR="00D73C9E" w:rsidRPr="00D73C9E">
        <w:rPr>
          <w:rFonts w:ascii="Times New Roman" w:hAnsi="Times New Roman" w:cs="Times New Roman"/>
          <w:sz w:val="24"/>
          <w:szCs w:val="24"/>
        </w:rPr>
        <w:t>termen</w:t>
      </w:r>
      <w:r w:rsidR="00D73C9E">
        <w:rPr>
          <w:rFonts w:ascii="Times New Roman" w:hAnsi="Times New Roman" w:cs="Times New Roman"/>
          <w:sz w:val="24"/>
          <w:szCs w:val="24"/>
        </w:rPr>
        <w:t>ul</w:t>
      </w:r>
      <w:r w:rsidR="00D73C9E" w:rsidRPr="00D73C9E">
        <w:rPr>
          <w:rFonts w:ascii="Times New Roman" w:hAnsi="Times New Roman" w:cs="Times New Roman"/>
          <w:sz w:val="24"/>
          <w:szCs w:val="24"/>
        </w:rPr>
        <w:t xml:space="preserve"> de </w:t>
      </w:r>
      <w:r w:rsidR="00D73C9E">
        <w:rPr>
          <w:rFonts w:ascii="Times New Roman" w:hAnsi="Times New Roman" w:cs="Times New Roman"/>
          <w:sz w:val="24"/>
          <w:szCs w:val="24"/>
        </w:rPr>
        <w:t>60</w:t>
      </w:r>
      <w:r w:rsidR="00D73C9E" w:rsidRPr="00D73C9E">
        <w:rPr>
          <w:rFonts w:ascii="Times New Roman" w:hAnsi="Times New Roman" w:cs="Times New Roman"/>
          <w:sz w:val="24"/>
          <w:szCs w:val="24"/>
        </w:rPr>
        <w:t xml:space="preserve"> de zile lucrătoare de la data primirii setului complet de documente </w:t>
      </w:r>
      <w:proofErr w:type="spellStart"/>
      <w:r w:rsidR="00D73C9E" w:rsidRPr="00D73C9E">
        <w:rPr>
          <w:rFonts w:ascii="Times New Roman" w:hAnsi="Times New Roman" w:cs="Times New Roman"/>
          <w:sz w:val="24"/>
          <w:szCs w:val="24"/>
        </w:rPr>
        <w:t>şi</w:t>
      </w:r>
      <w:proofErr w:type="spellEnd"/>
      <w:r w:rsidR="00D73C9E" w:rsidRPr="00D73C9E">
        <w:rPr>
          <w:rFonts w:ascii="Times New Roman" w:hAnsi="Times New Roman" w:cs="Times New Roman"/>
          <w:sz w:val="24"/>
          <w:szCs w:val="24"/>
        </w:rPr>
        <w:t xml:space="preserve"> </w:t>
      </w:r>
      <w:proofErr w:type="spellStart"/>
      <w:r w:rsidR="00D73C9E" w:rsidRPr="00D73C9E">
        <w:rPr>
          <w:rFonts w:ascii="Times New Roman" w:hAnsi="Times New Roman" w:cs="Times New Roman"/>
          <w:sz w:val="24"/>
          <w:szCs w:val="24"/>
        </w:rPr>
        <w:t>informaţii</w:t>
      </w:r>
      <w:proofErr w:type="spellEnd"/>
      <w:r w:rsidR="00D73C9E" w:rsidRPr="00D73C9E">
        <w:rPr>
          <w:rFonts w:ascii="Times New Roman" w:hAnsi="Times New Roman" w:cs="Times New Roman"/>
          <w:sz w:val="24"/>
          <w:szCs w:val="24"/>
        </w:rPr>
        <w:t xml:space="preserve">, Dacă este necesară o examinare suplimentară sau este nevoie de mai mult timp pentru prelucrarea </w:t>
      </w:r>
      <w:proofErr w:type="spellStart"/>
      <w:r w:rsidR="00D73C9E" w:rsidRPr="00D73C9E">
        <w:rPr>
          <w:rFonts w:ascii="Times New Roman" w:hAnsi="Times New Roman" w:cs="Times New Roman"/>
          <w:sz w:val="24"/>
          <w:szCs w:val="24"/>
        </w:rPr>
        <w:t>informaţiilor</w:t>
      </w:r>
      <w:proofErr w:type="spellEnd"/>
      <w:r w:rsidR="00D73C9E" w:rsidRPr="00D73C9E">
        <w:rPr>
          <w:rFonts w:ascii="Times New Roman" w:hAnsi="Times New Roman" w:cs="Times New Roman"/>
          <w:sz w:val="24"/>
          <w:szCs w:val="24"/>
        </w:rPr>
        <w:t xml:space="preserve"> </w:t>
      </w:r>
      <w:proofErr w:type="spellStart"/>
      <w:r w:rsidR="00D73C9E" w:rsidRPr="00D73C9E">
        <w:rPr>
          <w:rFonts w:ascii="Times New Roman" w:hAnsi="Times New Roman" w:cs="Times New Roman"/>
          <w:sz w:val="24"/>
          <w:szCs w:val="24"/>
        </w:rPr>
        <w:t>şi</w:t>
      </w:r>
      <w:proofErr w:type="spellEnd"/>
      <w:r w:rsidR="00D73C9E" w:rsidRPr="00D73C9E">
        <w:rPr>
          <w:rFonts w:ascii="Times New Roman" w:hAnsi="Times New Roman" w:cs="Times New Roman"/>
          <w:sz w:val="24"/>
          <w:szCs w:val="24"/>
        </w:rPr>
        <w:t xml:space="preserve"> documentelor, termenul poate fi prelungit cu cel mult </w:t>
      </w:r>
      <w:r w:rsidR="00D73C9E">
        <w:rPr>
          <w:rFonts w:ascii="Times New Roman" w:hAnsi="Times New Roman" w:cs="Times New Roman"/>
          <w:sz w:val="24"/>
          <w:szCs w:val="24"/>
        </w:rPr>
        <w:t>30</w:t>
      </w:r>
      <w:r w:rsidR="00D73C9E" w:rsidRPr="00D73C9E">
        <w:rPr>
          <w:rFonts w:ascii="Times New Roman" w:hAnsi="Times New Roman" w:cs="Times New Roman"/>
          <w:sz w:val="24"/>
          <w:szCs w:val="24"/>
        </w:rPr>
        <w:t xml:space="preserve"> de zile lucrătoar</w:t>
      </w:r>
      <w:r w:rsidR="00D73C9E">
        <w:rPr>
          <w:rFonts w:ascii="Times New Roman" w:hAnsi="Times New Roman" w:cs="Times New Roman"/>
          <w:sz w:val="24"/>
          <w:szCs w:val="24"/>
        </w:rPr>
        <w:t>e</w:t>
      </w:r>
      <w:r w:rsidR="00D73C9E" w:rsidRPr="00D73C9E">
        <w:rPr>
          <w:rFonts w:ascii="Times New Roman" w:hAnsi="Times New Roman" w:cs="Times New Roman"/>
          <w:sz w:val="24"/>
          <w:szCs w:val="24"/>
        </w:rPr>
        <w:t>.</w:t>
      </w:r>
    </w:p>
    <w:p w14:paraId="1CC3C260" w14:textId="77777777" w:rsidR="00E44A8E" w:rsidRDefault="00E44A8E" w:rsidP="00344A07">
      <w:pPr>
        <w:rPr>
          <w:rFonts w:ascii="Times New Roman" w:hAnsi="Times New Roman" w:cs="Times New Roman"/>
          <w:sz w:val="24"/>
          <w:szCs w:val="24"/>
        </w:rPr>
      </w:pPr>
    </w:p>
    <w:p w14:paraId="58192534" w14:textId="77777777" w:rsidR="00E44A8E" w:rsidRDefault="00E44A8E" w:rsidP="00344A07">
      <w:pPr>
        <w:rPr>
          <w:rFonts w:ascii="Times New Roman" w:hAnsi="Times New Roman" w:cs="Times New Roman"/>
          <w:sz w:val="24"/>
          <w:szCs w:val="24"/>
        </w:rPr>
      </w:pPr>
    </w:p>
    <w:p w14:paraId="5BFAD6FB" w14:textId="77777777" w:rsidR="00E44A8E" w:rsidRPr="00602AC3" w:rsidRDefault="00E44A8E" w:rsidP="00344A07">
      <w:pPr>
        <w:rPr>
          <w:rFonts w:ascii="Times New Roman" w:hAnsi="Times New Roman" w:cs="Times New Roman"/>
          <w:sz w:val="24"/>
          <w:szCs w:val="24"/>
        </w:rPr>
      </w:pPr>
    </w:p>
    <w:p w14:paraId="19A510E3" w14:textId="77777777" w:rsidR="00CE0B27" w:rsidRDefault="00CE0B27" w:rsidP="00CE0B27">
      <w:pPr>
        <w:rPr>
          <w:rFonts w:ascii="Times New Roman" w:hAnsi="Times New Roman" w:cs="Times New Roman"/>
          <w:sz w:val="24"/>
          <w:szCs w:val="24"/>
        </w:rPr>
      </w:pPr>
    </w:p>
    <w:p w14:paraId="5B130AD5" w14:textId="77777777" w:rsidR="00CE0B27" w:rsidRPr="002971AD" w:rsidRDefault="00CE0B27" w:rsidP="00CE0B27">
      <w:pPr>
        <w:rPr>
          <w:rFonts w:ascii="Times New Roman" w:hAnsi="Times New Roman" w:cs="Times New Roman"/>
          <w:sz w:val="24"/>
          <w:szCs w:val="24"/>
        </w:rPr>
      </w:pPr>
    </w:p>
    <w:p w14:paraId="094F1B6B" w14:textId="0DF36CA5" w:rsidR="000120B4" w:rsidRDefault="000120B4" w:rsidP="000120B4">
      <w:pPr>
        <w:ind w:left="4253"/>
        <w:rPr>
          <w:rFonts w:ascii="Times New Roman" w:hAnsi="Times New Roman" w:cs="Times New Roman"/>
          <w:sz w:val="24"/>
          <w:szCs w:val="24"/>
        </w:rPr>
      </w:pPr>
      <w:r>
        <w:rPr>
          <w:rFonts w:ascii="Times New Roman" w:hAnsi="Times New Roman" w:cs="Times New Roman"/>
          <w:sz w:val="24"/>
          <w:szCs w:val="24"/>
        </w:rPr>
        <w:lastRenderedPageBreak/>
        <w:t>Anexa nr.1</w:t>
      </w:r>
      <w:r w:rsidRPr="000120B4">
        <w:t xml:space="preserve"> </w:t>
      </w:r>
      <w:r w:rsidRPr="000120B4">
        <w:rPr>
          <w:rFonts w:ascii="Times New Roman" w:hAnsi="Times New Roman" w:cs="Times New Roman"/>
          <w:sz w:val="24"/>
          <w:szCs w:val="24"/>
        </w:rPr>
        <w:t xml:space="preserve">la Regulamentul privind cerințe de fonduri proprii pentru riscul de piață, aprobat prin Hotărârea Comitetului executiv al Băncii Naționale a Moldovei  </w:t>
      </w:r>
      <w:proofErr w:type="spellStart"/>
      <w:r w:rsidRPr="000120B4">
        <w:rPr>
          <w:rFonts w:ascii="Times New Roman" w:hAnsi="Times New Roman" w:cs="Times New Roman"/>
          <w:sz w:val="24"/>
          <w:szCs w:val="24"/>
        </w:rPr>
        <w:t>nr.XX</w:t>
      </w:r>
      <w:proofErr w:type="spellEnd"/>
      <w:r w:rsidRPr="000120B4">
        <w:rPr>
          <w:rFonts w:ascii="Times New Roman" w:hAnsi="Times New Roman" w:cs="Times New Roman"/>
          <w:sz w:val="24"/>
          <w:szCs w:val="24"/>
        </w:rPr>
        <w:t>/2026</w:t>
      </w:r>
    </w:p>
    <w:p w14:paraId="0526840C" w14:textId="77777777" w:rsidR="00866949" w:rsidRDefault="00866949" w:rsidP="004340D9">
      <w:pPr>
        <w:rPr>
          <w:rFonts w:ascii="Times New Roman" w:hAnsi="Times New Roman" w:cs="Times New Roman"/>
          <w:sz w:val="24"/>
          <w:szCs w:val="24"/>
        </w:rPr>
      </w:pPr>
    </w:p>
    <w:p w14:paraId="7BE6A1DE" w14:textId="77777777" w:rsidR="00841031" w:rsidRPr="00841031" w:rsidRDefault="00841031" w:rsidP="00841031">
      <w:pPr>
        <w:rPr>
          <w:rFonts w:ascii="Times New Roman" w:hAnsi="Times New Roman" w:cs="Times New Roman"/>
          <w:b/>
          <w:bCs/>
          <w:sz w:val="24"/>
          <w:szCs w:val="24"/>
        </w:rPr>
      </w:pPr>
      <w:r w:rsidRPr="00841031">
        <w:rPr>
          <w:rFonts w:ascii="Times New Roman" w:hAnsi="Times New Roman" w:cs="Times New Roman"/>
          <w:b/>
          <w:bCs/>
          <w:sz w:val="24"/>
          <w:szCs w:val="24"/>
        </w:rPr>
        <w:t>Tipuri de instrumente financiare derivate</w:t>
      </w:r>
    </w:p>
    <w:p w14:paraId="59DCAB4C" w14:textId="77777777" w:rsidR="00841031" w:rsidRPr="00841031" w:rsidRDefault="00841031" w:rsidP="00841031">
      <w:pPr>
        <w:rPr>
          <w:rFonts w:ascii="Times New Roman" w:hAnsi="Times New Roman" w:cs="Times New Roman"/>
          <w:sz w:val="24"/>
          <w:szCs w:val="24"/>
        </w:rPr>
      </w:pPr>
      <w:r w:rsidRPr="00841031">
        <w:rPr>
          <w:rFonts w:ascii="Times New Roman" w:hAnsi="Times New Roman" w:cs="Times New Roman"/>
          <w:sz w:val="24"/>
          <w:szCs w:val="24"/>
        </w:rPr>
        <w:t>1. Contracte pe rata dobânzii:</w:t>
      </w:r>
    </w:p>
    <w:p w14:paraId="01A460F3" w14:textId="77777777" w:rsidR="00841031" w:rsidRPr="00841031" w:rsidRDefault="00841031" w:rsidP="00841031">
      <w:pPr>
        <w:rPr>
          <w:rFonts w:ascii="Times New Roman" w:hAnsi="Times New Roman" w:cs="Times New Roman"/>
          <w:sz w:val="24"/>
          <w:szCs w:val="24"/>
        </w:rPr>
      </w:pPr>
      <w:r w:rsidRPr="00841031">
        <w:rPr>
          <w:rFonts w:ascii="Times New Roman" w:hAnsi="Times New Roman" w:cs="Times New Roman"/>
          <w:sz w:val="24"/>
          <w:szCs w:val="24"/>
        </w:rPr>
        <w:t xml:space="preserve">1.1. contracte </w:t>
      </w:r>
      <w:proofErr w:type="spellStart"/>
      <w:r w:rsidRPr="00841031">
        <w:rPr>
          <w:rFonts w:ascii="Times New Roman" w:hAnsi="Times New Roman" w:cs="Times New Roman"/>
          <w:sz w:val="24"/>
          <w:szCs w:val="24"/>
        </w:rPr>
        <w:t>swap</w:t>
      </w:r>
      <w:proofErr w:type="spellEnd"/>
      <w:r w:rsidRPr="00841031">
        <w:rPr>
          <w:rFonts w:ascii="Times New Roman" w:hAnsi="Times New Roman" w:cs="Times New Roman"/>
          <w:sz w:val="24"/>
          <w:szCs w:val="24"/>
        </w:rPr>
        <w:t xml:space="preserve"> într-o singură valută pe rata dobânzii;</w:t>
      </w:r>
    </w:p>
    <w:p w14:paraId="1A27F1B1" w14:textId="77777777" w:rsidR="00841031" w:rsidRPr="00841031" w:rsidRDefault="00841031" w:rsidP="00841031">
      <w:pPr>
        <w:rPr>
          <w:rFonts w:ascii="Times New Roman" w:hAnsi="Times New Roman" w:cs="Times New Roman"/>
          <w:sz w:val="24"/>
          <w:szCs w:val="24"/>
        </w:rPr>
      </w:pPr>
      <w:r w:rsidRPr="00841031">
        <w:rPr>
          <w:rFonts w:ascii="Times New Roman" w:hAnsi="Times New Roman" w:cs="Times New Roman"/>
          <w:sz w:val="24"/>
          <w:szCs w:val="24"/>
        </w:rPr>
        <w:t xml:space="preserve">1.2. contracte </w:t>
      </w:r>
      <w:proofErr w:type="spellStart"/>
      <w:r w:rsidRPr="00841031">
        <w:rPr>
          <w:rFonts w:ascii="Times New Roman" w:hAnsi="Times New Roman" w:cs="Times New Roman"/>
          <w:sz w:val="24"/>
          <w:szCs w:val="24"/>
        </w:rPr>
        <w:t>swap</w:t>
      </w:r>
      <w:proofErr w:type="spellEnd"/>
      <w:r w:rsidRPr="00841031">
        <w:rPr>
          <w:rFonts w:ascii="Times New Roman" w:hAnsi="Times New Roman" w:cs="Times New Roman"/>
          <w:sz w:val="24"/>
          <w:szCs w:val="24"/>
        </w:rPr>
        <w:t xml:space="preserve"> de bază (</w:t>
      </w:r>
      <w:proofErr w:type="spellStart"/>
      <w:r w:rsidRPr="00841031">
        <w:rPr>
          <w:rFonts w:ascii="Times New Roman" w:hAnsi="Times New Roman" w:cs="Times New Roman"/>
          <w:sz w:val="24"/>
          <w:szCs w:val="24"/>
        </w:rPr>
        <w:t>basis-swaps</w:t>
      </w:r>
      <w:proofErr w:type="spellEnd"/>
      <w:r w:rsidRPr="00841031">
        <w:rPr>
          <w:rFonts w:ascii="Times New Roman" w:hAnsi="Times New Roman" w:cs="Times New Roman"/>
          <w:sz w:val="24"/>
          <w:szCs w:val="24"/>
        </w:rPr>
        <w:t>);</w:t>
      </w:r>
    </w:p>
    <w:p w14:paraId="096FDB9D" w14:textId="77777777" w:rsidR="00841031" w:rsidRPr="00841031" w:rsidRDefault="00841031" w:rsidP="00841031">
      <w:pPr>
        <w:rPr>
          <w:rFonts w:ascii="Times New Roman" w:hAnsi="Times New Roman" w:cs="Times New Roman"/>
          <w:sz w:val="24"/>
          <w:szCs w:val="24"/>
        </w:rPr>
      </w:pPr>
      <w:r w:rsidRPr="00841031">
        <w:rPr>
          <w:rFonts w:ascii="Times New Roman" w:hAnsi="Times New Roman" w:cs="Times New Roman"/>
          <w:sz w:val="24"/>
          <w:szCs w:val="24"/>
        </w:rPr>
        <w:t xml:space="preserve">1.3. contracte </w:t>
      </w:r>
      <w:proofErr w:type="spellStart"/>
      <w:r w:rsidRPr="00841031">
        <w:rPr>
          <w:rFonts w:ascii="Times New Roman" w:hAnsi="Times New Roman" w:cs="Times New Roman"/>
          <w:sz w:val="24"/>
          <w:szCs w:val="24"/>
        </w:rPr>
        <w:t>forward</w:t>
      </w:r>
      <w:proofErr w:type="spellEnd"/>
      <w:r w:rsidRPr="00841031">
        <w:rPr>
          <w:rFonts w:ascii="Times New Roman" w:hAnsi="Times New Roman" w:cs="Times New Roman"/>
          <w:sz w:val="24"/>
          <w:szCs w:val="24"/>
        </w:rPr>
        <w:t xml:space="preserve"> pe rata dobânzii [</w:t>
      </w:r>
      <w:proofErr w:type="spellStart"/>
      <w:r w:rsidRPr="00841031">
        <w:rPr>
          <w:rFonts w:ascii="Times New Roman" w:hAnsi="Times New Roman" w:cs="Times New Roman"/>
          <w:sz w:val="24"/>
          <w:szCs w:val="24"/>
        </w:rPr>
        <w:t>forward</w:t>
      </w:r>
      <w:proofErr w:type="spellEnd"/>
      <w:r w:rsidRPr="00841031">
        <w:rPr>
          <w:rFonts w:ascii="Times New Roman" w:hAnsi="Times New Roman" w:cs="Times New Roman"/>
          <w:sz w:val="24"/>
          <w:szCs w:val="24"/>
        </w:rPr>
        <w:t xml:space="preserve"> rate </w:t>
      </w:r>
      <w:proofErr w:type="spellStart"/>
      <w:r w:rsidRPr="00841031">
        <w:rPr>
          <w:rFonts w:ascii="Times New Roman" w:hAnsi="Times New Roman" w:cs="Times New Roman"/>
          <w:sz w:val="24"/>
          <w:szCs w:val="24"/>
        </w:rPr>
        <w:t>agreements</w:t>
      </w:r>
      <w:proofErr w:type="spellEnd"/>
      <w:r w:rsidRPr="00841031">
        <w:rPr>
          <w:rFonts w:ascii="Times New Roman" w:hAnsi="Times New Roman" w:cs="Times New Roman"/>
          <w:sz w:val="24"/>
          <w:szCs w:val="24"/>
        </w:rPr>
        <w:t xml:space="preserve"> (FRA)];</w:t>
      </w:r>
    </w:p>
    <w:p w14:paraId="2348B984" w14:textId="77777777" w:rsidR="00841031" w:rsidRPr="00841031" w:rsidRDefault="00841031" w:rsidP="00841031">
      <w:pPr>
        <w:rPr>
          <w:rFonts w:ascii="Times New Roman" w:hAnsi="Times New Roman" w:cs="Times New Roman"/>
          <w:sz w:val="24"/>
          <w:szCs w:val="24"/>
        </w:rPr>
      </w:pPr>
      <w:r w:rsidRPr="00841031">
        <w:rPr>
          <w:rFonts w:ascii="Times New Roman" w:hAnsi="Times New Roman" w:cs="Times New Roman"/>
          <w:sz w:val="24"/>
          <w:szCs w:val="24"/>
        </w:rPr>
        <w:t xml:space="preserve">1.4. contracte </w:t>
      </w:r>
      <w:proofErr w:type="spellStart"/>
      <w:r w:rsidRPr="00841031">
        <w:rPr>
          <w:rFonts w:ascii="Times New Roman" w:hAnsi="Times New Roman" w:cs="Times New Roman"/>
          <w:sz w:val="24"/>
          <w:szCs w:val="24"/>
        </w:rPr>
        <w:t>futures</w:t>
      </w:r>
      <w:proofErr w:type="spellEnd"/>
      <w:r w:rsidRPr="00841031">
        <w:rPr>
          <w:rFonts w:ascii="Times New Roman" w:hAnsi="Times New Roman" w:cs="Times New Roman"/>
          <w:sz w:val="24"/>
          <w:szCs w:val="24"/>
        </w:rPr>
        <w:t xml:space="preserve"> pe rata dobânzii (</w:t>
      </w:r>
      <w:proofErr w:type="spellStart"/>
      <w:r w:rsidRPr="00841031">
        <w:rPr>
          <w:rFonts w:ascii="Times New Roman" w:hAnsi="Times New Roman" w:cs="Times New Roman"/>
          <w:sz w:val="24"/>
          <w:szCs w:val="24"/>
        </w:rPr>
        <w:t>interest</w:t>
      </w:r>
      <w:proofErr w:type="spellEnd"/>
      <w:r w:rsidRPr="00841031">
        <w:rPr>
          <w:rFonts w:ascii="Times New Roman" w:hAnsi="Times New Roman" w:cs="Times New Roman"/>
          <w:sz w:val="24"/>
          <w:szCs w:val="24"/>
        </w:rPr>
        <w:t xml:space="preserve">-rate </w:t>
      </w:r>
      <w:proofErr w:type="spellStart"/>
      <w:r w:rsidRPr="00841031">
        <w:rPr>
          <w:rFonts w:ascii="Times New Roman" w:hAnsi="Times New Roman" w:cs="Times New Roman"/>
          <w:sz w:val="24"/>
          <w:szCs w:val="24"/>
        </w:rPr>
        <w:t>futures</w:t>
      </w:r>
      <w:proofErr w:type="spellEnd"/>
      <w:r w:rsidRPr="00841031">
        <w:rPr>
          <w:rFonts w:ascii="Times New Roman" w:hAnsi="Times New Roman" w:cs="Times New Roman"/>
          <w:sz w:val="24"/>
          <w:szCs w:val="24"/>
        </w:rPr>
        <w:t>);</w:t>
      </w:r>
    </w:p>
    <w:p w14:paraId="3801C3E0" w14:textId="77777777" w:rsidR="00841031" w:rsidRPr="00841031" w:rsidRDefault="00841031" w:rsidP="00841031">
      <w:pPr>
        <w:rPr>
          <w:rFonts w:ascii="Times New Roman" w:hAnsi="Times New Roman" w:cs="Times New Roman"/>
          <w:sz w:val="24"/>
          <w:szCs w:val="24"/>
        </w:rPr>
      </w:pPr>
      <w:r w:rsidRPr="00841031">
        <w:rPr>
          <w:rFonts w:ascii="Times New Roman" w:hAnsi="Times New Roman" w:cs="Times New Roman"/>
          <w:sz w:val="24"/>
          <w:szCs w:val="24"/>
        </w:rPr>
        <w:t>1.5. opțiuni pe rata dobânzii;</w:t>
      </w:r>
    </w:p>
    <w:p w14:paraId="36C42C13" w14:textId="77777777" w:rsidR="00841031" w:rsidRPr="00841031" w:rsidRDefault="00841031" w:rsidP="00841031">
      <w:pPr>
        <w:rPr>
          <w:rFonts w:ascii="Times New Roman" w:hAnsi="Times New Roman" w:cs="Times New Roman"/>
          <w:sz w:val="24"/>
          <w:szCs w:val="24"/>
        </w:rPr>
      </w:pPr>
      <w:r w:rsidRPr="00841031">
        <w:rPr>
          <w:rFonts w:ascii="Times New Roman" w:hAnsi="Times New Roman" w:cs="Times New Roman"/>
          <w:sz w:val="24"/>
          <w:szCs w:val="24"/>
        </w:rPr>
        <w:t>1.6. alte contracte de natură similară;</w:t>
      </w:r>
    </w:p>
    <w:p w14:paraId="1EDB9FD5" w14:textId="77777777" w:rsidR="00841031" w:rsidRPr="00841031" w:rsidRDefault="00841031" w:rsidP="00841031">
      <w:pPr>
        <w:rPr>
          <w:rFonts w:ascii="Times New Roman" w:hAnsi="Times New Roman" w:cs="Times New Roman"/>
          <w:sz w:val="24"/>
          <w:szCs w:val="24"/>
        </w:rPr>
      </w:pPr>
      <w:r w:rsidRPr="00841031">
        <w:rPr>
          <w:rFonts w:ascii="Times New Roman" w:hAnsi="Times New Roman" w:cs="Times New Roman"/>
          <w:sz w:val="24"/>
          <w:szCs w:val="24"/>
        </w:rPr>
        <w:t>2. contracte pe cursul de schimb și contracte pe aur:</w:t>
      </w:r>
    </w:p>
    <w:p w14:paraId="6A8F7A6E" w14:textId="77777777" w:rsidR="00841031" w:rsidRPr="00841031" w:rsidRDefault="00841031" w:rsidP="00841031">
      <w:pPr>
        <w:rPr>
          <w:rFonts w:ascii="Times New Roman" w:hAnsi="Times New Roman" w:cs="Times New Roman"/>
          <w:sz w:val="24"/>
          <w:szCs w:val="24"/>
        </w:rPr>
      </w:pPr>
      <w:r w:rsidRPr="00841031">
        <w:rPr>
          <w:rFonts w:ascii="Times New Roman" w:hAnsi="Times New Roman" w:cs="Times New Roman"/>
          <w:sz w:val="24"/>
          <w:szCs w:val="24"/>
        </w:rPr>
        <w:t xml:space="preserve">2.1. contracte </w:t>
      </w:r>
      <w:proofErr w:type="spellStart"/>
      <w:r w:rsidRPr="00841031">
        <w:rPr>
          <w:rFonts w:ascii="Times New Roman" w:hAnsi="Times New Roman" w:cs="Times New Roman"/>
          <w:sz w:val="24"/>
          <w:szCs w:val="24"/>
        </w:rPr>
        <w:t>swap</w:t>
      </w:r>
      <w:proofErr w:type="spellEnd"/>
      <w:r w:rsidRPr="00841031">
        <w:rPr>
          <w:rFonts w:ascii="Times New Roman" w:hAnsi="Times New Roman" w:cs="Times New Roman"/>
          <w:sz w:val="24"/>
          <w:szCs w:val="24"/>
        </w:rPr>
        <w:t xml:space="preserve"> în valute diferite pe rata dobânzii (</w:t>
      </w:r>
      <w:proofErr w:type="spellStart"/>
      <w:r w:rsidRPr="00841031">
        <w:rPr>
          <w:rFonts w:ascii="Times New Roman" w:hAnsi="Times New Roman" w:cs="Times New Roman"/>
          <w:sz w:val="24"/>
          <w:szCs w:val="24"/>
        </w:rPr>
        <w:t>cross-currency</w:t>
      </w:r>
      <w:proofErr w:type="spellEnd"/>
      <w:r w:rsidRPr="00841031">
        <w:rPr>
          <w:rFonts w:ascii="Times New Roman" w:hAnsi="Times New Roman" w:cs="Times New Roman"/>
          <w:sz w:val="24"/>
          <w:szCs w:val="24"/>
        </w:rPr>
        <w:t xml:space="preserve"> </w:t>
      </w:r>
      <w:proofErr w:type="spellStart"/>
      <w:r w:rsidRPr="00841031">
        <w:rPr>
          <w:rFonts w:ascii="Times New Roman" w:hAnsi="Times New Roman" w:cs="Times New Roman"/>
          <w:sz w:val="24"/>
          <w:szCs w:val="24"/>
        </w:rPr>
        <w:t>interest</w:t>
      </w:r>
      <w:proofErr w:type="spellEnd"/>
      <w:r w:rsidRPr="00841031">
        <w:rPr>
          <w:rFonts w:ascii="Times New Roman" w:hAnsi="Times New Roman" w:cs="Times New Roman"/>
          <w:sz w:val="24"/>
          <w:szCs w:val="24"/>
        </w:rPr>
        <w:t xml:space="preserve">-rate </w:t>
      </w:r>
      <w:proofErr w:type="spellStart"/>
      <w:r w:rsidRPr="00841031">
        <w:rPr>
          <w:rFonts w:ascii="Times New Roman" w:hAnsi="Times New Roman" w:cs="Times New Roman"/>
          <w:sz w:val="24"/>
          <w:szCs w:val="24"/>
        </w:rPr>
        <w:t>swaps</w:t>
      </w:r>
      <w:proofErr w:type="spellEnd"/>
      <w:r w:rsidRPr="00841031">
        <w:rPr>
          <w:rFonts w:ascii="Times New Roman" w:hAnsi="Times New Roman" w:cs="Times New Roman"/>
          <w:sz w:val="24"/>
          <w:szCs w:val="24"/>
        </w:rPr>
        <w:t>);</w:t>
      </w:r>
    </w:p>
    <w:p w14:paraId="1D58B5D0" w14:textId="77777777" w:rsidR="00841031" w:rsidRPr="00841031" w:rsidRDefault="00841031" w:rsidP="00841031">
      <w:pPr>
        <w:rPr>
          <w:rFonts w:ascii="Times New Roman" w:hAnsi="Times New Roman" w:cs="Times New Roman"/>
          <w:sz w:val="24"/>
          <w:szCs w:val="24"/>
        </w:rPr>
      </w:pPr>
      <w:r w:rsidRPr="00841031">
        <w:rPr>
          <w:rFonts w:ascii="Times New Roman" w:hAnsi="Times New Roman" w:cs="Times New Roman"/>
          <w:sz w:val="24"/>
          <w:szCs w:val="24"/>
        </w:rPr>
        <w:t xml:space="preserve">2.2. contracte </w:t>
      </w:r>
      <w:proofErr w:type="spellStart"/>
      <w:r w:rsidRPr="00841031">
        <w:rPr>
          <w:rFonts w:ascii="Times New Roman" w:hAnsi="Times New Roman" w:cs="Times New Roman"/>
          <w:sz w:val="24"/>
          <w:szCs w:val="24"/>
        </w:rPr>
        <w:t>forward</w:t>
      </w:r>
      <w:proofErr w:type="spellEnd"/>
      <w:r w:rsidRPr="00841031">
        <w:rPr>
          <w:rFonts w:ascii="Times New Roman" w:hAnsi="Times New Roman" w:cs="Times New Roman"/>
          <w:sz w:val="24"/>
          <w:szCs w:val="24"/>
        </w:rPr>
        <w:t xml:space="preserve"> pe cursul de schimb (</w:t>
      </w:r>
      <w:proofErr w:type="spellStart"/>
      <w:r w:rsidRPr="00841031">
        <w:rPr>
          <w:rFonts w:ascii="Times New Roman" w:hAnsi="Times New Roman" w:cs="Times New Roman"/>
          <w:sz w:val="24"/>
          <w:szCs w:val="24"/>
        </w:rPr>
        <w:t>forward</w:t>
      </w:r>
      <w:proofErr w:type="spellEnd"/>
      <w:r w:rsidRPr="00841031">
        <w:rPr>
          <w:rFonts w:ascii="Times New Roman" w:hAnsi="Times New Roman" w:cs="Times New Roman"/>
          <w:sz w:val="24"/>
          <w:szCs w:val="24"/>
        </w:rPr>
        <w:t xml:space="preserve"> </w:t>
      </w:r>
      <w:proofErr w:type="spellStart"/>
      <w:r w:rsidRPr="00841031">
        <w:rPr>
          <w:rFonts w:ascii="Times New Roman" w:hAnsi="Times New Roman" w:cs="Times New Roman"/>
          <w:sz w:val="24"/>
          <w:szCs w:val="24"/>
        </w:rPr>
        <w:t>foreign-exchange</w:t>
      </w:r>
      <w:proofErr w:type="spellEnd"/>
      <w:r w:rsidRPr="00841031">
        <w:rPr>
          <w:rFonts w:ascii="Times New Roman" w:hAnsi="Times New Roman" w:cs="Times New Roman"/>
          <w:sz w:val="24"/>
          <w:szCs w:val="24"/>
        </w:rPr>
        <w:t xml:space="preserve"> </w:t>
      </w:r>
      <w:proofErr w:type="spellStart"/>
      <w:r w:rsidRPr="00841031">
        <w:rPr>
          <w:rFonts w:ascii="Times New Roman" w:hAnsi="Times New Roman" w:cs="Times New Roman"/>
          <w:sz w:val="24"/>
          <w:szCs w:val="24"/>
        </w:rPr>
        <w:t>contracts</w:t>
      </w:r>
      <w:proofErr w:type="spellEnd"/>
      <w:r w:rsidRPr="00841031">
        <w:rPr>
          <w:rFonts w:ascii="Times New Roman" w:hAnsi="Times New Roman" w:cs="Times New Roman"/>
          <w:sz w:val="24"/>
          <w:szCs w:val="24"/>
        </w:rPr>
        <w:t>);</w:t>
      </w:r>
    </w:p>
    <w:p w14:paraId="6F43BCF5" w14:textId="77777777" w:rsidR="00841031" w:rsidRPr="00841031" w:rsidRDefault="00841031" w:rsidP="00841031">
      <w:pPr>
        <w:rPr>
          <w:rFonts w:ascii="Times New Roman" w:hAnsi="Times New Roman" w:cs="Times New Roman"/>
          <w:sz w:val="24"/>
          <w:szCs w:val="24"/>
        </w:rPr>
      </w:pPr>
      <w:r w:rsidRPr="00841031">
        <w:rPr>
          <w:rFonts w:ascii="Times New Roman" w:hAnsi="Times New Roman" w:cs="Times New Roman"/>
          <w:sz w:val="24"/>
          <w:szCs w:val="24"/>
        </w:rPr>
        <w:t xml:space="preserve">2.3. contracte </w:t>
      </w:r>
      <w:proofErr w:type="spellStart"/>
      <w:r w:rsidRPr="00841031">
        <w:rPr>
          <w:rFonts w:ascii="Times New Roman" w:hAnsi="Times New Roman" w:cs="Times New Roman"/>
          <w:sz w:val="24"/>
          <w:szCs w:val="24"/>
        </w:rPr>
        <w:t>futures</w:t>
      </w:r>
      <w:proofErr w:type="spellEnd"/>
      <w:r w:rsidRPr="00841031">
        <w:rPr>
          <w:rFonts w:ascii="Times New Roman" w:hAnsi="Times New Roman" w:cs="Times New Roman"/>
          <w:sz w:val="24"/>
          <w:szCs w:val="24"/>
        </w:rPr>
        <w:t xml:space="preserve"> pe valute (</w:t>
      </w:r>
      <w:proofErr w:type="spellStart"/>
      <w:r w:rsidRPr="00841031">
        <w:rPr>
          <w:rFonts w:ascii="Times New Roman" w:hAnsi="Times New Roman" w:cs="Times New Roman"/>
          <w:sz w:val="24"/>
          <w:szCs w:val="24"/>
        </w:rPr>
        <w:t>currency</w:t>
      </w:r>
      <w:proofErr w:type="spellEnd"/>
      <w:r w:rsidRPr="00841031">
        <w:rPr>
          <w:rFonts w:ascii="Times New Roman" w:hAnsi="Times New Roman" w:cs="Times New Roman"/>
          <w:sz w:val="24"/>
          <w:szCs w:val="24"/>
        </w:rPr>
        <w:t xml:space="preserve"> </w:t>
      </w:r>
      <w:proofErr w:type="spellStart"/>
      <w:r w:rsidRPr="00841031">
        <w:rPr>
          <w:rFonts w:ascii="Times New Roman" w:hAnsi="Times New Roman" w:cs="Times New Roman"/>
          <w:sz w:val="24"/>
          <w:szCs w:val="24"/>
        </w:rPr>
        <w:t>futures</w:t>
      </w:r>
      <w:proofErr w:type="spellEnd"/>
      <w:r w:rsidRPr="00841031">
        <w:rPr>
          <w:rFonts w:ascii="Times New Roman" w:hAnsi="Times New Roman" w:cs="Times New Roman"/>
          <w:sz w:val="24"/>
          <w:szCs w:val="24"/>
        </w:rPr>
        <w:t>);</w:t>
      </w:r>
    </w:p>
    <w:p w14:paraId="14B4FF63" w14:textId="77777777" w:rsidR="00841031" w:rsidRPr="00841031" w:rsidRDefault="00841031" w:rsidP="00841031">
      <w:pPr>
        <w:rPr>
          <w:rFonts w:ascii="Times New Roman" w:hAnsi="Times New Roman" w:cs="Times New Roman"/>
          <w:sz w:val="24"/>
          <w:szCs w:val="24"/>
        </w:rPr>
      </w:pPr>
      <w:r w:rsidRPr="00841031">
        <w:rPr>
          <w:rFonts w:ascii="Times New Roman" w:hAnsi="Times New Roman" w:cs="Times New Roman"/>
          <w:sz w:val="24"/>
          <w:szCs w:val="24"/>
        </w:rPr>
        <w:t>2.4. opțiuni pe valute;</w:t>
      </w:r>
    </w:p>
    <w:p w14:paraId="7EB64085" w14:textId="77777777" w:rsidR="00841031" w:rsidRPr="00841031" w:rsidRDefault="00841031" w:rsidP="00841031">
      <w:pPr>
        <w:rPr>
          <w:rFonts w:ascii="Times New Roman" w:hAnsi="Times New Roman" w:cs="Times New Roman"/>
          <w:sz w:val="24"/>
          <w:szCs w:val="24"/>
        </w:rPr>
      </w:pPr>
      <w:r w:rsidRPr="00841031">
        <w:rPr>
          <w:rFonts w:ascii="Times New Roman" w:hAnsi="Times New Roman" w:cs="Times New Roman"/>
          <w:sz w:val="24"/>
          <w:szCs w:val="24"/>
        </w:rPr>
        <w:t>2.5. alte contracte de natură similară;</w:t>
      </w:r>
    </w:p>
    <w:p w14:paraId="30D61A11" w14:textId="77777777" w:rsidR="00841031" w:rsidRPr="00841031" w:rsidRDefault="00841031" w:rsidP="00841031">
      <w:pPr>
        <w:rPr>
          <w:rFonts w:ascii="Times New Roman" w:hAnsi="Times New Roman" w:cs="Times New Roman"/>
          <w:sz w:val="24"/>
          <w:szCs w:val="24"/>
        </w:rPr>
      </w:pPr>
      <w:r w:rsidRPr="00841031">
        <w:rPr>
          <w:rFonts w:ascii="Times New Roman" w:hAnsi="Times New Roman" w:cs="Times New Roman"/>
          <w:sz w:val="24"/>
          <w:szCs w:val="24"/>
        </w:rPr>
        <w:t>2.6. contracte pe aur de natură similară celor de la subpct.2.1-2.5.</w:t>
      </w:r>
    </w:p>
    <w:p w14:paraId="0D86A436" w14:textId="44249E92" w:rsidR="00866949" w:rsidRDefault="00841031" w:rsidP="00841031">
      <w:pPr>
        <w:rPr>
          <w:rFonts w:ascii="Times New Roman" w:hAnsi="Times New Roman" w:cs="Times New Roman"/>
          <w:sz w:val="24"/>
          <w:szCs w:val="24"/>
        </w:rPr>
      </w:pPr>
      <w:r w:rsidRPr="00841031">
        <w:rPr>
          <w:rFonts w:ascii="Times New Roman" w:hAnsi="Times New Roman" w:cs="Times New Roman"/>
          <w:sz w:val="24"/>
          <w:szCs w:val="24"/>
        </w:rPr>
        <w:t>3. Contracte de natură similară celor de la subpct.1.1-1.5 și 2.1-2.4 din prezenta anexă privind alte elemente de referință sau indici</w:t>
      </w:r>
      <w:r w:rsidR="00E530D9">
        <w:rPr>
          <w:rFonts w:ascii="Times New Roman" w:hAnsi="Times New Roman" w:cs="Times New Roman"/>
          <w:sz w:val="24"/>
          <w:szCs w:val="24"/>
        </w:rPr>
        <w:t xml:space="preserve">, prevăzute </w:t>
      </w:r>
      <w:r w:rsidR="004260CB">
        <w:rPr>
          <w:rFonts w:ascii="Times New Roman" w:hAnsi="Times New Roman" w:cs="Times New Roman"/>
          <w:sz w:val="24"/>
          <w:szCs w:val="24"/>
        </w:rPr>
        <w:t>în</w:t>
      </w:r>
      <w:r w:rsidR="00E530D9">
        <w:rPr>
          <w:rFonts w:ascii="Times New Roman" w:hAnsi="Times New Roman" w:cs="Times New Roman"/>
          <w:sz w:val="24"/>
          <w:szCs w:val="24"/>
        </w:rPr>
        <w:t xml:space="preserve"> Legea </w:t>
      </w:r>
      <w:r w:rsidR="00E530D9" w:rsidRPr="00E530D9">
        <w:rPr>
          <w:rFonts w:ascii="Times New Roman" w:hAnsi="Times New Roman" w:cs="Times New Roman"/>
          <w:sz w:val="24"/>
          <w:szCs w:val="24"/>
        </w:rPr>
        <w:t xml:space="preserve">privind </w:t>
      </w:r>
      <w:proofErr w:type="spellStart"/>
      <w:r w:rsidR="00E530D9" w:rsidRPr="00E530D9">
        <w:rPr>
          <w:rFonts w:ascii="Times New Roman" w:hAnsi="Times New Roman" w:cs="Times New Roman"/>
          <w:sz w:val="24"/>
          <w:szCs w:val="24"/>
        </w:rPr>
        <w:t>pieţele</w:t>
      </w:r>
      <w:proofErr w:type="spellEnd"/>
      <w:r w:rsidR="00E530D9" w:rsidRPr="00E530D9">
        <w:rPr>
          <w:rFonts w:ascii="Times New Roman" w:hAnsi="Times New Roman" w:cs="Times New Roman"/>
          <w:sz w:val="24"/>
          <w:szCs w:val="24"/>
        </w:rPr>
        <w:t xml:space="preserve"> instrumentelor financiare și activitățile de investiții</w:t>
      </w:r>
      <w:r w:rsidRPr="00CC1E9B">
        <w:rPr>
          <w:rFonts w:ascii="Times New Roman" w:hAnsi="Times New Roman" w:cs="Times New Roman"/>
          <w:sz w:val="24"/>
          <w:szCs w:val="24"/>
        </w:rPr>
        <w:t>, care nu au fost incluse la punctul 1 sau 2 din prezenta anexă.</w:t>
      </w:r>
    </w:p>
    <w:p w14:paraId="25C752AE" w14:textId="77777777" w:rsidR="00736C47" w:rsidRDefault="00736C47" w:rsidP="004340D9">
      <w:pPr>
        <w:rPr>
          <w:rFonts w:ascii="Times New Roman" w:hAnsi="Times New Roman" w:cs="Times New Roman"/>
          <w:sz w:val="24"/>
          <w:szCs w:val="24"/>
        </w:rPr>
      </w:pPr>
    </w:p>
    <w:p w14:paraId="33B3E8A5" w14:textId="77777777" w:rsidR="000E62FD" w:rsidRDefault="000E62FD" w:rsidP="004340D9">
      <w:pPr>
        <w:rPr>
          <w:rFonts w:ascii="Times New Roman" w:hAnsi="Times New Roman" w:cs="Times New Roman"/>
          <w:sz w:val="24"/>
          <w:szCs w:val="24"/>
        </w:rPr>
      </w:pPr>
    </w:p>
    <w:p w14:paraId="0E041B24" w14:textId="77777777" w:rsidR="000E62FD" w:rsidRDefault="000E62FD" w:rsidP="004340D9">
      <w:pPr>
        <w:rPr>
          <w:rFonts w:ascii="Times New Roman" w:hAnsi="Times New Roman" w:cs="Times New Roman"/>
          <w:sz w:val="24"/>
          <w:szCs w:val="24"/>
        </w:rPr>
      </w:pPr>
    </w:p>
    <w:p w14:paraId="514163AB" w14:textId="77777777" w:rsidR="000E62FD" w:rsidRDefault="000E62FD" w:rsidP="004340D9">
      <w:pPr>
        <w:rPr>
          <w:rFonts w:ascii="Times New Roman" w:hAnsi="Times New Roman" w:cs="Times New Roman"/>
          <w:sz w:val="24"/>
          <w:szCs w:val="24"/>
        </w:rPr>
      </w:pPr>
    </w:p>
    <w:p w14:paraId="220DA7F4" w14:textId="77777777" w:rsidR="00124F11" w:rsidRDefault="00124F11" w:rsidP="00DF621C">
      <w:pPr>
        <w:ind w:left="4253"/>
        <w:rPr>
          <w:rFonts w:ascii="Times New Roman" w:hAnsi="Times New Roman" w:cs="Times New Roman"/>
          <w:sz w:val="24"/>
          <w:szCs w:val="24"/>
        </w:rPr>
      </w:pPr>
    </w:p>
    <w:p w14:paraId="07016406" w14:textId="77777777" w:rsidR="00124F11" w:rsidRDefault="00124F11" w:rsidP="00DF621C">
      <w:pPr>
        <w:ind w:left="4253"/>
        <w:rPr>
          <w:rFonts w:ascii="Times New Roman" w:hAnsi="Times New Roman" w:cs="Times New Roman"/>
          <w:sz w:val="24"/>
          <w:szCs w:val="24"/>
        </w:rPr>
      </w:pPr>
    </w:p>
    <w:p w14:paraId="4AD28234" w14:textId="77777777" w:rsidR="00124F11" w:rsidRDefault="00124F11" w:rsidP="00DF621C">
      <w:pPr>
        <w:ind w:left="4253"/>
        <w:rPr>
          <w:rFonts w:ascii="Times New Roman" w:hAnsi="Times New Roman" w:cs="Times New Roman"/>
          <w:sz w:val="24"/>
          <w:szCs w:val="24"/>
        </w:rPr>
      </w:pPr>
    </w:p>
    <w:p w14:paraId="69F17350" w14:textId="77777777" w:rsidR="00124F11" w:rsidRDefault="00124F11" w:rsidP="00DF621C">
      <w:pPr>
        <w:ind w:left="4253"/>
        <w:rPr>
          <w:rFonts w:ascii="Times New Roman" w:hAnsi="Times New Roman" w:cs="Times New Roman"/>
          <w:sz w:val="24"/>
          <w:szCs w:val="24"/>
        </w:rPr>
      </w:pPr>
    </w:p>
    <w:p w14:paraId="315DFE70" w14:textId="77777777" w:rsidR="00CC1E9B" w:rsidRDefault="00CC1E9B" w:rsidP="00DF621C">
      <w:pPr>
        <w:ind w:left="4253"/>
        <w:rPr>
          <w:rFonts w:ascii="Times New Roman" w:hAnsi="Times New Roman" w:cs="Times New Roman"/>
          <w:sz w:val="24"/>
          <w:szCs w:val="24"/>
        </w:rPr>
      </w:pPr>
    </w:p>
    <w:p w14:paraId="0C5334FA" w14:textId="77777777" w:rsidR="00E44A8E" w:rsidRDefault="00E44A8E" w:rsidP="00DF621C">
      <w:pPr>
        <w:ind w:left="4253"/>
        <w:rPr>
          <w:rFonts w:ascii="Times New Roman" w:hAnsi="Times New Roman" w:cs="Times New Roman"/>
          <w:sz w:val="24"/>
          <w:szCs w:val="24"/>
        </w:rPr>
      </w:pPr>
    </w:p>
    <w:p w14:paraId="739492D0" w14:textId="6F24054D" w:rsidR="00F005B4" w:rsidRDefault="00F005B4" w:rsidP="00DF621C">
      <w:pPr>
        <w:ind w:left="4253"/>
        <w:rPr>
          <w:rFonts w:ascii="Times New Roman" w:hAnsi="Times New Roman" w:cs="Times New Roman"/>
          <w:b/>
          <w:bCs/>
          <w:sz w:val="24"/>
          <w:szCs w:val="24"/>
        </w:rPr>
      </w:pPr>
      <w:r w:rsidRPr="00F005B4">
        <w:rPr>
          <w:rFonts w:ascii="Times New Roman" w:hAnsi="Times New Roman" w:cs="Times New Roman"/>
          <w:sz w:val="24"/>
          <w:szCs w:val="24"/>
        </w:rPr>
        <w:lastRenderedPageBreak/>
        <w:t>Anexa nr.</w:t>
      </w:r>
      <w:r w:rsidR="001C6EF5">
        <w:rPr>
          <w:rFonts w:ascii="Times New Roman" w:hAnsi="Times New Roman" w:cs="Times New Roman"/>
          <w:sz w:val="24"/>
          <w:szCs w:val="24"/>
        </w:rPr>
        <w:t>2</w:t>
      </w:r>
      <w:r w:rsidRPr="00F005B4">
        <w:rPr>
          <w:rFonts w:ascii="Times New Roman" w:hAnsi="Times New Roman" w:cs="Times New Roman"/>
          <w:sz w:val="24"/>
          <w:szCs w:val="24"/>
        </w:rPr>
        <w:t xml:space="preserve"> </w:t>
      </w:r>
      <w:bookmarkStart w:id="109" w:name="_Hlk224553039"/>
      <w:r w:rsidRPr="00F005B4">
        <w:rPr>
          <w:rFonts w:ascii="Times New Roman" w:hAnsi="Times New Roman" w:cs="Times New Roman"/>
          <w:sz w:val="24"/>
          <w:szCs w:val="24"/>
        </w:rPr>
        <w:t xml:space="preserve">la Regulamentul privind cerințe de fonduri proprii pentru riscul de piață, aprobat prin Hotărârea Comitetului executiv al Băncii Naționale a Moldovei  </w:t>
      </w:r>
      <w:proofErr w:type="spellStart"/>
      <w:r w:rsidRPr="00F005B4">
        <w:rPr>
          <w:rFonts w:ascii="Times New Roman" w:hAnsi="Times New Roman" w:cs="Times New Roman"/>
          <w:sz w:val="24"/>
          <w:szCs w:val="24"/>
        </w:rPr>
        <w:t>nr.XX</w:t>
      </w:r>
      <w:proofErr w:type="spellEnd"/>
      <w:r w:rsidRPr="00F005B4">
        <w:rPr>
          <w:rFonts w:ascii="Times New Roman" w:hAnsi="Times New Roman" w:cs="Times New Roman"/>
          <w:sz w:val="24"/>
          <w:szCs w:val="24"/>
        </w:rPr>
        <w:t>/2026</w:t>
      </w:r>
    </w:p>
    <w:bookmarkEnd w:id="109"/>
    <w:p w14:paraId="15D8364A" w14:textId="18905188" w:rsidR="00F005B4" w:rsidRPr="00F005B4" w:rsidRDefault="00F005B4" w:rsidP="00F005B4">
      <w:pPr>
        <w:jc w:val="center"/>
        <w:rPr>
          <w:rFonts w:ascii="Times New Roman" w:hAnsi="Times New Roman" w:cs="Times New Roman"/>
          <w:b/>
          <w:bCs/>
          <w:sz w:val="24"/>
          <w:szCs w:val="24"/>
        </w:rPr>
      </w:pPr>
      <w:r w:rsidRPr="00F005B4">
        <w:rPr>
          <w:rFonts w:ascii="Times New Roman" w:hAnsi="Times New Roman" w:cs="Times New Roman"/>
          <w:b/>
          <w:bCs/>
          <w:sz w:val="24"/>
          <w:szCs w:val="24"/>
        </w:rPr>
        <w:t>Instrumentele-suport exotice și instrumentele care prezintă riscuri reziduale în scopul calculării cerințelor de fonduri proprii pentru riscurile reziduale</w:t>
      </w:r>
    </w:p>
    <w:p w14:paraId="693943A3" w14:textId="77777777" w:rsidR="00F005B4" w:rsidRPr="00095514" w:rsidRDefault="00F005B4" w:rsidP="00F005B4">
      <w:pPr>
        <w:rPr>
          <w:rFonts w:ascii="Times New Roman" w:hAnsi="Times New Roman" w:cs="Times New Roman"/>
          <w:b/>
          <w:bCs/>
          <w:sz w:val="24"/>
          <w:szCs w:val="24"/>
        </w:rPr>
      </w:pPr>
      <w:r w:rsidRPr="00CC1E9B">
        <w:rPr>
          <w:rFonts w:ascii="Times New Roman" w:hAnsi="Times New Roman" w:cs="Times New Roman"/>
          <w:b/>
          <w:sz w:val="24"/>
          <w:szCs w:val="24"/>
        </w:rPr>
        <w:t xml:space="preserve">Secțiunea 1. </w:t>
      </w:r>
      <w:r w:rsidRPr="00CC1E9B">
        <w:rPr>
          <w:rFonts w:ascii="Times New Roman" w:hAnsi="Times New Roman" w:cs="Times New Roman"/>
          <w:b/>
          <w:bCs/>
          <w:sz w:val="24"/>
          <w:szCs w:val="24"/>
        </w:rPr>
        <w:t>Precizări privind instrumentele-suport exotice</w:t>
      </w:r>
    </w:p>
    <w:p w14:paraId="0F91529A" w14:textId="68FC1BAF" w:rsidR="00F005B4" w:rsidRDefault="00F005B4" w:rsidP="00F005B4">
      <w:pPr>
        <w:rPr>
          <w:rFonts w:ascii="Times New Roman" w:hAnsi="Times New Roman" w:cs="Times New Roman"/>
          <w:sz w:val="24"/>
          <w:szCs w:val="24"/>
        </w:rPr>
      </w:pPr>
      <w:r w:rsidRPr="00F005B4">
        <w:rPr>
          <w:rFonts w:ascii="Times New Roman" w:hAnsi="Times New Roman" w:cs="Times New Roman"/>
          <w:bCs/>
          <w:sz w:val="24"/>
          <w:szCs w:val="24"/>
        </w:rPr>
        <w:t xml:space="preserve">1. Riscul de longevitate, riscul meteorologic, riscul de dezastre naturale și riscul de volatilitate viitoare realizată sunt considerate instrumente-suport exotice în sensul subpct.219.1 din Regulamentul </w:t>
      </w:r>
      <w:r w:rsidRPr="00F005B4">
        <w:rPr>
          <w:rFonts w:ascii="Times New Roman" w:hAnsi="Times New Roman" w:cs="Times New Roman"/>
          <w:sz w:val="24"/>
          <w:szCs w:val="24"/>
        </w:rPr>
        <w:t>privind cerințe de fonduri proprii pentru riscul de piață.</w:t>
      </w:r>
    </w:p>
    <w:p w14:paraId="5E90F788" w14:textId="77777777" w:rsidR="00F005B4" w:rsidRPr="00CC1E9B" w:rsidRDefault="00F005B4" w:rsidP="00F005B4">
      <w:pPr>
        <w:rPr>
          <w:rFonts w:ascii="Times New Roman" w:hAnsi="Times New Roman" w:cs="Times New Roman"/>
          <w:b/>
          <w:bCs/>
          <w:sz w:val="24"/>
          <w:szCs w:val="24"/>
        </w:rPr>
      </w:pPr>
      <w:r w:rsidRPr="00CC1E9B">
        <w:rPr>
          <w:rFonts w:ascii="Times New Roman" w:hAnsi="Times New Roman" w:cs="Times New Roman"/>
          <w:b/>
          <w:bCs/>
          <w:sz w:val="24"/>
          <w:szCs w:val="24"/>
        </w:rPr>
        <w:t>Secțiunea 2. Precizări privind instrumentele care prezintă riscuri reziduale</w:t>
      </w:r>
    </w:p>
    <w:p w14:paraId="28EDACA3" w14:textId="60F57A3F" w:rsidR="00F005B4" w:rsidRDefault="00F005B4" w:rsidP="00F005B4">
      <w:pPr>
        <w:rPr>
          <w:rFonts w:ascii="Times New Roman" w:hAnsi="Times New Roman" w:cs="Times New Roman"/>
          <w:bCs/>
          <w:sz w:val="24"/>
          <w:szCs w:val="24"/>
        </w:rPr>
      </w:pPr>
      <w:r w:rsidRPr="00F005B4">
        <w:rPr>
          <w:rFonts w:ascii="Times New Roman" w:hAnsi="Times New Roman" w:cs="Times New Roman"/>
          <w:bCs/>
          <w:sz w:val="24"/>
          <w:szCs w:val="24"/>
        </w:rPr>
        <w:t>2. Instrumentele enumerate în tabelul la prezenta anexă sunt considerate instrumente care îndeplinesc condițiile prevăzute la pct.219 din Regulamentul privind cerințe de fonduri proprii pentru riscul de piață și care constituie instrumente ce prezintă riscuri reziduale.</w:t>
      </w:r>
    </w:p>
    <w:p w14:paraId="20D9F526" w14:textId="70A156A9" w:rsidR="00F005B4" w:rsidRPr="00CC1E9B" w:rsidRDefault="00F005B4" w:rsidP="00F005B4">
      <w:pPr>
        <w:rPr>
          <w:rFonts w:ascii="Times New Roman" w:hAnsi="Times New Roman" w:cs="Times New Roman"/>
          <w:b/>
          <w:bCs/>
          <w:sz w:val="24"/>
          <w:szCs w:val="24"/>
        </w:rPr>
      </w:pPr>
      <w:r w:rsidRPr="00CC1E9B">
        <w:rPr>
          <w:rFonts w:ascii="Times New Roman" w:hAnsi="Times New Roman" w:cs="Times New Roman"/>
          <w:b/>
          <w:bCs/>
          <w:sz w:val="24"/>
          <w:szCs w:val="24"/>
        </w:rPr>
        <w:t>Secțiunea 3. Precizări privind instrumentele în legătură cu care există prezumția că prezintă riscuri reziduale</w:t>
      </w:r>
    </w:p>
    <w:p w14:paraId="79819440" w14:textId="77777777" w:rsidR="00F005B4" w:rsidRPr="00F005B4" w:rsidRDefault="00F005B4" w:rsidP="00F005B4">
      <w:pPr>
        <w:rPr>
          <w:rFonts w:ascii="Times New Roman" w:hAnsi="Times New Roman" w:cs="Times New Roman"/>
          <w:bCs/>
          <w:sz w:val="24"/>
          <w:szCs w:val="24"/>
        </w:rPr>
      </w:pPr>
      <w:r w:rsidRPr="00F005B4">
        <w:rPr>
          <w:rFonts w:ascii="Times New Roman" w:hAnsi="Times New Roman" w:cs="Times New Roman"/>
          <w:bCs/>
          <w:sz w:val="24"/>
          <w:szCs w:val="24"/>
        </w:rPr>
        <w:t>3. Se consideră că un instrument nu îndeplinește condițiile prevăzute la subpct.219.2.1 și 219.2.2 din Regulamentul privind cerințe de fonduri proprii pentru riscul de piață numai prin faptul că prezintă unul sau mai multe dintre următoarele riscuri:</w:t>
      </w:r>
    </w:p>
    <w:p w14:paraId="7B214A24" w14:textId="77777777" w:rsidR="00F005B4" w:rsidRPr="00F005B4" w:rsidRDefault="00F005B4" w:rsidP="00F005B4">
      <w:pPr>
        <w:rPr>
          <w:rFonts w:ascii="Times New Roman" w:hAnsi="Times New Roman" w:cs="Times New Roman"/>
          <w:bCs/>
          <w:sz w:val="24"/>
          <w:szCs w:val="24"/>
        </w:rPr>
      </w:pPr>
      <w:r w:rsidRPr="00F005B4">
        <w:rPr>
          <w:rFonts w:ascii="Times New Roman" w:hAnsi="Times New Roman" w:cs="Times New Roman"/>
          <w:bCs/>
          <w:sz w:val="24"/>
          <w:szCs w:val="24"/>
        </w:rPr>
        <w:t>3.1.</w:t>
      </w:r>
      <w:r w:rsidRPr="00F005B4">
        <w:rPr>
          <w:rFonts w:ascii="Times New Roman" w:hAnsi="Times New Roman" w:cs="Times New Roman"/>
          <w:bCs/>
          <w:sz w:val="24"/>
          <w:szCs w:val="24"/>
        </w:rPr>
        <w:tab/>
        <w:t xml:space="preserve">riscul care decurge din tranzacții în care obligația de livrare poate fi îndeplinită cu o gamă de instrumente livrabile și în care </w:t>
      </w:r>
      <w:proofErr w:type="spellStart"/>
      <w:r w:rsidRPr="00F005B4">
        <w:rPr>
          <w:rFonts w:ascii="Times New Roman" w:hAnsi="Times New Roman" w:cs="Times New Roman"/>
          <w:bCs/>
          <w:sz w:val="24"/>
          <w:szCs w:val="24"/>
        </w:rPr>
        <w:t>contrapartea</w:t>
      </w:r>
      <w:proofErr w:type="spellEnd"/>
      <w:r w:rsidRPr="00F005B4">
        <w:rPr>
          <w:rFonts w:ascii="Times New Roman" w:hAnsi="Times New Roman" w:cs="Times New Roman"/>
          <w:bCs/>
          <w:sz w:val="24"/>
          <w:szCs w:val="24"/>
        </w:rPr>
        <w:t xml:space="preserve"> are posibilitatea de a livra instrumentele de acest tip cu cea mai mică valoare;</w:t>
      </w:r>
    </w:p>
    <w:p w14:paraId="472640B0" w14:textId="77777777" w:rsidR="00F005B4" w:rsidRPr="00F005B4" w:rsidRDefault="00F005B4" w:rsidP="00F005B4">
      <w:pPr>
        <w:rPr>
          <w:rFonts w:ascii="Times New Roman" w:hAnsi="Times New Roman" w:cs="Times New Roman"/>
          <w:bCs/>
          <w:sz w:val="24"/>
          <w:szCs w:val="24"/>
        </w:rPr>
      </w:pPr>
      <w:r w:rsidRPr="00F005B4">
        <w:rPr>
          <w:rFonts w:ascii="Times New Roman" w:hAnsi="Times New Roman" w:cs="Times New Roman"/>
          <w:bCs/>
          <w:sz w:val="24"/>
          <w:szCs w:val="24"/>
        </w:rPr>
        <w:t>3.2.</w:t>
      </w:r>
      <w:r w:rsidRPr="00F005B4">
        <w:rPr>
          <w:rFonts w:ascii="Times New Roman" w:hAnsi="Times New Roman" w:cs="Times New Roman"/>
          <w:bCs/>
          <w:sz w:val="24"/>
          <w:szCs w:val="24"/>
        </w:rPr>
        <w:tab/>
        <w:t>riscul unei variații a volatilității implicite a unui instrument cu opționalitate, în raport cu volatilitatea implicită a altor instrumente cu opționalitate care au același activ suport și aceeași scadență, dar o lichiditate diferită;</w:t>
      </w:r>
    </w:p>
    <w:p w14:paraId="218C7249" w14:textId="77777777" w:rsidR="00F005B4" w:rsidRPr="00F005B4" w:rsidRDefault="00F005B4" w:rsidP="00F005B4">
      <w:pPr>
        <w:rPr>
          <w:rFonts w:ascii="Times New Roman" w:hAnsi="Times New Roman" w:cs="Times New Roman"/>
          <w:bCs/>
          <w:sz w:val="24"/>
          <w:szCs w:val="24"/>
        </w:rPr>
      </w:pPr>
      <w:r w:rsidRPr="00F005B4">
        <w:rPr>
          <w:rFonts w:ascii="Times New Roman" w:hAnsi="Times New Roman" w:cs="Times New Roman"/>
          <w:bCs/>
          <w:sz w:val="24"/>
          <w:szCs w:val="24"/>
        </w:rPr>
        <w:t>3.3.</w:t>
      </w:r>
      <w:r w:rsidRPr="00F005B4">
        <w:rPr>
          <w:rFonts w:ascii="Times New Roman" w:hAnsi="Times New Roman" w:cs="Times New Roman"/>
          <w:bCs/>
          <w:sz w:val="24"/>
          <w:szCs w:val="24"/>
        </w:rPr>
        <w:tab/>
        <w:t>riscul de corelație care decurge dintr-o opțiune pe indici, în cazul în care indicele îndeplinește condițiile prevăzute la pct.135 din Regulamentul privind cerințe de fonduri proprii pentru riscul de piață;</w:t>
      </w:r>
    </w:p>
    <w:p w14:paraId="240925E6" w14:textId="77777777" w:rsidR="00F005B4" w:rsidRPr="00F005B4" w:rsidRDefault="00F005B4" w:rsidP="00F005B4">
      <w:pPr>
        <w:rPr>
          <w:rFonts w:ascii="Times New Roman" w:hAnsi="Times New Roman" w:cs="Times New Roman"/>
          <w:bCs/>
          <w:sz w:val="24"/>
          <w:szCs w:val="24"/>
        </w:rPr>
      </w:pPr>
      <w:r w:rsidRPr="00F005B4">
        <w:rPr>
          <w:rFonts w:ascii="Times New Roman" w:hAnsi="Times New Roman" w:cs="Times New Roman"/>
          <w:bCs/>
          <w:sz w:val="24"/>
          <w:szCs w:val="24"/>
        </w:rPr>
        <w:t>3.4.</w:t>
      </w:r>
      <w:r w:rsidRPr="00F005B4">
        <w:rPr>
          <w:rFonts w:ascii="Times New Roman" w:hAnsi="Times New Roman" w:cs="Times New Roman"/>
          <w:bCs/>
          <w:sz w:val="24"/>
          <w:szCs w:val="24"/>
        </w:rPr>
        <w:tab/>
        <w:t>riscul de corelație care decurge dintr-o opțiune într-un organism de plasament colectiv care se raportează la un indice de referință, în cazul în care această raportare îndeplinește condițiile prevăzute la pct.142</w:t>
      </w:r>
      <w:r w:rsidRPr="00F005B4">
        <w:rPr>
          <w:rFonts w:ascii="Times New Roman" w:hAnsi="Times New Roman" w:cs="Times New Roman"/>
          <w:sz w:val="24"/>
          <w:szCs w:val="24"/>
        </w:rPr>
        <w:t xml:space="preserve"> </w:t>
      </w:r>
      <w:r w:rsidRPr="00F005B4">
        <w:rPr>
          <w:rFonts w:ascii="Times New Roman" w:hAnsi="Times New Roman" w:cs="Times New Roman"/>
          <w:bCs/>
          <w:sz w:val="24"/>
          <w:szCs w:val="24"/>
        </w:rPr>
        <w:t>din Regulamentul privind cerințe de fonduri proprii pentru riscul de piață, iar indicele îndeplinește condițiile prevăzute la pct.135 din regulamentul respectiv;</w:t>
      </w:r>
    </w:p>
    <w:p w14:paraId="1FEB73B1" w14:textId="0DFFB80F" w:rsidR="00F005B4" w:rsidRDefault="00F005B4" w:rsidP="00F005B4">
      <w:pPr>
        <w:rPr>
          <w:rFonts w:ascii="Times New Roman" w:hAnsi="Times New Roman" w:cs="Times New Roman"/>
          <w:bCs/>
          <w:sz w:val="24"/>
          <w:szCs w:val="24"/>
        </w:rPr>
      </w:pPr>
      <w:r w:rsidRPr="00F005B4">
        <w:rPr>
          <w:rFonts w:ascii="Times New Roman" w:hAnsi="Times New Roman" w:cs="Times New Roman"/>
          <w:bCs/>
          <w:sz w:val="24"/>
          <w:szCs w:val="24"/>
        </w:rPr>
        <w:t>3.5.</w:t>
      </w:r>
      <w:r w:rsidRPr="00F005B4">
        <w:rPr>
          <w:rFonts w:ascii="Times New Roman" w:hAnsi="Times New Roman" w:cs="Times New Roman"/>
          <w:bCs/>
          <w:sz w:val="24"/>
          <w:szCs w:val="24"/>
        </w:rPr>
        <w:tab/>
        <w:t>riscul de dividende care decurge dintr-un instrument derivat al cărui suport nu constă exclusiv în plăți de dividende.</w:t>
      </w:r>
    </w:p>
    <w:p w14:paraId="3612C222" w14:textId="49B9C3D9" w:rsidR="00F005B4" w:rsidRPr="00F005B4" w:rsidRDefault="00F005B4" w:rsidP="00CC1E9B">
      <w:pPr>
        <w:rPr>
          <w:rFonts w:ascii="Times New Roman" w:hAnsi="Times New Roman" w:cs="Times New Roman"/>
          <w:b/>
          <w:bCs/>
          <w:i/>
          <w:iCs/>
          <w:sz w:val="24"/>
          <w:szCs w:val="24"/>
        </w:rPr>
      </w:pPr>
      <w:r w:rsidRPr="00F005B4">
        <w:rPr>
          <w:rFonts w:ascii="Times New Roman" w:hAnsi="Times New Roman" w:cs="Times New Roman"/>
          <w:b/>
          <w:bCs/>
          <w:i/>
          <w:iCs/>
          <w:sz w:val="24"/>
          <w:szCs w:val="24"/>
        </w:rPr>
        <w:t>Tabel</w:t>
      </w:r>
    </w:p>
    <w:p w14:paraId="1B4B0707" w14:textId="1D922F34" w:rsidR="00F005B4" w:rsidRPr="00F005B4" w:rsidRDefault="00F005B4" w:rsidP="00CC1E9B">
      <w:pPr>
        <w:rPr>
          <w:rFonts w:ascii="Times New Roman" w:hAnsi="Times New Roman" w:cs="Times New Roman"/>
          <w:sz w:val="24"/>
          <w:szCs w:val="24"/>
        </w:rPr>
      </w:pPr>
      <w:r w:rsidRPr="00F005B4">
        <w:rPr>
          <w:rFonts w:ascii="Times New Roman" w:hAnsi="Times New Roman" w:cs="Times New Roman"/>
          <w:b/>
          <w:bCs/>
          <w:i/>
          <w:iCs/>
          <w:sz w:val="24"/>
          <w:szCs w:val="24"/>
        </w:rPr>
        <w:t xml:space="preserve">Lista instrumentelor care prezintă riscuri reziduale menționate la </w:t>
      </w:r>
      <w:r>
        <w:rPr>
          <w:rFonts w:ascii="Times New Roman" w:hAnsi="Times New Roman" w:cs="Times New Roman"/>
          <w:b/>
          <w:bCs/>
          <w:i/>
          <w:iCs/>
          <w:sz w:val="24"/>
          <w:szCs w:val="24"/>
        </w:rPr>
        <w:t>pct.</w:t>
      </w:r>
      <w:r w:rsidRPr="00F005B4">
        <w:rPr>
          <w:rFonts w:ascii="Times New Roman" w:hAnsi="Times New Roman" w:cs="Times New Roman"/>
          <w:b/>
          <w:bCs/>
          <w:i/>
          <w:iCs/>
          <w:sz w:val="24"/>
          <w:szCs w:val="24"/>
        </w:rPr>
        <w:t>2</w:t>
      </w:r>
    </w:p>
    <w:p w14:paraId="0623F655" w14:textId="77777777" w:rsidR="00F005B4" w:rsidRPr="00F005B4" w:rsidRDefault="00F005B4" w:rsidP="00F005B4">
      <w:pPr>
        <w:rPr>
          <w:rFonts w:ascii="Times New Roman" w:hAnsi="Times New Roman" w:cs="Times New Roman"/>
          <w:bCs/>
          <w:sz w:val="24"/>
          <w:szCs w:val="24"/>
        </w:rPr>
      </w:pPr>
      <w:r w:rsidRPr="00F005B4">
        <w:rPr>
          <w:rFonts w:ascii="Times New Roman" w:hAnsi="Times New Roman" w:cs="Times New Roman"/>
          <w:bCs/>
          <w:sz w:val="24"/>
          <w:szCs w:val="24"/>
        </w:rPr>
        <w:t>1. opțiuni ale căror rezultate depind de traiectoria înregistrată de prețul activului-suport, și nu doar de prețul final al acestuia la data exercitării;</w:t>
      </w:r>
    </w:p>
    <w:p w14:paraId="2CADBE9F" w14:textId="77777777" w:rsidR="00F005B4" w:rsidRPr="00F005B4" w:rsidRDefault="00F005B4" w:rsidP="00F005B4">
      <w:pPr>
        <w:rPr>
          <w:rFonts w:ascii="Times New Roman" w:hAnsi="Times New Roman" w:cs="Times New Roman"/>
          <w:bCs/>
          <w:sz w:val="24"/>
          <w:szCs w:val="24"/>
        </w:rPr>
      </w:pPr>
      <w:r w:rsidRPr="00F005B4">
        <w:rPr>
          <w:rFonts w:ascii="Times New Roman" w:hAnsi="Times New Roman" w:cs="Times New Roman"/>
          <w:bCs/>
          <w:sz w:val="24"/>
          <w:szCs w:val="24"/>
        </w:rPr>
        <w:t>2. opțiuni care încep la o dată predefinită în viitor și al căror preț de exercitare nu este încă stabilit la momentul în care opțiunea se află în portofoliul de tranzacționare al băncii;</w:t>
      </w:r>
    </w:p>
    <w:p w14:paraId="2076A5E4" w14:textId="77777777" w:rsidR="00F005B4" w:rsidRPr="00F005B4" w:rsidRDefault="00F005B4" w:rsidP="00F005B4">
      <w:pPr>
        <w:rPr>
          <w:rFonts w:ascii="Times New Roman" w:hAnsi="Times New Roman" w:cs="Times New Roman"/>
          <w:bCs/>
          <w:sz w:val="24"/>
          <w:szCs w:val="24"/>
        </w:rPr>
      </w:pPr>
      <w:r w:rsidRPr="00F005B4">
        <w:rPr>
          <w:rFonts w:ascii="Times New Roman" w:hAnsi="Times New Roman" w:cs="Times New Roman"/>
          <w:bCs/>
          <w:sz w:val="24"/>
          <w:szCs w:val="24"/>
        </w:rPr>
        <w:t>3. opțiuni al căror suport este o altă opțiune;</w:t>
      </w:r>
    </w:p>
    <w:p w14:paraId="02C6E44A" w14:textId="77777777" w:rsidR="00F005B4" w:rsidRPr="00F005B4" w:rsidRDefault="00F005B4" w:rsidP="00F005B4">
      <w:pPr>
        <w:rPr>
          <w:rFonts w:ascii="Times New Roman" w:hAnsi="Times New Roman" w:cs="Times New Roman"/>
          <w:bCs/>
          <w:sz w:val="24"/>
          <w:szCs w:val="24"/>
        </w:rPr>
      </w:pPr>
      <w:r w:rsidRPr="00F005B4">
        <w:rPr>
          <w:rFonts w:ascii="Times New Roman" w:hAnsi="Times New Roman" w:cs="Times New Roman"/>
          <w:bCs/>
          <w:sz w:val="24"/>
          <w:szCs w:val="24"/>
        </w:rPr>
        <w:t>4. opțiuni cu rezultate discontinue;</w:t>
      </w:r>
    </w:p>
    <w:p w14:paraId="233090CC" w14:textId="77777777" w:rsidR="00F005B4" w:rsidRPr="00F005B4" w:rsidRDefault="00F005B4" w:rsidP="00F005B4">
      <w:pPr>
        <w:rPr>
          <w:rFonts w:ascii="Times New Roman" w:hAnsi="Times New Roman" w:cs="Times New Roman"/>
          <w:bCs/>
          <w:sz w:val="24"/>
          <w:szCs w:val="24"/>
        </w:rPr>
      </w:pPr>
      <w:r w:rsidRPr="00F005B4">
        <w:rPr>
          <w:rFonts w:ascii="Times New Roman" w:hAnsi="Times New Roman" w:cs="Times New Roman"/>
          <w:bCs/>
          <w:sz w:val="24"/>
          <w:szCs w:val="24"/>
        </w:rPr>
        <w:lastRenderedPageBreak/>
        <w:t>5. opțiuni care îi permit deținătorului să modifice prețul de exercitare sau alte condiții din contract înainte de scadența opțiunilor;</w:t>
      </w:r>
    </w:p>
    <w:p w14:paraId="192FB882" w14:textId="77777777" w:rsidR="00F005B4" w:rsidRPr="00F005B4" w:rsidRDefault="00F005B4" w:rsidP="00F005B4">
      <w:pPr>
        <w:rPr>
          <w:rFonts w:ascii="Times New Roman" w:hAnsi="Times New Roman" w:cs="Times New Roman"/>
          <w:bCs/>
          <w:sz w:val="24"/>
          <w:szCs w:val="24"/>
        </w:rPr>
      </w:pPr>
      <w:r w:rsidRPr="00F005B4">
        <w:rPr>
          <w:rFonts w:ascii="Times New Roman" w:hAnsi="Times New Roman" w:cs="Times New Roman"/>
          <w:bCs/>
          <w:sz w:val="24"/>
          <w:szCs w:val="24"/>
        </w:rPr>
        <w:t>6. opțiuni care pot fi exercitate într-un interval limitat de date prestabilite;</w:t>
      </w:r>
    </w:p>
    <w:p w14:paraId="56C607E6" w14:textId="77777777" w:rsidR="00F005B4" w:rsidRPr="00F005B4" w:rsidRDefault="00F005B4" w:rsidP="00F005B4">
      <w:pPr>
        <w:rPr>
          <w:rFonts w:ascii="Times New Roman" w:hAnsi="Times New Roman" w:cs="Times New Roman"/>
          <w:bCs/>
          <w:sz w:val="24"/>
          <w:szCs w:val="24"/>
        </w:rPr>
      </w:pPr>
      <w:r w:rsidRPr="00F005B4">
        <w:rPr>
          <w:rFonts w:ascii="Times New Roman" w:hAnsi="Times New Roman" w:cs="Times New Roman"/>
          <w:bCs/>
          <w:sz w:val="24"/>
          <w:szCs w:val="24"/>
        </w:rPr>
        <w:t>7. opțiuni ale căror elemente-suport sunt denominate într-o monedă, dar ale căror rezultate sunt decontate într-o monedă diferită, la un curs de schimb prestabilit între cele două monede;</w:t>
      </w:r>
    </w:p>
    <w:p w14:paraId="0629F6FF" w14:textId="77777777" w:rsidR="00F005B4" w:rsidRPr="00F005B4" w:rsidRDefault="00F005B4" w:rsidP="00F005B4">
      <w:pPr>
        <w:rPr>
          <w:rFonts w:ascii="Times New Roman" w:hAnsi="Times New Roman" w:cs="Times New Roman"/>
          <w:bCs/>
          <w:sz w:val="24"/>
          <w:szCs w:val="24"/>
        </w:rPr>
      </w:pPr>
      <w:r w:rsidRPr="00F005B4">
        <w:rPr>
          <w:rFonts w:ascii="Times New Roman" w:hAnsi="Times New Roman" w:cs="Times New Roman"/>
          <w:bCs/>
          <w:sz w:val="24"/>
          <w:szCs w:val="24"/>
        </w:rPr>
        <w:t>8. opțiuni cu mai multe elemente-suport, cu excepția celor menționate la subpct.3.3 și 3.4 din prezenta anexă;</w:t>
      </w:r>
    </w:p>
    <w:p w14:paraId="12F55275" w14:textId="77777777" w:rsidR="00F005B4" w:rsidRPr="00F005B4" w:rsidRDefault="00F005B4" w:rsidP="00F005B4">
      <w:pPr>
        <w:rPr>
          <w:rFonts w:ascii="Times New Roman" w:hAnsi="Times New Roman" w:cs="Times New Roman"/>
          <w:bCs/>
          <w:sz w:val="24"/>
          <w:szCs w:val="24"/>
        </w:rPr>
      </w:pPr>
      <w:r w:rsidRPr="00F005B4">
        <w:rPr>
          <w:rFonts w:ascii="Times New Roman" w:hAnsi="Times New Roman" w:cs="Times New Roman"/>
          <w:bCs/>
          <w:sz w:val="24"/>
          <w:szCs w:val="24"/>
        </w:rPr>
        <w:t>9. opțiuni care prezintă risc comportamental, numai în cazul în care sunt îndeplinite toate condițiile următoare:</w:t>
      </w:r>
    </w:p>
    <w:p w14:paraId="6869005C" w14:textId="77777777" w:rsidR="00F005B4" w:rsidRPr="00F005B4" w:rsidRDefault="00F005B4" w:rsidP="00F005B4">
      <w:pPr>
        <w:rPr>
          <w:rFonts w:ascii="Times New Roman" w:hAnsi="Times New Roman" w:cs="Times New Roman"/>
          <w:bCs/>
          <w:sz w:val="24"/>
          <w:szCs w:val="24"/>
        </w:rPr>
      </w:pPr>
      <w:r w:rsidRPr="00F005B4">
        <w:rPr>
          <w:rFonts w:ascii="Times New Roman" w:hAnsi="Times New Roman" w:cs="Times New Roman"/>
          <w:bCs/>
          <w:sz w:val="24"/>
          <w:szCs w:val="24"/>
        </w:rPr>
        <w:t>9.1. opțiunea este deținută de un client de retail;</w:t>
      </w:r>
    </w:p>
    <w:p w14:paraId="1F3FA98F" w14:textId="77777777" w:rsidR="00F005B4" w:rsidRPr="00F005B4" w:rsidRDefault="00F005B4" w:rsidP="00F005B4">
      <w:pPr>
        <w:rPr>
          <w:rFonts w:ascii="Times New Roman" w:hAnsi="Times New Roman" w:cs="Times New Roman"/>
          <w:bCs/>
          <w:sz w:val="24"/>
          <w:szCs w:val="24"/>
        </w:rPr>
      </w:pPr>
      <w:r w:rsidRPr="00F005B4">
        <w:rPr>
          <w:rFonts w:ascii="Times New Roman" w:hAnsi="Times New Roman" w:cs="Times New Roman"/>
          <w:bCs/>
          <w:sz w:val="24"/>
          <w:szCs w:val="24"/>
        </w:rPr>
        <w:t>9.2. opțiunile în cauză sunt deținute în mare parte în portofoliul de tranzacționare;</w:t>
      </w:r>
    </w:p>
    <w:p w14:paraId="1D16A479" w14:textId="68588825" w:rsidR="000E62FD" w:rsidRDefault="00F005B4" w:rsidP="00F005B4">
      <w:pPr>
        <w:rPr>
          <w:rFonts w:ascii="Times New Roman" w:hAnsi="Times New Roman" w:cs="Times New Roman"/>
          <w:bCs/>
          <w:sz w:val="24"/>
          <w:szCs w:val="24"/>
        </w:rPr>
      </w:pPr>
      <w:r w:rsidRPr="00F005B4">
        <w:rPr>
          <w:rFonts w:ascii="Times New Roman" w:hAnsi="Times New Roman" w:cs="Times New Roman"/>
          <w:bCs/>
          <w:sz w:val="24"/>
          <w:szCs w:val="24"/>
        </w:rPr>
        <w:t>9.3. banca evaluează riscul comportamental al opțiunilor în cauză ca fiind semnificativ.</w:t>
      </w:r>
    </w:p>
    <w:p w14:paraId="38A9F003" w14:textId="77777777" w:rsidR="002C2608" w:rsidRDefault="002C2608" w:rsidP="00F005B4">
      <w:pPr>
        <w:rPr>
          <w:rFonts w:ascii="Times New Roman" w:hAnsi="Times New Roman" w:cs="Times New Roman"/>
          <w:bCs/>
          <w:sz w:val="24"/>
          <w:szCs w:val="24"/>
        </w:rPr>
      </w:pPr>
    </w:p>
    <w:p w14:paraId="67E584D1" w14:textId="77777777" w:rsidR="002C2608" w:rsidRDefault="002C2608" w:rsidP="00F005B4">
      <w:pPr>
        <w:rPr>
          <w:rFonts w:ascii="Times New Roman" w:hAnsi="Times New Roman" w:cs="Times New Roman"/>
          <w:bCs/>
          <w:sz w:val="24"/>
          <w:szCs w:val="24"/>
        </w:rPr>
      </w:pPr>
    </w:p>
    <w:p w14:paraId="0C17DEAB" w14:textId="77777777" w:rsidR="002C2608" w:rsidRDefault="002C2608" w:rsidP="00F005B4">
      <w:pPr>
        <w:rPr>
          <w:rFonts w:ascii="Times New Roman" w:hAnsi="Times New Roman" w:cs="Times New Roman"/>
          <w:bCs/>
          <w:sz w:val="24"/>
          <w:szCs w:val="24"/>
        </w:rPr>
      </w:pPr>
    </w:p>
    <w:p w14:paraId="6A2D1B6C" w14:textId="77777777" w:rsidR="002C2608" w:rsidRDefault="002C2608" w:rsidP="00F005B4">
      <w:pPr>
        <w:rPr>
          <w:rFonts w:ascii="Times New Roman" w:hAnsi="Times New Roman" w:cs="Times New Roman"/>
          <w:bCs/>
          <w:sz w:val="24"/>
          <w:szCs w:val="24"/>
        </w:rPr>
      </w:pPr>
    </w:p>
    <w:p w14:paraId="1561CA86" w14:textId="77777777" w:rsidR="002C2608" w:rsidRDefault="002C2608" w:rsidP="00F005B4">
      <w:pPr>
        <w:rPr>
          <w:rFonts w:ascii="Times New Roman" w:hAnsi="Times New Roman" w:cs="Times New Roman"/>
          <w:bCs/>
          <w:sz w:val="24"/>
          <w:szCs w:val="24"/>
        </w:rPr>
      </w:pPr>
    </w:p>
    <w:p w14:paraId="05A091B1" w14:textId="77777777" w:rsidR="002C2608" w:rsidRDefault="002C2608" w:rsidP="00F005B4">
      <w:pPr>
        <w:rPr>
          <w:rFonts w:ascii="Times New Roman" w:hAnsi="Times New Roman" w:cs="Times New Roman"/>
          <w:bCs/>
          <w:sz w:val="24"/>
          <w:szCs w:val="24"/>
        </w:rPr>
      </w:pPr>
    </w:p>
    <w:p w14:paraId="6D758F31" w14:textId="77777777" w:rsidR="002C2608" w:rsidRDefault="002C2608" w:rsidP="00F005B4">
      <w:pPr>
        <w:rPr>
          <w:rFonts w:ascii="Times New Roman" w:hAnsi="Times New Roman" w:cs="Times New Roman"/>
          <w:bCs/>
          <w:sz w:val="24"/>
          <w:szCs w:val="24"/>
        </w:rPr>
      </w:pPr>
    </w:p>
    <w:p w14:paraId="5F2867BC" w14:textId="77777777" w:rsidR="002C2608" w:rsidRDefault="002C2608" w:rsidP="00F005B4">
      <w:pPr>
        <w:rPr>
          <w:rFonts w:ascii="Times New Roman" w:hAnsi="Times New Roman" w:cs="Times New Roman"/>
          <w:bCs/>
          <w:sz w:val="24"/>
          <w:szCs w:val="24"/>
        </w:rPr>
      </w:pPr>
    </w:p>
    <w:p w14:paraId="76DA1844" w14:textId="77777777" w:rsidR="002C2608" w:rsidRDefault="002C2608" w:rsidP="00F005B4">
      <w:pPr>
        <w:rPr>
          <w:rFonts w:ascii="Times New Roman" w:hAnsi="Times New Roman" w:cs="Times New Roman"/>
          <w:bCs/>
          <w:sz w:val="24"/>
          <w:szCs w:val="24"/>
        </w:rPr>
      </w:pPr>
    </w:p>
    <w:p w14:paraId="2199B37B" w14:textId="77777777" w:rsidR="002C2608" w:rsidRDefault="002C2608" w:rsidP="00F005B4">
      <w:pPr>
        <w:rPr>
          <w:rFonts w:ascii="Times New Roman" w:hAnsi="Times New Roman" w:cs="Times New Roman"/>
          <w:bCs/>
          <w:sz w:val="24"/>
          <w:szCs w:val="24"/>
        </w:rPr>
      </w:pPr>
    </w:p>
    <w:p w14:paraId="7DE9688D" w14:textId="77777777" w:rsidR="002C2608" w:rsidRDefault="002C2608" w:rsidP="00F005B4">
      <w:pPr>
        <w:rPr>
          <w:rFonts w:ascii="Times New Roman" w:hAnsi="Times New Roman" w:cs="Times New Roman"/>
          <w:bCs/>
          <w:sz w:val="24"/>
          <w:szCs w:val="24"/>
        </w:rPr>
      </w:pPr>
    </w:p>
    <w:p w14:paraId="4E961F35" w14:textId="77777777" w:rsidR="002C2608" w:rsidRDefault="002C2608" w:rsidP="00F005B4">
      <w:pPr>
        <w:rPr>
          <w:rFonts w:ascii="Times New Roman" w:hAnsi="Times New Roman" w:cs="Times New Roman"/>
          <w:bCs/>
          <w:sz w:val="24"/>
          <w:szCs w:val="24"/>
        </w:rPr>
      </w:pPr>
    </w:p>
    <w:p w14:paraId="32507715" w14:textId="77777777" w:rsidR="002C2608" w:rsidRDefault="002C2608" w:rsidP="00F005B4">
      <w:pPr>
        <w:rPr>
          <w:rFonts w:ascii="Times New Roman" w:hAnsi="Times New Roman" w:cs="Times New Roman"/>
          <w:bCs/>
          <w:sz w:val="24"/>
          <w:szCs w:val="24"/>
        </w:rPr>
      </w:pPr>
    </w:p>
    <w:p w14:paraId="7D8C9068" w14:textId="77777777" w:rsidR="002C2608" w:rsidRDefault="002C2608" w:rsidP="00F005B4">
      <w:pPr>
        <w:rPr>
          <w:rFonts w:ascii="Times New Roman" w:hAnsi="Times New Roman" w:cs="Times New Roman"/>
          <w:bCs/>
          <w:sz w:val="24"/>
          <w:szCs w:val="24"/>
        </w:rPr>
      </w:pPr>
    </w:p>
    <w:p w14:paraId="7B4612F7" w14:textId="77777777" w:rsidR="002C2608" w:rsidRDefault="002C2608" w:rsidP="00F005B4">
      <w:pPr>
        <w:rPr>
          <w:rFonts w:ascii="Times New Roman" w:hAnsi="Times New Roman" w:cs="Times New Roman"/>
          <w:bCs/>
          <w:sz w:val="24"/>
          <w:szCs w:val="24"/>
        </w:rPr>
      </w:pPr>
    </w:p>
    <w:p w14:paraId="5A5E4F8A" w14:textId="77777777" w:rsidR="002C2608" w:rsidRDefault="002C2608" w:rsidP="00F005B4">
      <w:pPr>
        <w:rPr>
          <w:rFonts w:ascii="Times New Roman" w:hAnsi="Times New Roman" w:cs="Times New Roman"/>
          <w:bCs/>
          <w:sz w:val="24"/>
          <w:szCs w:val="24"/>
        </w:rPr>
      </w:pPr>
    </w:p>
    <w:p w14:paraId="797529D6" w14:textId="77777777" w:rsidR="002C2608" w:rsidRDefault="002C2608" w:rsidP="00F005B4">
      <w:pPr>
        <w:rPr>
          <w:rFonts w:ascii="Times New Roman" w:hAnsi="Times New Roman" w:cs="Times New Roman"/>
          <w:bCs/>
          <w:sz w:val="24"/>
          <w:szCs w:val="24"/>
        </w:rPr>
      </w:pPr>
    </w:p>
    <w:p w14:paraId="1D8F3CB7" w14:textId="77777777" w:rsidR="002C2608" w:rsidRDefault="002C2608" w:rsidP="00F005B4">
      <w:pPr>
        <w:rPr>
          <w:rFonts w:ascii="Times New Roman" w:hAnsi="Times New Roman" w:cs="Times New Roman"/>
          <w:bCs/>
          <w:sz w:val="24"/>
          <w:szCs w:val="24"/>
        </w:rPr>
      </w:pPr>
    </w:p>
    <w:p w14:paraId="2A179A06" w14:textId="77777777" w:rsidR="002C2608" w:rsidRDefault="002C2608" w:rsidP="00F005B4">
      <w:pPr>
        <w:rPr>
          <w:rFonts w:ascii="Times New Roman" w:hAnsi="Times New Roman" w:cs="Times New Roman"/>
          <w:bCs/>
          <w:sz w:val="24"/>
          <w:szCs w:val="24"/>
        </w:rPr>
      </w:pPr>
    </w:p>
    <w:p w14:paraId="79F10A7E" w14:textId="77777777" w:rsidR="00E44A8E" w:rsidRDefault="00E44A8E" w:rsidP="002C2608">
      <w:pPr>
        <w:ind w:left="4253"/>
        <w:rPr>
          <w:rFonts w:ascii="Times New Roman" w:hAnsi="Times New Roman" w:cs="Times New Roman"/>
          <w:bCs/>
          <w:sz w:val="24"/>
          <w:szCs w:val="24"/>
        </w:rPr>
      </w:pPr>
    </w:p>
    <w:p w14:paraId="2B3E94CC" w14:textId="2D643FD1" w:rsidR="002C2608" w:rsidRDefault="002C2608" w:rsidP="002C2608">
      <w:pPr>
        <w:ind w:left="4253"/>
        <w:rPr>
          <w:rFonts w:ascii="Times New Roman" w:hAnsi="Times New Roman" w:cs="Times New Roman"/>
          <w:bCs/>
          <w:sz w:val="24"/>
          <w:szCs w:val="24"/>
        </w:rPr>
      </w:pPr>
      <w:r w:rsidRPr="002C2608">
        <w:rPr>
          <w:rFonts w:ascii="Times New Roman" w:hAnsi="Times New Roman" w:cs="Times New Roman"/>
          <w:bCs/>
          <w:sz w:val="24"/>
          <w:szCs w:val="24"/>
        </w:rPr>
        <w:lastRenderedPageBreak/>
        <w:t>Anexa nr.</w:t>
      </w:r>
      <w:r w:rsidR="001C6EF5">
        <w:rPr>
          <w:rFonts w:ascii="Times New Roman" w:hAnsi="Times New Roman" w:cs="Times New Roman"/>
          <w:bCs/>
          <w:sz w:val="24"/>
          <w:szCs w:val="24"/>
        </w:rPr>
        <w:t>3</w:t>
      </w:r>
      <w:r w:rsidRPr="002C2608">
        <w:rPr>
          <w:rFonts w:ascii="Times New Roman" w:hAnsi="Times New Roman" w:cs="Times New Roman"/>
          <w:bCs/>
          <w:sz w:val="24"/>
          <w:szCs w:val="24"/>
        </w:rPr>
        <w:t xml:space="preserve"> la Regulamentul privind cerințe de fonduri proprii pentru riscul de piață, aprobat prin Hotărârea Comitetului executiv al Băncii Naționale a Moldovei  </w:t>
      </w:r>
      <w:proofErr w:type="spellStart"/>
      <w:r w:rsidRPr="002C2608">
        <w:rPr>
          <w:rFonts w:ascii="Times New Roman" w:hAnsi="Times New Roman" w:cs="Times New Roman"/>
          <w:bCs/>
          <w:sz w:val="24"/>
          <w:szCs w:val="24"/>
        </w:rPr>
        <w:t>nr.XX</w:t>
      </w:r>
      <w:proofErr w:type="spellEnd"/>
      <w:r w:rsidRPr="002C2608">
        <w:rPr>
          <w:rFonts w:ascii="Times New Roman" w:hAnsi="Times New Roman" w:cs="Times New Roman"/>
          <w:bCs/>
          <w:sz w:val="24"/>
          <w:szCs w:val="24"/>
        </w:rPr>
        <w:t>/2026</w:t>
      </w:r>
    </w:p>
    <w:p w14:paraId="0FC60E89" w14:textId="192940B1" w:rsidR="002C2608" w:rsidRPr="002C2608" w:rsidRDefault="002C2608" w:rsidP="002C2608">
      <w:pPr>
        <w:jc w:val="center"/>
        <w:rPr>
          <w:rFonts w:ascii="Times New Roman" w:hAnsi="Times New Roman" w:cs="Times New Roman"/>
          <w:b/>
          <w:sz w:val="24"/>
          <w:szCs w:val="24"/>
        </w:rPr>
      </w:pPr>
      <w:r w:rsidRPr="002C2608">
        <w:rPr>
          <w:rFonts w:ascii="Times New Roman" w:hAnsi="Times New Roman" w:cs="Times New Roman"/>
          <w:b/>
          <w:sz w:val="24"/>
          <w:szCs w:val="24"/>
        </w:rPr>
        <w:t xml:space="preserve">Economiile avansate și </w:t>
      </w:r>
      <w:proofErr w:type="spellStart"/>
      <w:r w:rsidRPr="002C2608">
        <w:rPr>
          <w:rFonts w:ascii="Times New Roman" w:hAnsi="Times New Roman" w:cs="Times New Roman"/>
          <w:b/>
          <w:sz w:val="24"/>
          <w:szCs w:val="24"/>
        </w:rPr>
        <w:t>pieţele</w:t>
      </w:r>
      <w:proofErr w:type="spellEnd"/>
      <w:r w:rsidRPr="002C2608">
        <w:rPr>
          <w:rFonts w:ascii="Times New Roman" w:hAnsi="Times New Roman" w:cs="Times New Roman"/>
          <w:b/>
          <w:sz w:val="24"/>
          <w:szCs w:val="24"/>
        </w:rPr>
        <w:t xml:space="preserve"> emergente</w:t>
      </w:r>
    </w:p>
    <w:p w14:paraId="592AD6F6" w14:textId="42F07D08" w:rsidR="002C2608" w:rsidRDefault="002C2608" w:rsidP="00F005B4">
      <w:pPr>
        <w:rPr>
          <w:rFonts w:ascii="Times New Roman" w:hAnsi="Times New Roman" w:cs="Times New Roman"/>
          <w:sz w:val="24"/>
          <w:szCs w:val="24"/>
        </w:rPr>
      </w:pPr>
      <w:r w:rsidRPr="002C2608">
        <w:rPr>
          <w:rFonts w:ascii="Times New Roman" w:hAnsi="Times New Roman" w:cs="Times New Roman"/>
          <w:sz w:val="24"/>
          <w:szCs w:val="24"/>
        </w:rPr>
        <w:t xml:space="preserve">1. În scopul specificării ponderilor de risc pentru </w:t>
      </w:r>
      <w:proofErr w:type="spellStart"/>
      <w:r w:rsidRPr="002C2608">
        <w:rPr>
          <w:rFonts w:ascii="Times New Roman" w:hAnsi="Times New Roman" w:cs="Times New Roman"/>
          <w:sz w:val="24"/>
          <w:szCs w:val="24"/>
        </w:rPr>
        <w:t>sensibilităţile</w:t>
      </w:r>
      <w:proofErr w:type="spellEnd"/>
      <w:r w:rsidRPr="002C2608">
        <w:rPr>
          <w:rFonts w:ascii="Times New Roman" w:hAnsi="Times New Roman" w:cs="Times New Roman"/>
          <w:sz w:val="24"/>
          <w:szCs w:val="24"/>
        </w:rPr>
        <w:t xml:space="preserve"> la factori de risc de devalorizare a titlurilor de capital și de risc de rată </w:t>
      </w:r>
      <w:proofErr w:type="spellStart"/>
      <w:r w:rsidRPr="002C2608">
        <w:rPr>
          <w:rFonts w:ascii="Times New Roman" w:hAnsi="Times New Roman" w:cs="Times New Roman"/>
          <w:sz w:val="24"/>
          <w:szCs w:val="24"/>
        </w:rPr>
        <w:t>repo</w:t>
      </w:r>
      <w:proofErr w:type="spellEnd"/>
      <w:r w:rsidRPr="002C2608">
        <w:rPr>
          <w:rFonts w:ascii="Times New Roman" w:hAnsi="Times New Roman" w:cs="Times New Roman"/>
          <w:sz w:val="24"/>
          <w:szCs w:val="24"/>
        </w:rPr>
        <w:t xml:space="preserve"> a titlurilor de capital în conformitate cu titlul II, capitolul II, secțiunea 6, subsecțiunea 1, paragraful 12, următoarele </w:t>
      </w:r>
      <w:proofErr w:type="spellStart"/>
      <w:r w:rsidRPr="002C2608">
        <w:rPr>
          <w:rFonts w:ascii="Times New Roman" w:hAnsi="Times New Roman" w:cs="Times New Roman"/>
          <w:sz w:val="24"/>
          <w:szCs w:val="24"/>
        </w:rPr>
        <w:t>ţări</w:t>
      </w:r>
      <w:proofErr w:type="spellEnd"/>
      <w:r w:rsidRPr="002C2608">
        <w:rPr>
          <w:rFonts w:ascii="Times New Roman" w:hAnsi="Times New Roman" w:cs="Times New Roman"/>
          <w:sz w:val="24"/>
          <w:szCs w:val="24"/>
        </w:rPr>
        <w:t xml:space="preserve"> constituie economii avansate:</w:t>
      </w:r>
    </w:p>
    <w:p w14:paraId="1DDC39D7" w14:textId="08900AB8" w:rsidR="002C2608" w:rsidRDefault="002C2608" w:rsidP="00F005B4">
      <w:pPr>
        <w:rPr>
          <w:rFonts w:ascii="Times New Roman" w:hAnsi="Times New Roman" w:cs="Times New Roman"/>
          <w:sz w:val="24"/>
          <w:szCs w:val="24"/>
        </w:rPr>
      </w:pPr>
      <w:r w:rsidRPr="002C2608">
        <w:rPr>
          <w:rFonts w:ascii="Times New Roman" w:hAnsi="Times New Roman" w:cs="Times New Roman"/>
          <w:sz w:val="24"/>
          <w:szCs w:val="24"/>
        </w:rPr>
        <w:t xml:space="preserve">1.1. Republica Moldova, statele membre ale Uniunii Europene și </w:t>
      </w:r>
      <w:proofErr w:type="spellStart"/>
      <w:r w:rsidRPr="002C2608">
        <w:rPr>
          <w:rFonts w:ascii="Times New Roman" w:hAnsi="Times New Roman" w:cs="Times New Roman"/>
          <w:sz w:val="24"/>
          <w:szCs w:val="24"/>
        </w:rPr>
        <w:t>ţările</w:t>
      </w:r>
      <w:proofErr w:type="spellEnd"/>
      <w:r w:rsidRPr="002C2608">
        <w:rPr>
          <w:rFonts w:ascii="Times New Roman" w:hAnsi="Times New Roman" w:cs="Times New Roman"/>
          <w:sz w:val="24"/>
          <w:szCs w:val="24"/>
        </w:rPr>
        <w:t xml:space="preserve"> care sunt </w:t>
      </w:r>
      <w:proofErr w:type="spellStart"/>
      <w:r w:rsidRPr="002C2608">
        <w:rPr>
          <w:rFonts w:ascii="Times New Roman" w:hAnsi="Times New Roman" w:cs="Times New Roman"/>
          <w:sz w:val="24"/>
          <w:szCs w:val="24"/>
        </w:rPr>
        <w:t>părţi</w:t>
      </w:r>
      <w:proofErr w:type="spellEnd"/>
      <w:r w:rsidRPr="002C2608">
        <w:rPr>
          <w:rFonts w:ascii="Times New Roman" w:hAnsi="Times New Roman" w:cs="Times New Roman"/>
          <w:sz w:val="24"/>
          <w:szCs w:val="24"/>
        </w:rPr>
        <w:t xml:space="preserve"> la Acordul privind </w:t>
      </w:r>
      <w:proofErr w:type="spellStart"/>
      <w:r w:rsidRPr="002C2608">
        <w:rPr>
          <w:rFonts w:ascii="Times New Roman" w:hAnsi="Times New Roman" w:cs="Times New Roman"/>
          <w:sz w:val="24"/>
          <w:szCs w:val="24"/>
        </w:rPr>
        <w:t>Spaţiul</w:t>
      </w:r>
      <w:proofErr w:type="spellEnd"/>
      <w:r w:rsidRPr="002C2608">
        <w:rPr>
          <w:rFonts w:ascii="Times New Roman" w:hAnsi="Times New Roman" w:cs="Times New Roman"/>
          <w:sz w:val="24"/>
          <w:szCs w:val="24"/>
        </w:rPr>
        <w:t xml:space="preserve"> Economic European;</w:t>
      </w:r>
    </w:p>
    <w:p w14:paraId="2140E295" w14:textId="0522DECA" w:rsidR="002C2608" w:rsidRDefault="002C2608" w:rsidP="00F005B4">
      <w:pPr>
        <w:rPr>
          <w:rFonts w:ascii="Times New Roman" w:hAnsi="Times New Roman" w:cs="Times New Roman"/>
          <w:sz w:val="24"/>
          <w:szCs w:val="24"/>
        </w:rPr>
      </w:pPr>
      <w:r w:rsidRPr="002C2608">
        <w:rPr>
          <w:rFonts w:ascii="Times New Roman" w:hAnsi="Times New Roman" w:cs="Times New Roman"/>
          <w:sz w:val="24"/>
          <w:szCs w:val="24"/>
        </w:rPr>
        <w:t xml:space="preserve">1.2. </w:t>
      </w:r>
      <w:proofErr w:type="spellStart"/>
      <w:r w:rsidRPr="002C2608">
        <w:rPr>
          <w:rFonts w:ascii="Times New Roman" w:hAnsi="Times New Roman" w:cs="Times New Roman"/>
          <w:sz w:val="24"/>
          <w:szCs w:val="24"/>
        </w:rPr>
        <w:t>ţările</w:t>
      </w:r>
      <w:proofErr w:type="spellEnd"/>
      <w:r w:rsidRPr="002C2608">
        <w:rPr>
          <w:rFonts w:ascii="Times New Roman" w:hAnsi="Times New Roman" w:cs="Times New Roman"/>
          <w:sz w:val="24"/>
          <w:szCs w:val="24"/>
        </w:rPr>
        <w:t xml:space="preserve"> și teritoriile de peste mări care au </w:t>
      </w:r>
      <w:proofErr w:type="spellStart"/>
      <w:r w:rsidRPr="002C2608">
        <w:rPr>
          <w:rFonts w:ascii="Times New Roman" w:hAnsi="Times New Roman" w:cs="Times New Roman"/>
          <w:sz w:val="24"/>
          <w:szCs w:val="24"/>
        </w:rPr>
        <w:t>relaţii</w:t>
      </w:r>
      <w:proofErr w:type="spellEnd"/>
      <w:r w:rsidRPr="002C2608">
        <w:rPr>
          <w:rFonts w:ascii="Times New Roman" w:hAnsi="Times New Roman" w:cs="Times New Roman"/>
          <w:sz w:val="24"/>
          <w:szCs w:val="24"/>
        </w:rPr>
        <w:t xml:space="preserve"> speciale cu Danemarca, cu </w:t>
      </w:r>
      <w:proofErr w:type="spellStart"/>
      <w:r w:rsidRPr="002C2608">
        <w:rPr>
          <w:rFonts w:ascii="Times New Roman" w:hAnsi="Times New Roman" w:cs="Times New Roman"/>
          <w:sz w:val="24"/>
          <w:szCs w:val="24"/>
        </w:rPr>
        <w:t>Franţa</w:t>
      </w:r>
      <w:proofErr w:type="spellEnd"/>
      <w:r w:rsidRPr="002C2608">
        <w:rPr>
          <w:rFonts w:ascii="Times New Roman" w:hAnsi="Times New Roman" w:cs="Times New Roman"/>
          <w:sz w:val="24"/>
          <w:szCs w:val="24"/>
        </w:rPr>
        <w:t xml:space="preserve"> sau cu </w:t>
      </w:r>
      <w:proofErr w:type="spellStart"/>
      <w:r w:rsidRPr="002C2608">
        <w:rPr>
          <w:rFonts w:ascii="Times New Roman" w:hAnsi="Times New Roman" w:cs="Times New Roman"/>
          <w:sz w:val="24"/>
          <w:szCs w:val="24"/>
        </w:rPr>
        <w:t>Ţările</w:t>
      </w:r>
      <w:proofErr w:type="spellEnd"/>
      <w:r w:rsidRPr="002C2608">
        <w:rPr>
          <w:rFonts w:ascii="Times New Roman" w:hAnsi="Times New Roman" w:cs="Times New Roman"/>
          <w:sz w:val="24"/>
          <w:szCs w:val="24"/>
        </w:rPr>
        <w:t xml:space="preserve"> de Jos, inclusiv cu Insulele Feroe, precum și cele enumerate în anexa II la Tratatul privind </w:t>
      </w:r>
      <w:proofErr w:type="spellStart"/>
      <w:r w:rsidRPr="002C2608">
        <w:rPr>
          <w:rFonts w:ascii="Times New Roman" w:hAnsi="Times New Roman" w:cs="Times New Roman"/>
          <w:sz w:val="24"/>
          <w:szCs w:val="24"/>
        </w:rPr>
        <w:t>funcţionarea</w:t>
      </w:r>
      <w:proofErr w:type="spellEnd"/>
      <w:r w:rsidRPr="002C2608">
        <w:rPr>
          <w:rFonts w:ascii="Times New Roman" w:hAnsi="Times New Roman" w:cs="Times New Roman"/>
          <w:sz w:val="24"/>
          <w:szCs w:val="24"/>
        </w:rPr>
        <w:t xml:space="preserve"> Uniunii Europene;</w:t>
      </w:r>
    </w:p>
    <w:p w14:paraId="52BBB16C" w14:textId="3AC98937" w:rsidR="002C2608" w:rsidRPr="002C2608" w:rsidRDefault="002C2608" w:rsidP="002C2608">
      <w:pPr>
        <w:rPr>
          <w:rFonts w:ascii="Times New Roman" w:hAnsi="Times New Roman" w:cs="Times New Roman"/>
          <w:sz w:val="24"/>
          <w:szCs w:val="24"/>
        </w:rPr>
      </w:pPr>
      <w:r w:rsidRPr="002C2608">
        <w:rPr>
          <w:rFonts w:ascii="Times New Roman" w:hAnsi="Times New Roman" w:cs="Times New Roman"/>
          <w:sz w:val="24"/>
          <w:szCs w:val="24"/>
        </w:rPr>
        <w:t xml:space="preserve">1.3. următoarele </w:t>
      </w:r>
      <w:r w:rsidR="005F2163">
        <w:rPr>
          <w:rFonts w:ascii="Times New Roman" w:hAnsi="Times New Roman" w:cs="Times New Roman"/>
          <w:sz w:val="24"/>
          <w:szCs w:val="24"/>
        </w:rPr>
        <w:t>state</w:t>
      </w:r>
      <w:r w:rsidRPr="002C2608">
        <w:rPr>
          <w:rFonts w:ascii="Times New Roman" w:hAnsi="Times New Roman" w:cs="Times New Roman"/>
          <w:sz w:val="24"/>
          <w:szCs w:val="24"/>
        </w:rPr>
        <w:t>:</w:t>
      </w:r>
    </w:p>
    <w:p w14:paraId="059258ED" w14:textId="77777777" w:rsidR="002C2608" w:rsidRPr="002C2608" w:rsidRDefault="002C2608" w:rsidP="002C2608">
      <w:pPr>
        <w:rPr>
          <w:rFonts w:ascii="Times New Roman" w:hAnsi="Times New Roman" w:cs="Times New Roman"/>
          <w:sz w:val="24"/>
          <w:szCs w:val="24"/>
        </w:rPr>
      </w:pPr>
      <w:r w:rsidRPr="002C2608">
        <w:rPr>
          <w:rFonts w:ascii="Times New Roman" w:hAnsi="Times New Roman" w:cs="Times New Roman"/>
          <w:sz w:val="24"/>
          <w:szCs w:val="24"/>
        </w:rPr>
        <w:t>1.3.1. Australia;</w:t>
      </w:r>
    </w:p>
    <w:p w14:paraId="5A6A23A9" w14:textId="77777777" w:rsidR="002C2608" w:rsidRPr="002C2608" w:rsidRDefault="002C2608" w:rsidP="002C2608">
      <w:pPr>
        <w:rPr>
          <w:rFonts w:ascii="Times New Roman" w:hAnsi="Times New Roman" w:cs="Times New Roman"/>
          <w:sz w:val="24"/>
          <w:szCs w:val="24"/>
        </w:rPr>
      </w:pPr>
      <w:r w:rsidRPr="002C2608">
        <w:rPr>
          <w:rFonts w:ascii="Times New Roman" w:hAnsi="Times New Roman" w:cs="Times New Roman"/>
          <w:sz w:val="24"/>
          <w:szCs w:val="24"/>
        </w:rPr>
        <w:t>1.3.2. Canada;</w:t>
      </w:r>
    </w:p>
    <w:p w14:paraId="34E6E0A3" w14:textId="77777777" w:rsidR="002C2608" w:rsidRPr="002C2608" w:rsidRDefault="002C2608" w:rsidP="002C2608">
      <w:pPr>
        <w:rPr>
          <w:rFonts w:ascii="Times New Roman" w:hAnsi="Times New Roman" w:cs="Times New Roman"/>
          <w:sz w:val="24"/>
          <w:szCs w:val="24"/>
        </w:rPr>
      </w:pPr>
      <w:r w:rsidRPr="002C2608">
        <w:rPr>
          <w:rFonts w:ascii="Times New Roman" w:hAnsi="Times New Roman" w:cs="Times New Roman"/>
          <w:sz w:val="24"/>
          <w:szCs w:val="24"/>
        </w:rPr>
        <w:t>1.3.3. Hong Kong;</w:t>
      </w:r>
    </w:p>
    <w:p w14:paraId="1844A9AE" w14:textId="77777777" w:rsidR="002C2608" w:rsidRPr="002C2608" w:rsidRDefault="002C2608" w:rsidP="002C2608">
      <w:pPr>
        <w:rPr>
          <w:rFonts w:ascii="Times New Roman" w:hAnsi="Times New Roman" w:cs="Times New Roman"/>
          <w:sz w:val="24"/>
          <w:szCs w:val="24"/>
        </w:rPr>
      </w:pPr>
      <w:r w:rsidRPr="002C2608">
        <w:rPr>
          <w:rFonts w:ascii="Times New Roman" w:hAnsi="Times New Roman" w:cs="Times New Roman"/>
          <w:sz w:val="24"/>
          <w:szCs w:val="24"/>
        </w:rPr>
        <w:t>1.3.4. Japonia;</w:t>
      </w:r>
    </w:p>
    <w:p w14:paraId="1D2E313C" w14:textId="77777777" w:rsidR="002C2608" w:rsidRPr="002C2608" w:rsidRDefault="002C2608" w:rsidP="002C2608">
      <w:pPr>
        <w:rPr>
          <w:rFonts w:ascii="Times New Roman" w:hAnsi="Times New Roman" w:cs="Times New Roman"/>
          <w:sz w:val="24"/>
          <w:szCs w:val="24"/>
        </w:rPr>
      </w:pPr>
      <w:r w:rsidRPr="002C2608">
        <w:rPr>
          <w:rFonts w:ascii="Times New Roman" w:hAnsi="Times New Roman" w:cs="Times New Roman"/>
          <w:sz w:val="24"/>
          <w:szCs w:val="24"/>
        </w:rPr>
        <w:t>1.3.5. Mexic;</w:t>
      </w:r>
    </w:p>
    <w:p w14:paraId="1023870B" w14:textId="77777777" w:rsidR="002C2608" w:rsidRPr="002C2608" w:rsidRDefault="002C2608" w:rsidP="002C2608">
      <w:pPr>
        <w:rPr>
          <w:rFonts w:ascii="Times New Roman" w:hAnsi="Times New Roman" w:cs="Times New Roman"/>
          <w:sz w:val="24"/>
          <w:szCs w:val="24"/>
        </w:rPr>
      </w:pPr>
      <w:r w:rsidRPr="002C2608">
        <w:rPr>
          <w:rFonts w:ascii="Times New Roman" w:hAnsi="Times New Roman" w:cs="Times New Roman"/>
          <w:sz w:val="24"/>
          <w:szCs w:val="24"/>
        </w:rPr>
        <w:t>1.3.6. Noua Zeelandă;</w:t>
      </w:r>
    </w:p>
    <w:p w14:paraId="3E0065F9" w14:textId="77777777" w:rsidR="002C2608" w:rsidRPr="002C2608" w:rsidRDefault="002C2608" w:rsidP="002C2608">
      <w:pPr>
        <w:rPr>
          <w:rFonts w:ascii="Times New Roman" w:hAnsi="Times New Roman" w:cs="Times New Roman"/>
          <w:sz w:val="24"/>
          <w:szCs w:val="24"/>
        </w:rPr>
      </w:pPr>
      <w:r w:rsidRPr="002C2608">
        <w:rPr>
          <w:rFonts w:ascii="Times New Roman" w:hAnsi="Times New Roman" w:cs="Times New Roman"/>
          <w:sz w:val="24"/>
          <w:szCs w:val="24"/>
        </w:rPr>
        <w:t>1.3.7. Singapore;</w:t>
      </w:r>
    </w:p>
    <w:p w14:paraId="3054C50B" w14:textId="77777777" w:rsidR="002C2608" w:rsidRPr="002C2608" w:rsidRDefault="002C2608" w:rsidP="002C2608">
      <w:pPr>
        <w:rPr>
          <w:rFonts w:ascii="Times New Roman" w:hAnsi="Times New Roman" w:cs="Times New Roman"/>
          <w:sz w:val="24"/>
          <w:szCs w:val="24"/>
        </w:rPr>
      </w:pPr>
      <w:r w:rsidRPr="002C2608">
        <w:rPr>
          <w:rFonts w:ascii="Times New Roman" w:hAnsi="Times New Roman" w:cs="Times New Roman"/>
          <w:sz w:val="24"/>
          <w:szCs w:val="24"/>
        </w:rPr>
        <w:t xml:space="preserve">1.3.8. </w:t>
      </w:r>
      <w:proofErr w:type="spellStart"/>
      <w:r w:rsidRPr="002C2608">
        <w:rPr>
          <w:rFonts w:ascii="Times New Roman" w:hAnsi="Times New Roman" w:cs="Times New Roman"/>
          <w:sz w:val="24"/>
          <w:szCs w:val="24"/>
        </w:rPr>
        <w:t>Elveţia</w:t>
      </w:r>
      <w:proofErr w:type="spellEnd"/>
      <w:r w:rsidRPr="002C2608">
        <w:rPr>
          <w:rFonts w:ascii="Times New Roman" w:hAnsi="Times New Roman" w:cs="Times New Roman"/>
          <w:sz w:val="24"/>
          <w:szCs w:val="24"/>
        </w:rPr>
        <w:t>;</w:t>
      </w:r>
    </w:p>
    <w:p w14:paraId="3F180AB1" w14:textId="77777777" w:rsidR="002C2608" w:rsidRPr="002C2608" w:rsidRDefault="002C2608" w:rsidP="002C2608">
      <w:pPr>
        <w:rPr>
          <w:rFonts w:ascii="Times New Roman" w:hAnsi="Times New Roman" w:cs="Times New Roman"/>
          <w:sz w:val="24"/>
          <w:szCs w:val="24"/>
        </w:rPr>
      </w:pPr>
      <w:r w:rsidRPr="002C2608">
        <w:rPr>
          <w:rFonts w:ascii="Times New Roman" w:hAnsi="Times New Roman" w:cs="Times New Roman"/>
          <w:sz w:val="24"/>
          <w:szCs w:val="24"/>
        </w:rPr>
        <w:t>1.3.9. Regatul Unit;</w:t>
      </w:r>
    </w:p>
    <w:p w14:paraId="347A4BD3" w14:textId="185EFE06" w:rsidR="002C2608" w:rsidRDefault="002C2608" w:rsidP="002C2608">
      <w:pPr>
        <w:rPr>
          <w:rFonts w:ascii="Times New Roman" w:hAnsi="Times New Roman" w:cs="Times New Roman"/>
          <w:sz w:val="24"/>
          <w:szCs w:val="24"/>
        </w:rPr>
      </w:pPr>
      <w:r w:rsidRPr="002C2608">
        <w:rPr>
          <w:rFonts w:ascii="Times New Roman" w:hAnsi="Times New Roman" w:cs="Times New Roman"/>
          <w:sz w:val="24"/>
          <w:szCs w:val="24"/>
        </w:rPr>
        <w:t>1.3.10. Statele Unite ale Americii.</w:t>
      </w:r>
    </w:p>
    <w:p w14:paraId="1F3A71AB" w14:textId="73A4F059" w:rsidR="002C2608" w:rsidRDefault="002C2608" w:rsidP="002C2608">
      <w:pPr>
        <w:rPr>
          <w:rFonts w:ascii="Times New Roman" w:hAnsi="Times New Roman" w:cs="Times New Roman"/>
          <w:sz w:val="24"/>
          <w:szCs w:val="24"/>
        </w:rPr>
      </w:pPr>
      <w:r w:rsidRPr="002C2608">
        <w:rPr>
          <w:rFonts w:ascii="Times New Roman" w:hAnsi="Times New Roman" w:cs="Times New Roman"/>
          <w:sz w:val="24"/>
          <w:szCs w:val="24"/>
        </w:rPr>
        <w:t xml:space="preserve">2. În scopul specificării ponderilor de risc pentru </w:t>
      </w:r>
      <w:proofErr w:type="spellStart"/>
      <w:r w:rsidRPr="002C2608">
        <w:rPr>
          <w:rFonts w:ascii="Times New Roman" w:hAnsi="Times New Roman" w:cs="Times New Roman"/>
          <w:sz w:val="24"/>
          <w:szCs w:val="24"/>
        </w:rPr>
        <w:t>sensibilităţile</w:t>
      </w:r>
      <w:proofErr w:type="spellEnd"/>
      <w:r w:rsidRPr="002C2608">
        <w:rPr>
          <w:rFonts w:ascii="Times New Roman" w:hAnsi="Times New Roman" w:cs="Times New Roman"/>
          <w:sz w:val="24"/>
          <w:szCs w:val="24"/>
        </w:rPr>
        <w:t xml:space="preserve"> la factori de risc de devalorizare a titlurilor de capital și de risc de rată </w:t>
      </w:r>
      <w:proofErr w:type="spellStart"/>
      <w:r w:rsidRPr="002C2608">
        <w:rPr>
          <w:rFonts w:ascii="Times New Roman" w:hAnsi="Times New Roman" w:cs="Times New Roman"/>
          <w:sz w:val="24"/>
          <w:szCs w:val="24"/>
        </w:rPr>
        <w:t>repo</w:t>
      </w:r>
      <w:proofErr w:type="spellEnd"/>
      <w:r w:rsidRPr="002C2608">
        <w:rPr>
          <w:rFonts w:ascii="Times New Roman" w:hAnsi="Times New Roman" w:cs="Times New Roman"/>
          <w:sz w:val="24"/>
          <w:szCs w:val="24"/>
        </w:rPr>
        <w:t xml:space="preserve"> a titlurilor de capital în temeiul titlului II, capitolul II, secțiunea 6, subsecțiunea 1, paragraful 12, </w:t>
      </w:r>
      <w:proofErr w:type="spellStart"/>
      <w:r w:rsidRPr="002C2608">
        <w:rPr>
          <w:rFonts w:ascii="Times New Roman" w:hAnsi="Times New Roman" w:cs="Times New Roman"/>
          <w:sz w:val="24"/>
          <w:szCs w:val="24"/>
        </w:rPr>
        <w:t>ţările</w:t>
      </w:r>
      <w:proofErr w:type="spellEnd"/>
      <w:r w:rsidRPr="002C2608">
        <w:rPr>
          <w:rFonts w:ascii="Times New Roman" w:hAnsi="Times New Roman" w:cs="Times New Roman"/>
          <w:sz w:val="24"/>
          <w:szCs w:val="24"/>
        </w:rPr>
        <w:t xml:space="preserve"> care nu sunt enumerate la pct.1 constituie economii emergente.</w:t>
      </w:r>
    </w:p>
    <w:p w14:paraId="478D8BEE" w14:textId="77777777" w:rsidR="00514F2B" w:rsidRDefault="00514F2B" w:rsidP="002C2608">
      <w:pPr>
        <w:rPr>
          <w:rFonts w:ascii="Times New Roman" w:hAnsi="Times New Roman" w:cs="Times New Roman"/>
          <w:sz w:val="24"/>
          <w:szCs w:val="24"/>
        </w:rPr>
      </w:pPr>
    </w:p>
    <w:p w14:paraId="11B576C9" w14:textId="77777777" w:rsidR="00514F2B" w:rsidRDefault="00514F2B" w:rsidP="002C2608">
      <w:pPr>
        <w:rPr>
          <w:rFonts w:ascii="Times New Roman" w:hAnsi="Times New Roman" w:cs="Times New Roman"/>
          <w:sz w:val="24"/>
          <w:szCs w:val="24"/>
        </w:rPr>
      </w:pPr>
    </w:p>
    <w:p w14:paraId="40E46D9E" w14:textId="77777777" w:rsidR="00514F2B" w:rsidRDefault="00514F2B" w:rsidP="002C2608">
      <w:pPr>
        <w:rPr>
          <w:rFonts w:ascii="Times New Roman" w:hAnsi="Times New Roman" w:cs="Times New Roman"/>
          <w:sz w:val="24"/>
          <w:szCs w:val="24"/>
        </w:rPr>
      </w:pPr>
    </w:p>
    <w:p w14:paraId="4BBF3249" w14:textId="77777777" w:rsidR="00514F2B" w:rsidRDefault="00514F2B" w:rsidP="002C2608">
      <w:pPr>
        <w:rPr>
          <w:rFonts w:ascii="Times New Roman" w:hAnsi="Times New Roman" w:cs="Times New Roman"/>
          <w:sz w:val="24"/>
          <w:szCs w:val="24"/>
        </w:rPr>
      </w:pPr>
    </w:p>
    <w:p w14:paraId="6795982E" w14:textId="77777777" w:rsidR="00514F2B" w:rsidRDefault="00514F2B" w:rsidP="002C2608">
      <w:pPr>
        <w:rPr>
          <w:rFonts w:ascii="Times New Roman" w:hAnsi="Times New Roman" w:cs="Times New Roman"/>
          <w:sz w:val="24"/>
          <w:szCs w:val="24"/>
        </w:rPr>
      </w:pPr>
    </w:p>
    <w:p w14:paraId="11F12587" w14:textId="77777777" w:rsidR="00514F2B" w:rsidRDefault="00514F2B" w:rsidP="002C2608">
      <w:pPr>
        <w:rPr>
          <w:rFonts w:ascii="Times New Roman" w:hAnsi="Times New Roman" w:cs="Times New Roman"/>
          <w:sz w:val="24"/>
          <w:szCs w:val="24"/>
        </w:rPr>
      </w:pPr>
    </w:p>
    <w:p w14:paraId="146B3379" w14:textId="77777777" w:rsidR="00514F2B" w:rsidRDefault="00514F2B" w:rsidP="002C2608">
      <w:pPr>
        <w:rPr>
          <w:rFonts w:ascii="Times New Roman" w:hAnsi="Times New Roman" w:cs="Times New Roman"/>
          <w:sz w:val="24"/>
          <w:szCs w:val="24"/>
        </w:rPr>
      </w:pPr>
    </w:p>
    <w:p w14:paraId="568E4512" w14:textId="77777777" w:rsidR="00E44A8E" w:rsidRDefault="00E44A8E" w:rsidP="00C755B4">
      <w:pPr>
        <w:ind w:left="4253"/>
        <w:rPr>
          <w:rFonts w:ascii="Times New Roman" w:hAnsi="Times New Roman" w:cs="Times New Roman"/>
          <w:bCs/>
          <w:sz w:val="24"/>
          <w:szCs w:val="24"/>
        </w:rPr>
      </w:pPr>
      <w:bookmarkStart w:id="110" w:name="_Hlk188368218"/>
    </w:p>
    <w:p w14:paraId="1EB5446E" w14:textId="2F2C6E3F" w:rsidR="00514F2B" w:rsidRPr="00514F2B" w:rsidRDefault="00514F2B" w:rsidP="00C755B4">
      <w:pPr>
        <w:ind w:left="4253"/>
        <w:rPr>
          <w:rFonts w:ascii="Times New Roman" w:hAnsi="Times New Roman" w:cs="Times New Roman"/>
          <w:bCs/>
          <w:sz w:val="24"/>
          <w:szCs w:val="24"/>
        </w:rPr>
      </w:pPr>
      <w:r w:rsidRPr="00514F2B">
        <w:rPr>
          <w:rFonts w:ascii="Times New Roman" w:hAnsi="Times New Roman" w:cs="Times New Roman"/>
          <w:bCs/>
          <w:sz w:val="24"/>
          <w:szCs w:val="24"/>
        </w:rPr>
        <w:lastRenderedPageBreak/>
        <w:t>Anexa nr.</w:t>
      </w:r>
      <w:r w:rsidR="001C6EF5">
        <w:rPr>
          <w:rFonts w:ascii="Times New Roman" w:hAnsi="Times New Roman" w:cs="Times New Roman"/>
          <w:bCs/>
          <w:sz w:val="24"/>
          <w:szCs w:val="24"/>
        </w:rPr>
        <w:t>4</w:t>
      </w:r>
      <w:r w:rsidRPr="00514F2B">
        <w:rPr>
          <w:rFonts w:ascii="Times New Roman" w:hAnsi="Times New Roman" w:cs="Times New Roman"/>
          <w:bCs/>
          <w:sz w:val="24"/>
          <w:szCs w:val="24"/>
        </w:rPr>
        <w:t xml:space="preserve"> la Regulamentul privind </w:t>
      </w:r>
      <w:bookmarkStart w:id="111" w:name="_Hlk192851899"/>
      <w:r w:rsidRPr="00514F2B">
        <w:rPr>
          <w:rFonts w:ascii="Times New Roman" w:hAnsi="Times New Roman" w:cs="Times New Roman"/>
          <w:bCs/>
          <w:sz w:val="24"/>
          <w:szCs w:val="24"/>
        </w:rPr>
        <w:t xml:space="preserve">cerințe de fonduri proprii pentru riscul </w:t>
      </w:r>
      <w:bookmarkEnd w:id="110"/>
      <w:bookmarkEnd w:id="111"/>
      <w:r w:rsidRPr="00514F2B">
        <w:rPr>
          <w:rFonts w:ascii="Times New Roman" w:hAnsi="Times New Roman" w:cs="Times New Roman"/>
          <w:bCs/>
          <w:sz w:val="24"/>
          <w:szCs w:val="24"/>
        </w:rPr>
        <w:t xml:space="preserve">de </w:t>
      </w:r>
      <w:r w:rsidRPr="00514F2B">
        <w:rPr>
          <w:rFonts w:ascii="Times New Roman" w:hAnsi="Times New Roman" w:cs="Times New Roman"/>
          <w:bCs/>
          <w:sz w:val="24"/>
          <w:szCs w:val="24"/>
          <w:lang w:val="ro-RO"/>
        </w:rPr>
        <w:t>piață</w:t>
      </w:r>
      <w:r w:rsidRPr="00514F2B">
        <w:rPr>
          <w:rFonts w:ascii="Times New Roman" w:hAnsi="Times New Roman" w:cs="Times New Roman"/>
          <w:bCs/>
          <w:sz w:val="24"/>
          <w:szCs w:val="24"/>
        </w:rPr>
        <w:t xml:space="preserve">, aprobat prin Hotărârea Comitetului executiv al Băncii Naționale a Moldovei  </w:t>
      </w:r>
      <w:proofErr w:type="spellStart"/>
      <w:r w:rsidRPr="00514F2B">
        <w:rPr>
          <w:rFonts w:ascii="Times New Roman" w:hAnsi="Times New Roman" w:cs="Times New Roman"/>
          <w:bCs/>
          <w:sz w:val="24"/>
          <w:szCs w:val="24"/>
        </w:rPr>
        <w:t>nr.XX</w:t>
      </w:r>
      <w:proofErr w:type="spellEnd"/>
      <w:r w:rsidRPr="00514F2B">
        <w:rPr>
          <w:rFonts w:ascii="Times New Roman" w:hAnsi="Times New Roman" w:cs="Times New Roman"/>
          <w:bCs/>
          <w:sz w:val="24"/>
          <w:szCs w:val="24"/>
        </w:rPr>
        <w:t>/2025</w:t>
      </w:r>
    </w:p>
    <w:p w14:paraId="43565945" w14:textId="7A385C64" w:rsidR="00514F2B" w:rsidRDefault="00514F2B" w:rsidP="00C755B4">
      <w:pPr>
        <w:jc w:val="center"/>
        <w:rPr>
          <w:rFonts w:ascii="Times New Roman" w:hAnsi="Times New Roman" w:cs="Times New Roman"/>
          <w:sz w:val="24"/>
          <w:szCs w:val="24"/>
        </w:rPr>
      </w:pPr>
      <w:r w:rsidRPr="00514F2B">
        <w:rPr>
          <w:rFonts w:ascii="Times New Roman" w:hAnsi="Times New Roman" w:cs="Times New Roman"/>
          <w:b/>
          <w:sz w:val="24"/>
          <w:szCs w:val="24"/>
        </w:rPr>
        <w:t>Orizonturile de lichiditate pentru abordarea bazată pe modele interne alternativă</w:t>
      </w:r>
    </w:p>
    <w:p w14:paraId="4B9DA7BA" w14:textId="1212F7CD" w:rsidR="00514F2B" w:rsidRPr="009323B5" w:rsidRDefault="00514F2B" w:rsidP="002C2608">
      <w:pPr>
        <w:rPr>
          <w:rFonts w:ascii="Times New Roman" w:hAnsi="Times New Roman" w:cs="Times New Roman"/>
          <w:b/>
          <w:bCs/>
          <w:sz w:val="24"/>
          <w:szCs w:val="24"/>
        </w:rPr>
      </w:pPr>
      <w:r w:rsidRPr="00CC1E9B">
        <w:rPr>
          <w:rFonts w:ascii="Times New Roman" w:hAnsi="Times New Roman" w:cs="Times New Roman"/>
          <w:b/>
          <w:bCs/>
          <w:sz w:val="24"/>
          <w:szCs w:val="24"/>
        </w:rPr>
        <w:t>Secțiunea 1.</w:t>
      </w:r>
      <w:r w:rsidRPr="00CC1E9B">
        <w:rPr>
          <w:rFonts w:ascii="Times New Roman" w:hAnsi="Times New Roman" w:cs="Times New Roman"/>
          <w:b/>
          <w:bCs/>
          <w:i/>
          <w:iCs/>
          <w:sz w:val="24"/>
          <w:szCs w:val="24"/>
        </w:rPr>
        <w:t xml:space="preserve"> </w:t>
      </w:r>
      <w:r w:rsidRPr="009323B5">
        <w:rPr>
          <w:rFonts w:ascii="Times New Roman" w:hAnsi="Times New Roman" w:cs="Times New Roman"/>
          <w:b/>
          <w:bCs/>
          <w:sz w:val="24"/>
          <w:szCs w:val="24"/>
        </w:rPr>
        <w:t>Încadrarea factorilor de risc</w:t>
      </w:r>
    </w:p>
    <w:p w14:paraId="5F5313B1" w14:textId="3BEE4937" w:rsidR="00514F2B" w:rsidRPr="00CC1E9B" w:rsidRDefault="00514F2B" w:rsidP="002C2608">
      <w:pPr>
        <w:rPr>
          <w:rFonts w:ascii="Times New Roman" w:hAnsi="Times New Roman" w:cs="Times New Roman"/>
          <w:b/>
          <w:bCs/>
          <w:i/>
          <w:iCs/>
          <w:sz w:val="24"/>
          <w:szCs w:val="24"/>
        </w:rPr>
      </w:pPr>
      <w:r w:rsidRPr="00CC1E9B">
        <w:rPr>
          <w:rFonts w:ascii="Times New Roman" w:hAnsi="Times New Roman" w:cs="Times New Roman"/>
          <w:b/>
          <w:bCs/>
          <w:i/>
          <w:iCs/>
          <w:sz w:val="24"/>
          <w:szCs w:val="24"/>
        </w:rPr>
        <w:t>Subsecțiunea 1. Metodologia generală</w:t>
      </w:r>
    </w:p>
    <w:p w14:paraId="2B5D9439" w14:textId="77777777" w:rsidR="00514F2B" w:rsidRPr="00514F2B" w:rsidRDefault="00514F2B" w:rsidP="00514F2B">
      <w:pPr>
        <w:rPr>
          <w:rFonts w:ascii="Times New Roman" w:hAnsi="Times New Roman" w:cs="Times New Roman"/>
          <w:sz w:val="24"/>
          <w:szCs w:val="24"/>
        </w:rPr>
      </w:pPr>
      <w:r w:rsidRPr="00514F2B">
        <w:rPr>
          <w:rFonts w:ascii="Times New Roman" w:hAnsi="Times New Roman" w:cs="Times New Roman"/>
          <w:sz w:val="24"/>
          <w:szCs w:val="24"/>
        </w:rPr>
        <w:t>1. La încadrarea factorilor de risc în categoriile generale de factori de risc menționate în tabelul 2 de la pct.361 din Regulamentul privind cerințe de fonduri proprii pentru riscul de piață, băncile încadrează fiecare factor de risc în cea mai adecvată categorie generală de factori de risc, având în vedere natura riscului reflectat de factorul de risc și datele de intrare utilizate pentru factorul de risc în modelul de măsurare a riscului.</w:t>
      </w:r>
    </w:p>
    <w:p w14:paraId="368D13E2" w14:textId="400C09AD" w:rsidR="00514F2B" w:rsidRDefault="00514F2B" w:rsidP="00514F2B">
      <w:pPr>
        <w:rPr>
          <w:rFonts w:ascii="Times New Roman" w:hAnsi="Times New Roman" w:cs="Times New Roman"/>
          <w:sz w:val="24"/>
          <w:szCs w:val="24"/>
        </w:rPr>
      </w:pPr>
      <w:r w:rsidRPr="00514F2B">
        <w:rPr>
          <w:rFonts w:ascii="Times New Roman" w:hAnsi="Times New Roman" w:cs="Times New Roman"/>
          <w:sz w:val="24"/>
          <w:szCs w:val="24"/>
        </w:rPr>
        <w:t>2. La încadrarea factorilor de risc în subcategoriile generale de factori de risc ale categoriilor generale de factori de risc menționate în tabelul respectiv, băncile încadrează fiecare factor de risc în cea mai adecvată subcategorie generală de factori de risc a categoriei generale de factori de risc în cauză, având în vedere natura riscului reflectat de factorul de risc și datele de intrare utilizate pentru factorul de risc în modelul de măsurare a riscului.</w:t>
      </w:r>
    </w:p>
    <w:p w14:paraId="4B9CBAC9" w14:textId="6EA60A55" w:rsidR="00514F2B" w:rsidRDefault="00514F2B" w:rsidP="00514F2B">
      <w:pPr>
        <w:rPr>
          <w:rFonts w:ascii="Times New Roman" w:hAnsi="Times New Roman" w:cs="Times New Roman"/>
          <w:sz w:val="24"/>
          <w:szCs w:val="24"/>
        </w:rPr>
      </w:pPr>
      <w:r w:rsidRPr="00514F2B">
        <w:rPr>
          <w:rFonts w:ascii="Times New Roman" w:hAnsi="Times New Roman" w:cs="Times New Roman"/>
          <w:sz w:val="24"/>
          <w:szCs w:val="24"/>
        </w:rPr>
        <w:t>3. În sensul pct.1-2, în cazul în care natura factorului de risc nu corespunde niciunei categorii generale de factori de risc menționate în tabelul 2 de la pct.361 din Regulamentul privind cerințe de fonduri proprii pentru riscul de piață, băncile încadrează factorul de risc respectiv în categoria generală de factori de risc „Marfă” din tabel și în subcategoria generală de factori de risc „Alte tipuri” a categoriei respective.</w:t>
      </w:r>
    </w:p>
    <w:p w14:paraId="4BDEF6CE" w14:textId="77777777" w:rsidR="00514F2B" w:rsidRPr="00514F2B" w:rsidRDefault="00514F2B" w:rsidP="00514F2B">
      <w:pPr>
        <w:rPr>
          <w:rFonts w:ascii="Times New Roman" w:hAnsi="Times New Roman" w:cs="Times New Roman"/>
          <w:b/>
          <w:sz w:val="24"/>
          <w:szCs w:val="24"/>
        </w:rPr>
      </w:pPr>
      <w:r w:rsidRPr="00514F2B">
        <w:rPr>
          <w:rFonts w:ascii="Times New Roman" w:hAnsi="Times New Roman" w:cs="Times New Roman"/>
          <w:sz w:val="24"/>
          <w:szCs w:val="24"/>
        </w:rPr>
        <w:t>4. În sensulpct.1-2, în cazul unui factor de risc care ar putea fi încadrat în mai multe categorii generale de factori de risc sau subcategorii generale de factori de risc, băncile identifică toate categoriile și subcategoriile corespunzătoare respective.</w:t>
      </w:r>
    </w:p>
    <w:p w14:paraId="43AF0C2F" w14:textId="77777777" w:rsidR="00514F2B" w:rsidRPr="00514F2B" w:rsidRDefault="00514F2B" w:rsidP="00514F2B">
      <w:pPr>
        <w:rPr>
          <w:rFonts w:ascii="Times New Roman" w:hAnsi="Times New Roman" w:cs="Times New Roman"/>
          <w:b/>
          <w:sz w:val="24"/>
          <w:szCs w:val="24"/>
        </w:rPr>
      </w:pPr>
      <w:r w:rsidRPr="00514F2B">
        <w:rPr>
          <w:rFonts w:ascii="Times New Roman" w:hAnsi="Times New Roman" w:cs="Times New Roman"/>
          <w:sz w:val="24"/>
          <w:szCs w:val="24"/>
        </w:rPr>
        <w:t>5. Dintre respectivele categorii generale de factori de risc sau subcategorii generale corespunzătoare de factori de risc, factorul de risc este încadrat în categoria generală de factori de risc și în subcategoria generală de factori de risc corespunzătoare care au orizontul de lichiditate cel mai lung.</w:t>
      </w:r>
    </w:p>
    <w:p w14:paraId="0379BDB9" w14:textId="2D734EA0" w:rsidR="00514F2B" w:rsidRDefault="00514F2B" w:rsidP="00514F2B">
      <w:pPr>
        <w:rPr>
          <w:rFonts w:ascii="Times New Roman" w:hAnsi="Times New Roman" w:cs="Times New Roman"/>
          <w:sz w:val="24"/>
          <w:szCs w:val="24"/>
        </w:rPr>
      </w:pPr>
      <w:r w:rsidRPr="00514F2B">
        <w:rPr>
          <w:rFonts w:ascii="Times New Roman" w:hAnsi="Times New Roman" w:cs="Times New Roman"/>
          <w:sz w:val="24"/>
          <w:szCs w:val="24"/>
        </w:rPr>
        <w:t>6. În cazul în care mai multe categorii generale de factori de risc sau subcategorii generale corespunzătoare de factori de risc au același orizont de lichiditate cel mai lung, factorul de risc poate fi încadrat în oricare dintre respectivele categorii generale de factori de risc și subcategorii generale de factori de risc corespunzătoare.</w:t>
      </w:r>
    </w:p>
    <w:p w14:paraId="44921CA3" w14:textId="72DCD397" w:rsidR="00514F2B" w:rsidRPr="00CC1E9B" w:rsidRDefault="00514F2B" w:rsidP="00514F2B">
      <w:pPr>
        <w:rPr>
          <w:rFonts w:ascii="Times New Roman" w:hAnsi="Times New Roman" w:cs="Times New Roman"/>
          <w:b/>
          <w:bCs/>
          <w:i/>
          <w:iCs/>
          <w:sz w:val="24"/>
          <w:szCs w:val="24"/>
        </w:rPr>
      </w:pPr>
      <w:r w:rsidRPr="00CC1E9B">
        <w:rPr>
          <w:rFonts w:ascii="Times New Roman" w:hAnsi="Times New Roman" w:cs="Times New Roman"/>
          <w:b/>
          <w:bCs/>
          <w:i/>
          <w:iCs/>
          <w:sz w:val="24"/>
          <w:szCs w:val="24"/>
        </w:rPr>
        <w:t>Subsecțiunea 2.  Metodologia specifică pentru instrumentele-indice omogene</w:t>
      </w:r>
    </w:p>
    <w:p w14:paraId="67F2AD12" w14:textId="77777777" w:rsidR="00514F2B" w:rsidRPr="00514F2B" w:rsidRDefault="00514F2B" w:rsidP="00514F2B">
      <w:pPr>
        <w:rPr>
          <w:rFonts w:ascii="Times New Roman" w:hAnsi="Times New Roman" w:cs="Times New Roman"/>
          <w:b/>
          <w:sz w:val="24"/>
          <w:szCs w:val="24"/>
        </w:rPr>
      </w:pPr>
      <w:r w:rsidRPr="00514F2B">
        <w:rPr>
          <w:rFonts w:ascii="Times New Roman" w:hAnsi="Times New Roman" w:cs="Times New Roman"/>
          <w:sz w:val="24"/>
          <w:szCs w:val="24"/>
        </w:rPr>
        <w:t>7. Prin derogare de la subsecțiunea 1, în cazul în care o bancă reprezintă o poziție pe un instrument-indice omogen ca un singur factor de risc în modelul său de măsurare a riscului, banca poate alege să încadreze factorul de risc în conformitate cu metodologia prevăzută la pct.9.</w:t>
      </w:r>
    </w:p>
    <w:p w14:paraId="63E68871" w14:textId="77777777" w:rsidR="00514F2B" w:rsidRPr="00514F2B" w:rsidRDefault="00514F2B" w:rsidP="00514F2B">
      <w:pPr>
        <w:rPr>
          <w:rFonts w:ascii="Times New Roman" w:hAnsi="Times New Roman" w:cs="Times New Roman"/>
          <w:sz w:val="24"/>
          <w:szCs w:val="24"/>
        </w:rPr>
      </w:pPr>
      <w:r w:rsidRPr="00514F2B">
        <w:rPr>
          <w:rFonts w:ascii="Times New Roman" w:hAnsi="Times New Roman" w:cs="Times New Roman"/>
          <w:sz w:val="24"/>
          <w:szCs w:val="24"/>
        </w:rPr>
        <w:t>8. În sensul prezentei subsecțiuni, un „indice omogen” înseamnă un indice care are una dintre următoarele compoziții:</w:t>
      </w:r>
    </w:p>
    <w:p w14:paraId="1E0D4F63" w14:textId="77777777" w:rsidR="00514F2B" w:rsidRPr="00514F2B" w:rsidRDefault="00514F2B" w:rsidP="00514F2B">
      <w:pPr>
        <w:rPr>
          <w:rFonts w:ascii="Times New Roman" w:hAnsi="Times New Roman" w:cs="Times New Roman"/>
          <w:b/>
          <w:sz w:val="24"/>
          <w:szCs w:val="24"/>
        </w:rPr>
      </w:pPr>
      <w:r w:rsidRPr="00514F2B">
        <w:rPr>
          <w:rFonts w:ascii="Times New Roman" w:hAnsi="Times New Roman" w:cs="Times New Roman"/>
          <w:sz w:val="24"/>
          <w:szCs w:val="24"/>
        </w:rPr>
        <w:t>8.1. titluri de capital sau alți indici compuși numai din titluri de capital;</w:t>
      </w:r>
    </w:p>
    <w:p w14:paraId="7FAB57DC" w14:textId="77777777" w:rsidR="00514F2B" w:rsidRPr="00514F2B" w:rsidRDefault="00514F2B" w:rsidP="00514F2B">
      <w:pPr>
        <w:rPr>
          <w:rFonts w:ascii="Times New Roman" w:hAnsi="Times New Roman" w:cs="Times New Roman"/>
          <w:b/>
          <w:sz w:val="24"/>
          <w:szCs w:val="24"/>
        </w:rPr>
      </w:pPr>
      <w:r w:rsidRPr="00514F2B">
        <w:rPr>
          <w:rFonts w:ascii="Times New Roman" w:hAnsi="Times New Roman" w:cs="Times New Roman"/>
          <w:sz w:val="24"/>
          <w:szCs w:val="24"/>
        </w:rPr>
        <w:t>8.2. obligațiuni sau alți indici compuși numai din obligațiuni;</w:t>
      </w:r>
    </w:p>
    <w:p w14:paraId="6B569D63" w14:textId="77777777" w:rsidR="00514F2B" w:rsidRPr="00514F2B" w:rsidRDefault="00514F2B" w:rsidP="00514F2B">
      <w:pPr>
        <w:rPr>
          <w:rFonts w:ascii="Times New Roman" w:hAnsi="Times New Roman" w:cs="Times New Roman"/>
          <w:b/>
          <w:sz w:val="24"/>
          <w:szCs w:val="24"/>
        </w:rPr>
      </w:pPr>
      <w:r w:rsidRPr="00514F2B">
        <w:rPr>
          <w:rFonts w:ascii="Times New Roman" w:hAnsi="Times New Roman" w:cs="Times New Roman"/>
          <w:sz w:val="24"/>
          <w:szCs w:val="24"/>
        </w:rPr>
        <w:t xml:space="preserve">8.3. instrumente de tip credit </w:t>
      </w:r>
      <w:proofErr w:type="spellStart"/>
      <w:r w:rsidRPr="00514F2B">
        <w:rPr>
          <w:rFonts w:ascii="Times New Roman" w:hAnsi="Times New Roman" w:cs="Times New Roman"/>
          <w:sz w:val="24"/>
          <w:szCs w:val="24"/>
        </w:rPr>
        <w:t>default</w:t>
      </w:r>
      <w:proofErr w:type="spellEnd"/>
      <w:r w:rsidRPr="00514F2B">
        <w:rPr>
          <w:rFonts w:ascii="Times New Roman" w:hAnsi="Times New Roman" w:cs="Times New Roman"/>
          <w:sz w:val="24"/>
          <w:szCs w:val="24"/>
        </w:rPr>
        <w:t xml:space="preserve"> </w:t>
      </w:r>
      <w:proofErr w:type="spellStart"/>
      <w:r w:rsidRPr="00514F2B">
        <w:rPr>
          <w:rFonts w:ascii="Times New Roman" w:hAnsi="Times New Roman" w:cs="Times New Roman"/>
          <w:sz w:val="24"/>
          <w:szCs w:val="24"/>
        </w:rPr>
        <w:t>swap</w:t>
      </w:r>
      <w:proofErr w:type="spellEnd"/>
      <w:r w:rsidRPr="00514F2B">
        <w:rPr>
          <w:rFonts w:ascii="Times New Roman" w:hAnsi="Times New Roman" w:cs="Times New Roman"/>
          <w:sz w:val="24"/>
          <w:szCs w:val="24"/>
        </w:rPr>
        <w:t xml:space="preserve"> sau alți indici compuși numai din instrumente de tip credit </w:t>
      </w:r>
      <w:proofErr w:type="spellStart"/>
      <w:r w:rsidRPr="00514F2B">
        <w:rPr>
          <w:rFonts w:ascii="Times New Roman" w:hAnsi="Times New Roman" w:cs="Times New Roman"/>
          <w:sz w:val="24"/>
          <w:szCs w:val="24"/>
        </w:rPr>
        <w:t>default</w:t>
      </w:r>
      <w:proofErr w:type="spellEnd"/>
      <w:r w:rsidRPr="00514F2B">
        <w:rPr>
          <w:rFonts w:ascii="Times New Roman" w:hAnsi="Times New Roman" w:cs="Times New Roman"/>
          <w:sz w:val="24"/>
          <w:szCs w:val="24"/>
        </w:rPr>
        <w:t xml:space="preserve"> </w:t>
      </w:r>
      <w:proofErr w:type="spellStart"/>
      <w:r w:rsidRPr="00514F2B">
        <w:rPr>
          <w:rFonts w:ascii="Times New Roman" w:hAnsi="Times New Roman" w:cs="Times New Roman"/>
          <w:sz w:val="24"/>
          <w:szCs w:val="24"/>
        </w:rPr>
        <w:t>swap</w:t>
      </w:r>
      <w:proofErr w:type="spellEnd"/>
      <w:r w:rsidRPr="00514F2B">
        <w:rPr>
          <w:rFonts w:ascii="Times New Roman" w:hAnsi="Times New Roman" w:cs="Times New Roman"/>
          <w:sz w:val="24"/>
          <w:szCs w:val="24"/>
        </w:rPr>
        <w:t>;</w:t>
      </w:r>
    </w:p>
    <w:p w14:paraId="6B92CC0D" w14:textId="74E0D294" w:rsidR="00514F2B" w:rsidRDefault="00514F2B" w:rsidP="00514F2B">
      <w:pPr>
        <w:rPr>
          <w:rFonts w:ascii="Times New Roman" w:hAnsi="Times New Roman" w:cs="Times New Roman"/>
          <w:sz w:val="24"/>
          <w:szCs w:val="24"/>
        </w:rPr>
      </w:pPr>
      <w:r w:rsidRPr="00514F2B">
        <w:rPr>
          <w:rFonts w:ascii="Times New Roman" w:hAnsi="Times New Roman" w:cs="Times New Roman"/>
          <w:sz w:val="24"/>
          <w:szCs w:val="24"/>
        </w:rPr>
        <w:t>8.4. mărfuri sau alți indici compuși numai din mărfuri.</w:t>
      </w:r>
    </w:p>
    <w:p w14:paraId="0B456223" w14:textId="7AAD99EB" w:rsidR="00514F2B" w:rsidRPr="00514F2B" w:rsidRDefault="00514F2B" w:rsidP="00514F2B">
      <w:pPr>
        <w:rPr>
          <w:rFonts w:ascii="Times New Roman" w:hAnsi="Times New Roman" w:cs="Times New Roman"/>
          <w:sz w:val="24"/>
          <w:szCs w:val="24"/>
        </w:rPr>
      </w:pPr>
      <w:r w:rsidRPr="00514F2B">
        <w:rPr>
          <w:rFonts w:ascii="Times New Roman" w:hAnsi="Times New Roman" w:cs="Times New Roman"/>
          <w:sz w:val="24"/>
          <w:szCs w:val="24"/>
        </w:rPr>
        <w:lastRenderedPageBreak/>
        <w:t>9. Orizontul de lichiditate al unui singur factor de risc care modelează un instrument-indice omogen, astfel cum se menționează la</w:t>
      </w:r>
      <w:r w:rsidR="0083411F">
        <w:rPr>
          <w:rFonts w:ascii="Times New Roman" w:hAnsi="Times New Roman" w:cs="Times New Roman"/>
          <w:sz w:val="24"/>
          <w:szCs w:val="24"/>
        </w:rPr>
        <w:t xml:space="preserve"> </w:t>
      </w:r>
      <w:r w:rsidRPr="00514F2B">
        <w:rPr>
          <w:rFonts w:ascii="Times New Roman" w:hAnsi="Times New Roman" w:cs="Times New Roman"/>
          <w:sz w:val="24"/>
          <w:szCs w:val="24"/>
        </w:rPr>
        <w:t>pct.7-8, poate fi determinat de către o bancă după cum urmează:</w:t>
      </w:r>
    </w:p>
    <w:p w14:paraId="7FD29255" w14:textId="77777777" w:rsidR="00514F2B" w:rsidRPr="00514F2B" w:rsidRDefault="00514F2B" w:rsidP="00514F2B">
      <w:pPr>
        <w:rPr>
          <w:rFonts w:ascii="Times New Roman" w:hAnsi="Times New Roman" w:cs="Times New Roman"/>
          <w:sz w:val="24"/>
          <w:szCs w:val="24"/>
        </w:rPr>
      </w:pPr>
      <w:r w:rsidRPr="00514F2B">
        <w:rPr>
          <w:rFonts w:ascii="Times New Roman" w:hAnsi="Times New Roman" w:cs="Times New Roman"/>
          <w:sz w:val="24"/>
          <w:szCs w:val="24"/>
        </w:rPr>
        <w:t>9.1. banca încadrează factorul de risc în categoria generală de factori de risc menționată în tabelul 2 de la pct.361 din Regulamentul privind cerințe de fonduri proprii pentru riscul de piață  care corespunde categoriei adecvate pentru compoziția indicelui omogen;</w:t>
      </w:r>
    </w:p>
    <w:p w14:paraId="4C44BADE" w14:textId="77777777" w:rsidR="00514F2B" w:rsidRPr="00514F2B" w:rsidRDefault="00514F2B" w:rsidP="00514F2B">
      <w:pPr>
        <w:rPr>
          <w:rFonts w:ascii="Times New Roman" w:hAnsi="Times New Roman" w:cs="Times New Roman"/>
          <w:sz w:val="24"/>
          <w:szCs w:val="24"/>
        </w:rPr>
      </w:pPr>
      <w:r w:rsidRPr="00514F2B">
        <w:rPr>
          <w:rFonts w:ascii="Times New Roman" w:hAnsi="Times New Roman" w:cs="Times New Roman"/>
          <w:sz w:val="24"/>
          <w:szCs w:val="24"/>
        </w:rPr>
        <w:t>9.2. banca aplică metodologia generală prevăzută la subsecțiunea 1 separat pentru fiecare dintre componentele indicelui omogen pentru a determina orizonturile de lichiditate corespunzătoare ale acestora;</w:t>
      </w:r>
    </w:p>
    <w:p w14:paraId="03C1B763" w14:textId="77777777" w:rsidR="00514F2B" w:rsidRPr="00514F2B" w:rsidRDefault="00514F2B" w:rsidP="00514F2B">
      <w:pPr>
        <w:rPr>
          <w:rFonts w:ascii="Times New Roman" w:hAnsi="Times New Roman" w:cs="Times New Roman"/>
          <w:sz w:val="24"/>
          <w:szCs w:val="24"/>
        </w:rPr>
      </w:pPr>
      <w:r w:rsidRPr="00514F2B">
        <w:rPr>
          <w:rFonts w:ascii="Times New Roman" w:hAnsi="Times New Roman" w:cs="Times New Roman"/>
          <w:sz w:val="24"/>
          <w:szCs w:val="24"/>
        </w:rPr>
        <w:t>9.3. banca calculează media ponderată a orizonturilor de lichiditate determinate în conformitate cu subpct.9.2 pe baza ponderii fiecărei componente în cadrul indicelui;</w:t>
      </w:r>
    </w:p>
    <w:p w14:paraId="39A4F12F" w14:textId="77777777" w:rsidR="00514F2B" w:rsidRPr="00514F2B" w:rsidRDefault="00514F2B" w:rsidP="00514F2B">
      <w:pPr>
        <w:rPr>
          <w:rFonts w:ascii="Times New Roman" w:hAnsi="Times New Roman" w:cs="Times New Roman"/>
          <w:sz w:val="24"/>
          <w:szCs w:val="24"/>
        </w:rPr>
      </w:pPr>
      <w:r w:rsidRPr="00514F2B">
        <w:rPr>
          <w:rFonts w:ascii="Times New Roman" w:hAnsi="Times New Roman" w:cs="Times New Roman"/>
          <w:sz w:val="24"/>
          <w:szCs w:val="24"/>
        </w:rPr>
        <w:t>9.4. orizontul de lichiditate al factorilor de risc care modelează instrumentul-indice omogen este orizontul de lichiditate cel mai scurt al subcategoriilor componentelor indicelui care este mai mare sau egal cu media ponderată menționată la subpct.9.3.</w:t>
      </w:r>
    </w:p>
    <w:p w14:paraId="75A977E3" w14:textId="07C575F7" w:rsidR="000E62FD" w:rsidRDefault="00514F2B" w:rsidP="00514F2B">
      <w:pPr>
        <w:rPr>
          <w:rFonts w:ascii="Times New Roman" w:hAnsi="Times New Roman" w:cs="Times New Roman"/>
          <w:sz w:val="24"/>
          <w:szCs w:val="24"/>
        </w:rPr>
      </w:pPr>
      <w:r w:rsidRPr="00514F2B">
        <w:rPr>
          <w:rFonts w:ascii="Times New Roman" w:hAnsi="Times New Roman" w:cs="Times New Roman"/>
          <w:sz w:val="24"/>
          <w:szCs w:val="24"/>
        </w:rPr>
        <w:t>10. În sensulsubpct.9.1, un factor de risc al unui instrument-indice omogen cu compoziția menționată la subpct.9.2 și 9.3 este încadrat în categoria generală de factori de risc „Marjă de credit”.</w:t>
      </w:r>
    </w:p>
    <w:p w14:paraId="3F816E81" w14:textId="252F0B23" w:rsidR="00514F2B" w:rsidRPr="00CC1E9B" w:rsidRDefault="00514F2B" w:rsidP="00514F2B">
      <w:pPr>
        <w:rPr>
          <w:rFonts w:ascii="Times New Roman" w:hAnsi="Times New Roman" w:cs="Times New Roman"/>
          <w:b/>
          <w:bCs/>
          <w:i/>
          <w:iCs/>
          <w:sz w:val="24"/>
          <w:szCs w:val="24"/>
        </w:rPr>
      </w:pPr>
      <w:r w:rsidRPr="00CC1E9B">
        <w:rPr>
          <w:rFonts w:ascii="Times New Roman" w:hAnsi="Times New Roman" w:cs="Times New Roman"/>
          <w:b/>
          <w:bCs/>
          <w:i/>
          <w:iCs/>
          <w:sz w:val="24"/>
          <w:szCs w:val="24"/>
        </w:rPr>
        <w:t xml:space="preserve">Subsecțiunea 3.  Metodologia specifică pentru factorii de risc de inflație, de risc de bază </w:t>
      </w:r>
      <w:proofErr w:type="spellStart"/>
      <w:r w:rsidRPr="00CC1E9B">
        <w:rPr>
          <w:rFonts w:ascii="Times New Roman" w:hAnsi="Times New Roman" w:cs="Times New Roman"/>
          <w:b/>
          <w:bCs/>
          <w:i/>
          <w:iCs/>
          <w:sz w:val="24"/>
          <w:szCs w:val="24"/>
        </w:rPr>
        <w:t>monovalutară</w:t>
      </w:r>
      <w:proofErr w:type="spellEnd"/>
      <w:r w:rsidRPr="00CC1E9B">
        <w:rPr>
          <w:rFonts w:ascii="Times New Roman" w:hAnsi="Times New Roman" w:cs="Times New Roman"/>
          <w:b/>
          <w:bCs/>
          <w:i/>
          <w:iCs/>
          <w:sz w:val="24"/>
          <w:szCs w:val="24"/>
        </w:rPr>
        <w:t xml:space="preserve"> și </w:t>
      </w:r>
      <w:proofErr w:type="spellStart"/>
      <w:r w:rsidRPr="00CC1E9B">
        <w:rPr>
          <w:rFonts w:ascii="Times New Roman" w:hAnsi="Times New Roman" w:cs="Times New Roman"/>
          <w:b/>
          <w:bCs/>
          <w:i/>
          <w:iCs/>
          <w:sz w:val="24"/>
          <w:szCs w:val="24"/>
        </w:rPr>
        <w:t>intervalutară</w:t>
      </w:r>
      <w:proofErr w:type="spellEnd"/>
    </w:p>
    <w:p w14:paraId="5726E9D3" w14:textId="14763DF7" w:rsidR="004B651D" w:rsidRDefault="004B651D" w:rsidP="00514F2B">
      <w:pPr>
        <w:rPr>
          <w:rFonts w:ascii="Times New Roman" w:hAnsi="Times New Roman" w:cs="Times New Roman"/>
          <w:sz w:val="24"/>
          <w:szCs w:val="24"/>
        </w:rPr>
      </w:pPr>
      <w:r w:rsidRPr="004B651D">
        <w:rPr>
          <w:rFonts w:ascii="Times New Roman" w:hAnsi="Times New Roman" w:cs="Times New Roman"/>
          <w:sz w:val="24"/>
          <w:szCs w:val="24"/>
        </w:rPr>
        <w:t>11. Prin derogare de la subsecțiunea 1, băncile încadrează factorii de risc de inflație pentru o monedă dată în categoria generală de factori de risc „Rata dobânzii” și în subcategoria generală de factori de risc aferentă monedei respective.</w:t>
      </w:r>
    </w:p>
    <w:p w14:paraId="67A01183" w14:textId="09853DB7" w:rsidR="004B651D" w:rsidRDefault="004B651D" w:rsidP="00514F2B">
      <w:pPr>
        <w:rPr>
          <w:rFonts w:ascii="Times New Roman" w:hAnsi="Times New Roman" w:cs="Times New Roman"/>
          <w:sz w:val="24"/>
          <w:szCs w:val="24"/>
        </w:rPr>
      </w:pPr>
      <w:r w:rsidRPr="004B651D">
        <w:rPr>
          <w:rFonts w:ascii="Times New Roman" w:hAnsi="Times New Roman" w:cs="Times New Roman"/>
          <w:sz w:val="24"/>
          <w:szCs w:val="24"/>
        </w:rPr>
        <w:t xml:space="preserve">12. Prin derogare de la subsecțiunea 1, băncile încadrează factorii de risc de bază </w:t>
      </w:r>
      <w:proofErr w:type="spellStart"/>
      <w:r w:rsidRPr="004B651D">
        <w:rPr>
          <w:rFonts w:ascii="Times New Roman" w:hAnsi="Times New Roman" w:cs="Times New Roman"/>
          <w:sz w:val="24"/>
          <w:szCs w:val="24"/>
        </w:rPr>
        <w:t>monovalutară</w:t>
      </w:r>
      <w:proofErr w:type="spellEnd"/>
      <w:r w:rsidRPr="004B651D">
        <w:rPr>
          <w:rFonts w:ascii="Times New Roman" w:hAnsi="Times New Roman" w:cs="Times New Roman"/>
          <w:sz w:val="24"/>
          <w:szCs w:val="24"/>
        </w:rPr>
        <w:t xml:space="preserve"> și factorii de risc de bază </w:t>
      </w:r>
      <w:proofErr w:type="spellStart"/>
      <w:r w:rsidRPr="004B651D">
        <w:rPr>
          <w:rFonts w:ascii="Times New Roman" w:hAnsi="Times New Roman" w:cs="Times New Roman"/>
          <w:sz w:val="24"/>
          <w:szCs w:val="24"/>
        </w:rPr>
        <w:t>intervalutară</w:t>
      </w:r>
      <w:proofErr w:type="spellEnd"/>
      <w:r w:rsidRPr="004B651D">
        <w:rPr>
          <w:rFonts w:ascii="Times New Roman" w:hAnsi="Times New Roman" w:cs="Times New Roman"/>
          <w:sz w:val="24"/>
          <w:szCs w:val="24"/>
        </w:rPr>
        <w:t xml:space="preserve"> în categoria generală de factori de risc „Rata dobânzii” și în subcategoria generală de factori de risc aferentă monedei în care este denominată baza.</w:t>
      </w:r>
    </w:p>
    <w:p w14:paraId="0FC6EDC2" w14:textId="0E1EDF88" w:rsidR="004B651D" w:rsidRPr="00CC1E9B" w:rsidRDefault="004B651D" w:rsidP="00514F2B">
      <w:pPr>
        <w:rPr>
          <w:rFonts w:ascii="Times New Roman" w:hAnsi="Times New Roman" w:cs="Times New Roman"/>
          <w:b/>
          <w:bCs/>
          <w:i/>
          <w:iCs/>
          <w:sz w:val="24"/>
          <w:szCs w:val="24"/>
        </w:rPr>
      </w:pPr>
      <w:r w:rsidRPr="00CC1E9B">
        <w:rPr>
          <w:rFonts w:ascii="Times New Roman" w:hAnsi="Times New Roman" w:cs="Times New Roman"/>
          <w:b/>
          <w:bCs/>
          <w:i/>
          <w:iCs/>
          <w:sz w:val="24"/>
          <w:szCs w:val="24"/>
        </w:rPr>
        <w:t xml:space="preserve">Subsecțiunea 4.  Metodologia specifică pentru factorii de risc de rată </w:t>
      </w:r>
      <w:proofErr w:type="spellStart"/>
      <w:r w:rsidRPr="00CC1E9B">
        <w:rPr>
          <w:rFonts w:ascii="Times New Roman" w:hAnsi="Times New Roman" w:cs="Times New Roman"/>
          <w:b/>
          <w:bCs/>
          <w:i/>
          <w:iCs/>
          <w:sz w:val="24"/>
          <w:szCs w:val="24"/>
        </w:rPr>
        <w:t>repo</w:t>
      </w:r>
      <w:proofErr w:type="spellEnd"/>
      <w:r w:rsidRPr="00CC1E9B">
        <w:rPr>
          <w:rFonts w:ascii="Times New Roman" w:hAnsi="Times New Roman" w:cs="Times New Roman"/>
          <w:b/>
          <w:bCs/>
          <w:i/>
          <w:iCs/>
          <w:sz w:val="24"/>
          <w:szCs w:val="24"/>
        </w:rPr>
        <w:t xml:space="preserve"> și de dividende</w:t>
      </w:r>
    </w:p>
    <w:p w14:paraId="0E8B6379" w14:textId="4C00493F" w:rsidR="004B651D" w:rsidRDefault="004B651D" w:rsidP="00514F2B">
      <w:pPr>
        <w:rPr>
          <w:rFonts w:ascii="Times New Roman" w:hAnsi="Times New Roman" w:cs="Times New Roman"/>
          <w:sz w:val="24"/>
          <w:szCs w:val="24"/>
        </w:rPr>
      </w:pPr>
      <w:r w:rsidRPr="004B651D">
        <w:rPr>
          <w:rFonts w:ascii="Times New Roman" w:hAnsi="Times New Roman" w:cs="Times New Roman"/>
          <w:sz w:val="24"/>
          <w:szCs w:val="24"/>
        </w:rPr>
        <w:t xml:space="preserve">13. Prin derogare de la subsecțiunea 1, băncile încadrează factorii de risc de rată </w:t>
      </w:r>
      <w:proofErr w:type="spellStart"/>
      <w:r w:rsidRPr="004B651D">
        <w:rPr>
          <w:rFonts w:ascii="Times New Roman" w:hAnsi="Times New Roman" w:cs="Times New Roman"/>
          <w:sz w:val="24"/>
          <w:szCs w:val="24"/>
        </w:rPr>
        <w:t>repo</w:t>
      </w:r>
      <w:proofErr w:type="spellEnd"/>
      <w:r w:rsidRPr="004B651D">
        <w:rPr>
          <w:rFonts w:ascii="Times New Roman" w:hAnsi="Times New Roman" w:cs="Times New Roman"/>
          <w:sz w:val="24"/>
          <w:szCs w:val="24"/>
        </w:rPr>
        <w:t xml:space="preserve"> a titlurilor de capital și de dividende în categoria generală de factori de risc „Titluri de capital”.</w:t>
      </w:r>
    </w:p>
    <w:p w14:paraId="6C73C157" w14:textId="6383CA13" w:rsidR="004B651D" w:rsidRDefault="004B651D" w:rsidP="00514F2B">
      <w:pPr>
        <w:rPr>
          <w:rFonts w:ascii="Times New Roman" w:hAnsi="Times New Roman" w:cs="Times New Roman"/>
          <w:sz w:val="24"/>
          <w:szCs w:val="24"/>
        </w:rPr>
      </w:pPr>
      <w:r w:rsidRPr="004B651D">
        <w:rPr>
          <w:rFonts w:ascii="Times New Roman" w:hAnsi="Times New Roman" w:cs="Times New Roman"/>
          <w:sz w:val="24"/>
          <w:szCs w:val="24"/>
        </w:rPr>
        <w:t xml:space="preserve">14. Prin derogare de la subsecțiunea 1, în scopul determinării subcategoriei generale de factori de risc, factorii de risc de rată </w:t>
      </w:r>
      <w:proofErr w:type="spellStart"/>
      <w:r w:rsidRPr="004B651D">
        <w:rPr>
          <w:rFonts w:ascii="Times New Roman" w:hAnsi="Times New Roman" w:cs="Times New Roman"/>
          <w:sz w:val="24"/>
          <w:szCs w:val="24"/>
        </w:rPr>
        <w:t>repo</w:t>
      </w:r>
      <w:proofErr w:type="spellEnd"/>
      <w:r w:rsidRPr="004B651D">
        <w:rPr>
          <w:rFonts w:ascii="Times New Roman" w:hAnsi="Times New Roman" w:cs="Times New Roman"/>
          <w:sz w:val="24"/>
          <w:szCs w:val="24"/>
        </w:rPr>
        <w:t xml:space="preserve"> a titlurilor de capital și de dividende pentru un anumit titlu de capital sunt tratați ca factori de risc care corespund volatilității respectivului titlu de capital.</w:t>
      </w:r>
    </w:p>
    <w:p w14:paraId="3E953C2E" w14:textId="7AFACCF8" w:rsidR="004B651D" w:rsidRDefault="004B651D" w:rsidP="00514F2B">
      <w:pPr>
        <w:rPr>
          <w:rFonts w:ascii="Times New Roman" w:hAnsi="Times New Roman" w:cs="Times New Roman"/>
          <w:b/>
          <w:bCs/>
          <w:sz w:val="24"/>
          <w:szCs w:val="24"/>
        </w:rPr>
      </w:pPr>
      <w:r w:rsidRPr="00CC1E9B">
        <w:rPr>
          <w:rFonts w:ascii="Times New Roman" w:hAnsi="Times New Roman" w:cs="Times New Roman"/>
          <w:b/>
          <w:bCs/>
          <w:sz w:val="24"/>
          <w:szCs w:val="24"/>
        </w:rPr>
        <w:t>Secțiunea 2.</w:t>
      </w:r>
      <w:r w:rsidRPr="004B651D">
        <w:rPr>
          <w:rFonts w:ascii="Times New Roman" w:hAnsi="Times New Roman" w:cs="Times New Roman"/>
          <w:sz w:val="24"/>
          <w:szCs w:val="24"/>
        </w:rPr>
        <w:t xml:space="preserve"> </w:t>
      </w:r>
      <w:r w:rsidRPr="004B651D">
        <w:rPr>
          <w:rFonts w:ascii="Times New Roman" w:hAnsi="Times New Roman" w:cs="Times New Roman"/>
          <w:b/>
          <w:bCs/>
          <w:sz w:val="24"/>
          <w:szCs w:val="24"/>
        </w:rPr>
        <w:t>Determinarea subcategoriei „Cele mai lichide monede”, determinarea subcategoriei „Cele mai lichide perechi de monede” și definirea subcategoriilor „Capitalizare de piață scăzută” și „Capitalizare de piață ridicată”</w:t>
      </w:r>
    </w:p>
    <w:p w14:paraId="36F2ED74" w14:textId="069A469B" w:rsidR="004B651D" w:rsidRPr="00CC1E9B" w:rsidRDefault="004B651D" w:rsidP="00514F2B">
      <w:pPr>
        <w:rPr>
          <w:rFonts w:ascii="Times New Roman" w:hAnsi="Times New Roman" w:cs="Times New Roman"/>
          <w:b/>
          <w:bCs/>
          <w:i/>
          <w:iCs/>
          <w:sz w:val="24"/>
          <w:szCs w:val="24"/>
        </w:rPr>
      </w:pPr>
      <w:r w:rsidRPr="00CC1E9B">
        <w:rPr>
          <w:rFonts w:ascii="Times New Roman" w:hAnsi="Times New Roman" w:cs="Times New Roman"/>
          <w:b/>
          <w:bCs/>
          <w:i/>
          <w:iCs/>
          <w:sz w:val="24"/>
          <w:szCs w:val="24"/>
        </w:rPr>
        <w:t>Subsecțiunea 1. Subcategoria „Cele mai lichide monede”</w:t>
      </w:r>
    </w:p>
    <w:p w14:paraId="44E2E585" w14:textId="68BED325" w:rsidR="004B651D" w:rsidRDefault="004B651D" w:rsidP="00514F2B">
      <w:pPr>
        <w:rPr>
          <w:rFonts w:ascii="Times New Roman" w:hAnsi="Times New Roman" w:cs="Times New Roman"/>
          <w:sz w:val="24"/>
          <w:szCs w:val="24"/>
        </w:rPr>
      </w:pPr>
      <w:r w:rsidRPr="004B651D">
        <w:rPr>
          <w:rFonts w:ascii="Times New Roman" w:hAnsi="Times New Roman" w:cs="Times New Roman"/>
          <w:sz w:val="24"/>
          <w:szCs w:val="24"/>
        </w:rPr>
        <w:t>15. Monedele care constituie subcategoria „Cele mai lichide monede” a categoriei generale de factori de risc „Rata dobânzii” menționate în tabelul 2 de la pct.361 din Regulamentul privind cerințe de fonduri proprii pentru riscul de piață sunt cele enumerate în tabelul nr.1 la prezenta anexă.</w:t>
      </w:r>
    </w:p>
    <w:p w14:paraId="681D8C74" w14:textId="0E2E445E" w:rsidR="004B651D" w:rsidRPr="00CC1E9B" w:rsidRDefault="004B651D" w:rsidP="00514F2B">
      <w:pPr>
        <w:rPr>
          <w:rFonts w:ascii="Times New Roman" w:hAnsi="Times New Roman" w:cs="Times New Roman"/>
          <w:b/>
          <w:bCs/>
          <w:i/>
          <w:iCs/>
          <w:sz w:val="24"/>
          <w:szCs w:val="24"/>
        </w:rPr>
      </w:pPr>
      <w:r w:rsidRPr="00CC1E9B">
        <w:rPr>
          <w:rFonts w:ascii="Times New Roman" w:hAnsi="Times New Roman" w:cs="Times New Roman"/>
          <w:b/>
          <w:bCs/>
          <w:i/>
          <w:iCs/>
          <w:sz w:val="24"/>
          <w:szCs w:val="24"/>
        </w:rPr>
        <w:t>Subsecțiunea 2.  Subcategoria „Cele mai lichide perechi de monede”</w:t>
      </w:r>
    </w:p>
    <w:p w14:paraId="29B101AE" w14:textId="61E6746B" w:rsidR="004B651D" w:rsidRDefault="004B651D" w:rsidP="00514F2B">
      <w:pPr>
        <w:rPr>
          <w:rFonts w:ascii="Times New Roman" w:hAnsi="Times New Roman" w:cs="Times New Roman"/>
          <w:sz w:val="24"/>
          <w:szCs w:val="24"/>
        </w:rPr>
      </w:pPr>
      <w:r w:rsidRPr="004B651D">
        <w:rPr>
          <w:rFonts w:ascii="Times New Roman" w:hAnsi="Times New Roman" w:cs="Times New Roman"/>
          <w:sz w:val="24"/>
          <w:szCs w:val="24"/>
        </w:rPr>
        <w:t>16. Perechile de monede care constituie subcategoria „Cele mai lichide perechi de monede” a categoriei generale de factori de risc „Schimb valutar” menționate în tabelul 2 de la pct.361 din Regulamentul privind cerințe de fonduri proprii pentru riscul de piață sunt cele enumerate în tabelul nr.2 la prezenta anexă.</w:t>
      </w:r>
    </w:p>
    <w:p w14:paraId="791C4AB1" w14:textId="51651751" w:rsidR="004B651D" w:rsidRPr="00CC1E9B" w:rsidRDefault="004B651D" w:rsidP="00514F2B">
      <w:pPr>
        <w:rPr>
          <w:rFonts w:ascii="Times New Roman" w:hAnsi="Times New Roman" w:cs="Times New Roman"/>
          <w:b/>
          <w:bCs/>
          <w:i/>
          <w:iCs/>
          <w:sz w:val="24"/>
          <w:szCs w:val="24"/>
        </w:rPr>
      </w:pPr>
      <w:r w:rsidRPr="00CC1E9B">
        <w:rPr>
          <w:rFonts w:ascii="Times New Roman" w:hAnsi="Times New Roman" w:cs="Times New Roman"/>
          <w:b/>
          <w:bCs/>
          <w:i/>
          <w:iCs/>
          <w:sz w:val="24"/>
          <w:szCs w:val="24"/>
        </w:rPr>
        <w:t>Subsecțiunea 3.  Definiția capitalizării de piață scăzute și ridicate</w:t>
      </w:r>
    </w:p>
    <w:p w14:paraId="1F30E18F"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lastRenderedPageBreak/>
        <w:t>17. În sensul subcategoriilor „Prețul titlurilor de capital” și „Volatilitate” ale categoriei generale de factori de risc „Titluri de capital” menționate în tabelul 2 de la pct.361 din Regulamentul privind cerințe de fonduri proprii pentru riscul de piață, un titlu de capital cu capitalizare de piață ridicată trebuie să îndeplinească cel puțin una dintre următoarele condiții:</w:t>
      </w:r>
    </w:p>
    <w:p w14:paraId="3149F966"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17.1. capitalizarea de piață a titlului de capital este mai mare de 1,75 miliarde EUR;</w:t>
      </w:r>
    </w:p>
    <w:p w14:paraId="4122F710" w14:textId="48F12D97" w:rsid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 xml:space="preserve">17.2. titlul de capital este inclus în unul dintre indicii principali prevăzuți în pct.25, subpct.7) din </w:t>
      </w:r>
      <w:r w:rsidRPr="00CC1E9B">
        <w:rPr>
          <w:rFonts w:ascii="Times New Roman" w:hAnsi="Times New Roman" w:cs="Times New Roman"/>
          <w:sz w:val="24"/>
          <w:szCs w:val="24"/>
        </w:rPr>
        <w:t>Regulamentul cu privire la tehnicile de diminuare a riscului de credit utilizate de bănci</w:t>
      </w:r>
      <w:r w:rsidR="00B3637B">
        <w:rPr>
          <w:rFonts w:ascii="Times New Roman" w:hAnsi="Times New Roman" w:cs="Times New Roman"/>
          <w:sz w:val="24"/>
          <w:szCs w:val="24"/>
        </w:rPr>
        <w:t>,</w:t>
      </w:r>
      <w:r w:rsidR="00B3637B" w:rsidRPr="00B3637B">
        <w:rPr>
          <w:rFonts w:ascii="Times New Roman" w:hAnsi="Times New Roman" w:cs="Times New Roman"/>
          <w:color w:val="000000" w:themeColor="text1"/>
          <w:kern w:val="0"/>
          <w14:ligatures w14:val="none"/>
        </w:rPr>
        <w:t xml:space="preserve"> </w:t>
      </w:r>
      <w:r w:rsidR="00B3637B" w:rsidRPr="00B3637B">
        <w:rPr>
          <w:rFonts w:ascii="Times New Roman" w:hAnsi="Times New Roman" w:cs="Times New Roman"/>
          <w:sz w:val="24"/>
          <w:szCs w:val="24"/>
        </w:rPr>
        <w:t>aprobat prin hotărârea Comitetului executiv al BNM nr.112/2018</w:t>
      </w:r>
      <w:r w:rsidRPr="004B651D">
        <w:rPr>
          <w:rFonts w:ascii="Times New Roman" w:hAnsi="Times New Roman" w:cs="Times New Roman"/>
          <w:sz w:val="24"/>
          <w:szCs w:val="24"/>
        </w:rPr>
        <w:t>, ale cărui componente sunt toate cotate în Uniunea Europeană.</w:t>
      </w:r>
    </w:p>
    <w:p w14:paraId="5AB44EC2" w14:textId="2C26AAEC" w:rsid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18. Toate titlurile de capital diferite de cele menționate la pct.17 sunt considerate titluri de capital cu capitalizare de piață redusă.</w:t>
      </w:r>
    </w:p>
    <w:p w14:paraId="4473783A" w14:textId="77777777" w:rsidR="0070313C" w:rsidRDefault="004B651D" w:rsidP="004B651D">
      <w:pPr>
        <w:rPr>
          <w:rFonts w:ascii="Times New Roman" w:hAnsi="Times New Roman" w:cs="Times New Roman"/>
          <w:b/>
          <w:bCs/>
          <w:i/>
          <w:iCs/>
          <w:sz w:val="24"/>
          <w:szCs w:val="24"/>
        </w:rPr>
      </w:pPr>
      <w:r w:rsidRPr="00CC1E9B">
        <w:rPr>
          <w:rFonts w:ascii="Times New Roman" w:hAnsi="Times New Roman" w:cs="Times New Roman"/>
          <w:b/>
          <w:bCs/>
          <w:i/>
          <w:iCs/>
          <w:sz w:val="24"/>
          <w:szCs w:val="24"/>
        </w:rPr>
        <w:t xml:space="preserve">Tabelul nr.1 </w:t>
      </w:r>
    </w:p>
    <w:p w14:paraId="71907297" w14:textId="4E58EC71" w:rsidR="004B651D" w:rsidRPr="00CC1E9B" w:rsidRDefault="004B651D" w:rsidP="004B651D">
      <w:pPr>
        <w:rPr>
          <w:rFonts w:ascii="Times New Roman" w:hAnsi="Times New Roman" w:cs="Times New Roman"/>
          <w:b/>
          <w:bCs/>
          <w:i/>
          <w:iCs/>
          <w:sz w:val="24"/>
          <w:szCs w:val="24"/>
        </w:rPr>
      </w:pPr>
      <w:r w:rsidRPr="00CC1E9B">
        <w:rPr>
          <w:rFonts w:ascii="Times New Roman" w:hAnsi="Times New Roman" w:cs="Times New Roman"/>
          <w:b/>
          <w:bCs/>
          <w:i/>
          <w:iCs/>
          <w:sz w:val="24"/>
          <w:szCs w:val="24"/>
        </w:rPr>
        <w:t>Lista celor mai lichide monede menționate la secțiunea 2, subsecțiunea 1</w:t>
      </w:r>
    </w:p>
    <w:p w14:paraId="4D890955"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 euro (EUR);</w:t>
      </w:r>
    </w:p>
    <w:p w14:paraId="1D37F319"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 dolarul american (USD);</w:t>
      </w:r>
    </w:p>
    <w:p w14:paraId="0675CB2B"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 lira sterlină (GBP);</w:t>
      </w:r>
    </w:p>
    <w:p w14:paraId="6FFFF63A"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 yenul japonez (JPY);</w:t>
      </w:r>
    </w:p>
    <w:p w14:paraId="49960575"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 dolarul australian (AUD);</w:t>
      </w:r>
    </w:p>
    <w:p w14:paraId="1B5C330C"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 coroana suedeză (SEK);</w:t>
      </w:r>
    </w:p>
    <w:p w14:paraId="6566C412" w14:textId="3B1F0929" w:rsid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 dolarul canadian (CAD).</w:t>
      </w:r>
    </w:p>
    <w:p w14:paraId="4E25E47A" w14:textId="77777777" w:rsidR="0070313C" w:rsidRDefault="004B651D" w:rsidP="004B651D">
      <w:pPr>
        <w:rPr>
          <w:rFonts w:ascii="Times New Roman" w:hAnsi="Times New Roman" w:cs="Times New Roman"/>
          <w:b/>
          <w:bCs/>
          <w:i/>
          <w:iCs/>
          <w:sz w:val="24"/>
          <w:szCs w:val="24"/>
        </w:rPr>
      </w:pPr>
      <w:r w:rsidRPr="00CC1E9B">
        <w:rPr>
          <w:rFonts w:ascii="Times New Roman" w:hAnsi="Times New Roman" w:cs="Times New Roman"/>
          <w:b/>
          <w:bCs/>
          <w:i/>
          <w:iCs/>
          <w:sz w:val="24"/>
          <w:szCs w:val="24"/>
        </w:rPr>
        <w:t xml:space="preserve">Tabelul nr.2. </w:t>
      </w:r>
    </w:p>
    <w:p w14:paraId="06BCCF21" w14:textId="1B4C0343" w:rsidR="004B651D" w:rsidRPr="00CC1E9B" w:rsidRDefault="004B651D" w:rsidP="004B651D">
      <w:pPr>
        <w:rPr>
          <w:rFonts w:ascii="Times New Roman" w:hAnsi="Times New Roman" w:cs="Times New Roman"/>
          <w:b/>
          <w:bCs/>
          <w:i/>
          <w:iCs/>
          <w:sz w:val="24"/>
          <w:szCs w:val="24"/>
        </w:rPr>
      </w:pPr>
      <w:r w:rsidRPr="00CC1E9B">
        <w:rPr>
          <w:rFonts w:ascii="Times New Roman" w:hAnsi="Times New Roman" w:cs="Times New Roman"/>
          <w:b/>
          <w:bCs/>
          <w:i/>
          <w:iCs/>
          <w:sz w:val="24"/>
          <w:szCs w:val="24"/>
        </w:rPr>
        <w:t>Lista perechilor de monede menționate la secțiunea 2, subsecțiunea 2</w:t>
      </w:r>
    </w:p>
    <w:p w14:paraId="1462E50E"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În sensul prezentului tabel, se utilizează următoarele coduri referitoare la monede:</w:t>
      </w:r>
    </w:p>
    <w:p w14:paraId="30FA092D"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 xml:space="preserve">EUR (euro), USD (dolar american), JPY (yen japonez), GBP (liră sterlină), CHF (franc elvețian), CAD (dolar canadian), MXN (peso mexican), CNY (yuan </w:t>
      </w:r>
      <w:proofErr w:type="spellStart"/>
      <w:r w:rsidRPr="004B651D">
        <w:rPr>
          <w:rFonts w:ascii="Times New Roman" w:hAnsi="Times New Roman" w:cs="Times New Roman"/>
          <w:sz w:val="24"/>
          <w:szCs w:val="24"/>
        </w:rPr>
        <w:t>renminbi</w:t>
      </w:r>
      <w:proofErr w:type="spellEnd"/>
      <w:r w:rsidRPr="004B651D">
        <w:rPr>
          <w:rFonts w:ascii="Times New Roman" w:hAnsi="Times New Roman" w:cs="Times New Roman"/>
          <w:sz w:val="24"/>
          <w:szCs w:val="24"/>
        </w:rPr>
        <w:t>), NZD (dolar neozeelandez), RUB (rublă rusească), HKD (dolar din Hong Kong), SGD (dolar singaporez), TRY (liră turcească), KRW (won sud-coreean), SEK (coroană suedeză), ZAR (</w:t>
      </w:r>
      <w:proofErr w:type="spellStart"/>
      <w:r w:rsidRPr="004B651D">
        <w:rPr>
          <w:rFonts w:ascii="Times New Roman" w:hAnsi="Times New Roman" w:cs="Times New Roman"/>
          <w:sz w:val="24"/>
          <w:szCs w:val="24"/>
        </w:rPr>
        <w:t>rand</w:t>
      </w:r>
      <w:proofErr w:type="spellEnd"/>
      <w:r w:rsidRPr="004B651D">
        <w:rPr>
          <w:rFonts w:ascii="Times New Roman" w:hAnsi="Times New Roman" w:cs="Times New Roman"/>
          <w:sz w:val="24"/>
          <w:szCs w:val="24"/>
        </w:rPr>
        <w:t xml:space="preserve"> sud-african), INR (rupie indiană), NOK (coroană norvegiană), BRL (real brazilian), AUD (dolar australian), DKK (coroană daneză), BGN (leva bulgărească), HRK (</w:t>
      </w:r>
      <w:proofErr w:type="spellStart"/>
      <w:r w:rsidRPr="004B651D">
        <w:rPr>
          <w:rFonts w:ascii="Times New Roman" w:hAnsi="Times New Roman" w:cs="Times New Roman"/>
          <w:sz w:val="24"/>
          <w:szCs w:val="24"/>
        </w:rPr>
        <w:t>kuna</w:t>
      </w:r>
      <w:proofErr w:type="spellEnd"/>
      <w:r w:rsidRPr="004B651D">
        <w:rPr>
          <w:rFonts w:ascii="Times New Roman" w:hAnsi="Times New Roman" w:cs="Times New Roman"/>
          <w:sz w:val="24"/>
          <w:szCs w:val="24"/>
        </w:rPr>
        <w:t xml:space="preserve"> croată).</w:t>
      </w:r>
    </w:p>
    <w:p w14:paraId="033EDAF1"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EUR/USD, EUR/JPY, EUR/GBP, EUR/CHF, EUR/CAD, EUR/MXN, EUR/CNY, EUR/NZD, EUR/RUB, EUR/HKD, EUR/SGD, EUR/TRY, EUR/KRW, EUR/SEK, EUR/ZAR, EUR/INR, EUR/NOK, EUR/BRL, EUR/AUD.</w:t>
      </w:r>
    </w:p>
    <w:p w14:paraId="1D620FFE"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USD/JPY, USD/GBP, USD/AUD, USD/CAD, USD/CHF, USD/MXN, USD/CNY, USD/NZD, USD/RUB, USD/HKD, USD/SGD, USD/TRY, USD/KRW, USD/SEK, USD/ZAR, USD/INR, USD/NOK, USD/BRL, USD/DKK, USD/BGN, USD/HRK.</w:t>
      </w:r>
    </w:p>
    <w:p w14:paraId="560C3ED8"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JPY/GBP, JPY/CAD, JPY/CHF, JPY/MXN, JPY/CNY, JPY/NZD, JPY/RUB, JPY/HKD, JPY/SGD, JPY/TRY, JPY/KRW, JPY/SEK, JPY/ZAR, JPY/INR, JPY/NOK, JPY/BRL, JPY/DKK, JPY/AUD, JPY/BGN, JPY/HRK.</w:t>
      </w:r>
    </w:p>
    <w:p w14:paraId="2ED3BE76"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lastRenderedPageBreak/>
        <w:t>GBP/AUD, GBP/CAD, GBP/CHF, GBP/MXN, GBP/CNY, GBP/NZD, GBP/RUB, GBP/HKD, GBP/SGD, GBP/TRY, GBP/KRW, GBP/SEK, GBP/ZAR, GBP/INR, GBP/NOK, GBP/BRL, GBP/DKK, GBP/BGN, GBP/HRK.</w:t>
      </w:r>
    </w:p>
    <w:p w14:paraId="0C3E6E1E"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AUD/CAD, AUD/CHF, AUD/MXN, AUD/CNY, AUD/NZD, AUD/RUB, AUD/HKD, AUD/SGD, AUD/TRY, AUD/KRW, AUD/SEK, AUD/ZAR, AUD/INR, AUD/NOK, AUD/BRL.</w:t>
      </w:r>
    </w:p>
    <w:p w14:paraId="52131FAF"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CAD/CHF, CAD/MXN, CAD/CNY, CAD/NZD, CAD/RUB, CAD/HKD, CAD/SGD, CAD/TRY, CAD/KRW, CAD/SEK, CAD/ZAR, CAD/INR, CAD/NOK, CAD/BRL.</w:t>
      </w:r>
    </w:p>
    <w:p w14:paraId="42B34B8C"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CHF/MXN, CHF/CNY, CHF/NZD, CHF/RUB, CHF/HKD, CHF/SGD, CHF/TRY, CHF/KRW, CHF/SEK, CHF/ZAR, CHF/INR,</w:t>
      </w:r>
    </w:p>
    <w:p w14:paraId="736624EE"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CHF/NOK, CHF/BRL, CHF/DKK, CHF/BGN, CHF/HRK.</w:t>
      </w:r>
    </w:p>
    <w:p w14:paraId="30A3ADF5"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MXN/CNY, MXN/NZD, MXN/RUB, MXN/HKD, MXN/SGD, MXN/TRY, MXN/KRW, MXN/SEK, MXN/ZAR, MXN/INR, MXN/NOK, MXN/BRL.</w:t>
      </w:r>
    </w:p>
    <w:p w14:paraId="12554E46"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CNY/NZD, CNY/RUB, CNY/HKD, CNY/SGD, CNY/TRY, CNY/KRW, CNY/SEK, CNY/ZAR, CNY/INR, CNY/NOK, CNY/BRL.</w:t>
      </w:r>
    </w:p>
    <w:p w14:paraId="6DA884BB"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NZD/RUB, NZD/HKD, NZD/SGD, NZD/TRY, NZD/KRW, NZD/SEK, NZD/ZAR, NZD/INR, NZD/NOK, NZD/BRL.</w:t>
      </w:r>
    </w:p>
    <w:p w14:paraId="74F8E7B3"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RUB/HKD, RUB/SGD, RUB/TRY, RUB/KRW, RUB/SEK, RUB/ZAR, RUB/INR, RUB/NOK, RUB/BRL.</w:t>
      </w:r>
    </w:p>
    <w:p w14:paraId="0BDDC247"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HKD/SGD, HKD/TRY, HKD/KRW, HKD/SEK, HKD/ZAR, HKD/INR, HKD/NOK, HKD/BRL.</w:t>
      </w:r>
    </w:p>
    <w:p w14:paraId="5572E832"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SGD/TRY, SGD/KRW, SGD/SEK, SGD/ZAR, SGD/INR, SGD/NOK, SGD/BRL.</w:t>
      </w:r>
    </w:p>
    <w:p w14:paraId="3442AE2A"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TRY/KRW, TRY/SEK, TRY/ZAR, TRY/INR, TRY/NOK, TRY/BRL.</w:t>
      </w:r>
    </w:p>
    <w:p w14:paraId="7D205F97"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KRW/SEK, KRW/ZAR, KRW/INR, KRW/NOK, KRW/BRL.</w:t>
      </w:r>
    </w:p>
    <w:p w14:paraId="5E0017FE"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SEK/ZAR, SEK/INR, SEK/NOK, SEK/BRL.</w:t>
      </w:r>
    </w:p>
    <w:p w14:paraId="44A55A18"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ZAR/INR, ZAR/NOK, ZAR/BRL.</w:t>
      </w:r>
    </w:p>
    <w:p w14:paraId="167E1700" w14:textId="77777777" w:rsidR="004B651D" w:rsidRP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INR/NOK, INR/BRL.</w:t>
      </w:r>
    </w:p>
    <w:p w14:paraId="7C5C9493" w14:textId="7E450B07" w:rsidR="004B651D" w:rsidRDefault="004B651D" w:rsidP="004B651D">
      <w:pPr>
        <w:rPr>
          <w:rFonts w:ascii="Times New Roman" w:hAnsi="Times New Roman" w:cs="Times New Roman"/>
          <w:sz w:val="24"/>
          <w:szCs w:val="24"/>
        </w:rPr>
      </w:pPr>
      <w:r w:rsidRPr="004B651D">
        <w:rPr>
          <w:rFonts w:ascii="Times New Roman" w:hAnsi="Times New Roman" w:cs="Times New Roman"/>
          <w:sz w:val="24"/>
          <w:szCs w:val="24"/>
        </w:rPr>
        <w:t>NOK/BRL.</w:t>
      </w:r>
    </w:p>
    <w:p w14:paraId="3A08AE92" w14:textId="77777777" w:rsidR="00E44A8E" w:rsidRDefault="00E44A8E" w:rsidP="00541D43">
      <w:pPr>
        <w:ind w:left="4253"/>
        <w:rPr>
          <w:rFonts w:ascii="Times New Roman" w:hAnsi="Times New Roman" w:cs="Times New Roman"/>
          <w:bCs/>
          <w:sz w:val="24"/>
          <w:szCs w:val="24"/>
        </w:rPr>
      </w:pPr>
    </w:p>
    <w:p w14:paraId="6B32C7F3" w14:textId="77777777" w:rsidR="00E44A8E" w:rsidRDefault="00E44A8E" w:rsidP="00541D43">
      <w:pPr>
        <w:ind w:left="4253"/>
        <w:rPr>
          <w:rFonts w:ascii="Times New Roman" w:hAnsi="Times New Roman" w:cs="Times New Roman"/>
          <w:bCs/>
          <w:sz w:val="24"/>
          <w:szCs w:val="24"/>
        </w:rPr>
      </w:pPr>
    </w:p>
    <w:p w14:paraId="6FA6E350" w14:textId="77777777" w:rsidR="00E44A8E" w:rsidRDefault="00E44A8E" w:rsidP="00541D43">
      <w:pPr>
        <w:ind w:left="4253"/>
        <w:rPr>
          <w:rFonts w:ascii="Times New Roman" w:hAnsi="Times New Roman" w:cs="Times New Roman"/>
          <w:bCs/>
          <w:sz w:val="24"/>
          <w:szCs w:val="24"/>
        </w:rPr>
      </w:pPr>
    </w:p>
    <w:p w14:paraId="616733C4" w14:textId="77777777" w:rsidR="00E44A8E" w:rsidRDefault="00E44A8E" w:rsidP="00541D43">
      <w:pPr>
        <w:ind w:left="4253"/>
        <w:rPr>
          <w:rFonts w:ascii="Times New Roman" w:hAnsi="Times New Roman" w:cs="Times New Roman"/>
          <w:bCs/>
          <w:sz w:val="24"/>
          <w:szCs w:val="24"/>
        </w:rPr>
      </w:pPr>
    </w:p>
    <w:p w14:paraId="798889A0" w14:textId="77777777" w:rsidR="00E44A8E" w:rsidRDefault="00E44A8E" w:rsidP="00541D43">
      <w:pPr>
        <w:ind w:left="4253"/>
        <w:rPr>
          <w:rFonts w:ascii="Times New Roman" w:hAnsi="Times New Roman" w:cs="Times New Roman"/>
          <w:bCs/>
          <w:sz w:val="24"/>
          <w:szCs w:val="24"/>
        </w:rPr>
      </w:pPr>
    </w:p>
    <w:p w14:paraId="63871C13" w14:textId="77777777" w:rsidR="00E44A8E" w:rsidRDefault="00E44A8E" w:rsidP="00541D43">
      <w:pPr>
        <w:ind w:left="4253"/>
        <w:rPr>
          <w:rFonts w:ascii="Times New Roman" w:hAnsi="Times New Roman" w:cs="Times New Roman"/>
          <w:bCs/>
          <w:sz w:val="24"/>
          <w:szCs w:val="24"/>
        </w:rPr>
      </w:pPr>
    </w:p>
    <w:p w14:paraId="0DD047C6" w14:textId="77777777" w:rsidR="00E44A8E" w:rsidRDefault="00E44A8E" w:rsidP="00541D43">
      <w:pPr>
        <w:ind w:left="4253"/>
        <w:rPr>
          <w:rFonts w:ascii="Times New Roman" w:hAnsi="Times New Roman" w:cs="Times New Roman"/>
          <w:bCs/>
          <w:sz w:val="24"/>
          <w:szCs w:val="24"/>
        </w:rPr>
      </w:pPr>
    </w:p>
    <w:p w14:paraId="5CDDA34D" w14:textId="77777777" w:rsidR="00E44A8E" w:rsidRDefault="00E44A8E" w:rsidP="00541D43">
      <w:pPr>
        <w:ind w:left="4253"/>
        <w:rPr>
          <w:rFonts w:ascii="Times New Roman" w:hAnsi="Times New Roman" w:cs="Times New Roman"/>
          <w:bCs/>
          <w:sz w:val="24"/>
          <w:szCs w:val="24"/>
        </w:rPr>
      </w:pPr>
    </w:p>
    <w:p w14:paraId="3BCDBB73" w14:textId="77777777" w:rsidR="00E44A8E" w:rsidRDefault="00E44A8E" w:rsidP="00541D43">
      <w:pPr>
        <w:ind w:left="4253"/>
        <w:rPr>
          <w:rFonts w:ascii="Times New Roman" w:hAnsi="Times New Roman" w:cs="Times New Roman"/>
          <w:bCs/>
          <w:sz w:val="24"/>
          <w:szCs w:val="24"/>
        </w:rPr>
      </w:pPr>
    </w:p>
    <w:p w14:paraId="60E3C879" w14:textId="5E9CF375" w:rsidR="00541D43" w:rsidRPr="00514F2B" w:rsidRDefault="00541D43" w:rsidP="00541D43">
      <w:pPr>
        <w:ind w:left="4253"/>
        <w:rPr>
          <w:rFonts w:ascii="Times New Roman" w:hAnsi="Times New Roman" w:cs="Times New Roman"/>
          <w:bCs/>
          <w:sz w:val="24"/>
          <w:szCs w:val="24"/>
        </w:rPr>
      </w:pPr>
      <w:r w:rsidRPr="00514F2B">
        <w:rPr>
          <w:rFonts w:ascii="Times New Roman" w:hAnsi="Times New Roman" w:cs="Times New Roman"/>
          <w:bCs/>
          <w:sz w:val="24"/>
          <w:szCs w:val="24"/>
        </w:rPr>
        <w:lastRenderedPageBreak/>
        <w:t>Anexa nr.</w:t>
      </w:r>
      <w:r>
        <w:rPr>
          <w:rFonts w:ascii="Times New Roman" w:hAnsi="Times New Roman" w:cs="Times New Roman"/>
          <w:bCs/>
          <w:sz w:val="24"/>
          <w:szCs w:val="24"/>
        </w:rPr>
        <w:t>5</w:t>
      </w:r>
      <w:r w:rsidRPr="00514F2B">
        <w:rPr>
          <w:rFonts w:ascii="Times New Roman" w:hAnsi="Times New Roman" w:cs="Times New Roman"/>
          <w:bCs/>
          <w:sz w:val="24"/>
          <w:szCs w:val="24"/>
        </w:rPr>
        <w:t xml:space="preserve"> la Regulamentul privind cerințe de fonduri proprii pentru riscul de </w:t>
      </w:r>
      <w:r w:rsidRPr="00514F2B">
        <w:rPr>
          <w:rFonts w:ascii="Times New Roman" w:hAnsi="Times New Roman" w:cs="Times New Roman"/>
          <w:bCs/>
          <w:sz w:val="24"/>
          <w:szCs w:val="24"/>
          <w:lang w:val="ro-RO"/>
        </w:rPr>
        <w:t>piață</w:t>
      </w:r>
      <w:r w:rsidRPr="00514F2B">
        <w:rPr>
          <w:rFonts w:ascii="Times New Roman" w:hAnsi="Times New Roman" w:cs="Times New Roman"/>
          <w:bCs/>
          <w:sz w:val="24"/>
          <w:szCs w:val="24"/>
        </w:rPr>
        <w:t xml:space="preserve">, aprobat prin Hotărârea Comitetului executiv al Băncii Naționale a Moldovei  </w:t>
      </w:r>
      <w:proofErr w:type="spellStart"/>
      <w:r w:rsidRPr="00514F2B">
        <w:rPr>
          <w:rFonts w:ascii="Times New Roman" w:hAnsi="Times New Roman" w:cs="Times New Roman"/>
          <w:bCs/>
          <w:sz w:val="24"/>
          <w:szCs w:val="24"/>
        </w:rPr>
        <w:t>nr.XX</w:t>
      </w:r>
      <w:proofErr w:type="spellEnd"/>
      <w:r w:rsidRPr="00514F2B">
        <w:rPr>
          <w:rFonts w:ascii="Times New Roman" w:hAnsi="Times New Roman" w:cs="Times New Roman"/>
          <w:bCs/>
          <w:sz w:val="24"/>
          <w:szCs w:val="24"/>
        </w:rPr>
        <w:t>/2025</w:t>
      </w:r>
    </w:p>
    <w:p w14:paraId="0076791D" w14:textId="5C110176" w:rsidR="00541D43" w:rsidRDefault="00541D43" w:rsidP="00541D43">
      <w:pPr>
        <w:jc w:val="center"/>
        <w:rPr>
          <w:rFonts w:ascii="Times New Roman" w:hAnsi="Times New Roman" w:cs="Times New Roman"/>
          <w:b/>
          <w:sz w:val="24"/>
          <w:szCs w:val="24"/>
        </w:rPr>
      </w:pPr>
      <w:bookmarkStart w:id="112" w:name="_Hlk224653533"/>
      <w:r w:rsidRPr="00541D43">
        <w:rPr>
          <w:rFonts w:ascii="Times New Roman" w:hAnsi="Times New Roman" w:cs="Times New Roman"/>
          <w:b/>
          <w:sz w:val="24"/>
          <w:szCs w:val="24"/>
        </w:rPr>
        <w:t>METODE pentru reflectarea altor riscuri decât riscul delta</w:t>
      </w:r>
    </w:p>
    <w:p w14:paraId="0B51EC52" w14:textId="63103963" w:rsidR="00541D43" w:rsidRDefault="00541D43" w:rsidP="00541D43">
      <w:pPr>
        <w:jc w:val="center"/>
        <w:rPr>
          <w:rFonts w:ascii="Times New Roman" w:hAnsi="Times New Roman" w:cs="Times New Roman"/>
          <w:b/>
          <w:sz w:val="24"/>
          <w:szCs w:val="24"/>
        </w:rPr>
      </w:pPr>
      <w:r w:rsidRPr="00541D43">
        <w:rPr>
          <w:rFonts w:ascii="Times New Roman" w:hAnsi="Times New Roman" w:cs="Times New Roman"/>
          <w:b/>
          <w:sz w:val="24"/>
          <w:szCs w:val="24"/>
        </w:rPr>
        <w:t xml:space="preserve">în </w:t>
      </w:r>
      <w:proofErr w:type="spellStart"/>
      <w:r w:rsidRPr="00541D43">
        <w:rPr>
          <w:rFonts w:ascii="Times New Roman" w:hAnsi="Times New Roman" w:cs="Times New Roman"/>
          <w:b/>
          <w:sz w:val="24"/>
          <w:szCs w:val="24"/>
        </w:rPr>
        <w:t>cerinţele</w:t>
      </w:r>
      <w:proofErr w:type="spellEnd"/>
      <w:r w:rsidRPr="00541D43">
        <w:rPr>
          <w:rFonts w:ascii="Times New Roman" w:hAnsi="Times New Roman" w:cs="Times New Roman"/>
          <w:b/>
          <w:sz w:val="24"/>
          <w:szCs w:val="24"/>
        </w:rPr>
        <w:t xml:space="preserve"> de fonduri proprii ale băncilor</w:t>
      </w:r>
      <w:bookmarkEnd w:id="112"/>
    </w:p>
    <w:p w14:paraId="17D11738" w14:textId="155ABF88" w:rsidR="00541D43" w:rsidRDefault="00541D43" w:rsidP="004B651D">
      <w:pPr>
        <w:rPr>
          <w:rFonts w:ascii="Times New Roman" w:hAnsi="Times New Roman" w:cs="Times New Roman"/>
          <w:b/>
          <w:bCs/>
          <w:sz w:val="24"/>
          <w:szCs w:val="24"/>
        </w:rPr>
      </w:pPr>
      <w:r w:rsidRPr="00CC1E9B">
        <w:rPr>
          <w:rFonts w:ascii="Times New Roman" w:hAnsi="Times New Roman" w:cs="Times New Roman"/>
          <w:b/>
          <w:sz w:val="24"/>
          <w:szCs w:val="24"/>
        </w:rPr>
        <w:t>Secțiunea 1.</w:t>
      </w:r>
      <w:r w:rsidRPr="00095514">
        <w:rPr>
          <w:rFonts w:ascii="Times New Roman" w:hAnsi="Times New Roman" w:cs="Times New Roman"/>
          <w:b/>
          <w:sz w:val="24"/>
          <w:szCs w:val="24"/>
        </w:rPr>
        <w:t xml:space="preserve"> Determinarea cerințelor de fonduri proprii pentru alt risc decât riscul delta al</w:t>
      </w:r>
      <w:r w:rsidRPr="00541D43">
        <w:rPr>
          <w:rFonts w:ascii="Times New Roman" w:hAnsi="Times New Roman" w:cs="Times New Roman"/>
          <w:b/>
          <w:bCs/>
          <w:sz w:val="24"/>
          <w:szCs w:val="24"/>
        </w:rPr>
        <w:t xml:space="preserve"> opțiunilor și al </w:t>
      </w:r>
      <w:proofErr w:type="spellStart"/>
      <w:r w:rsidRPr="00541D43">
        <w:rPr>
          <w:rFonts w:ascii="Times New Roman" w:hAnsi="Times New Roman" w:cs="Times New Roman"/>
          <w:b/>
          <w:bCs/>
          <w:sz w:val="24"/>
          <w:szCs w:val="24"/>
        </w:rPr>
        <w:t>warranturilor</w:t>
      </w:r>
      <w:proofErr w:type="spellEnd"/>
    </w:p>
    <w:p w14:paraId="2145988B" w14:textId="5C8C6439" w:rsidR="00213016" w:rsidRPr="00213016" w:rsidRDefault="00213016" w:rsidP="00213016">
      <w:pPr>
        <w:rPr>
          <w:rFonts w:ascii="Times New Roman" w:hAnsi="Times New Roman" w:cs="Times New Roman"/>
          <w:b/>
          <w:sz w:val="24"/>
          <w:szCs w:val="24"/>
        </w:rPr>
      </w:pPr>
      <w:r w:rsidRPr="00213016">
        <w:rPr>
          <w:rFonts w:ascii="Times New Roman" w:hAnsi="Times New Roman" w:cs="Times New Roman"/>
          <w:sz w:val="24"/>
          <w:szCs w:val="24"/>
        </w:rPr>
        <w:t>1</w:t>
      </w:r>
      <w:bookmarkStart w:id="113" w:name="_Hlk224657722"/>
      <w:r w:rsidRPr="00213016">
        <w:rPr>
          <w:rFonts w:ascii="Times New Roman" w:hAnsi="Times New Roman" w:cs="Times New Roman"/>
          <w:sz w:val="24"/>
          <w:szCs w:val="24"/>
        </w:rPr>
        <w:t xml:space="preserve">. Băncile își calculează cerințele de fonduri proprii pentru riscul de piață în ceea ce privește alt risc decât riscul delta al opțiunilor sau al </w:t>
      </w:r>
      <w:proofErr w:type="spellStart"/>
      <w:r w:rsidRPr="00213016">
        <w:rPr>
          <w:rFonts w:ascii="Times New Roman" w:hAnsi="Times New Roman" w:cs="Times New Roman"/>
          <w:sz w:val="24"/>
          <w:szCs w:val="24"/>
        </w:rPr>
        <w:t>warranturilor</w:t>
      </w:r>
      <w:proofErr w:type="spellEnd"/>
      <w:r w:rsidRPr="00213016">
        <w:rPr>
          <w:rFonts w:ascii="Times New Roman" w:hAnsi="Times New Roman" w:cs="Times New Roman"/>
          <w:sz w:val="24"/>
          <w:szCs w:val="24"/>
        </w:rPr>
        <w:t xml:space="preserve">, astfel cum se prevede la </w:t>
      </w:r>
      <w:r w:rsidRPr="00A942D1">
        <w:rPr>
          <w:rFonts w:ascii="Times New Roman" w:hAnsi="Times New Roman" w:cs="Times New Roman"/>
          <w:sz w:val="24"/>
          <w:szCs w:val="24"/>
        </w:rPr>
        <w:t>pct.424,</w:t>
      </w:r>
      <w:r w:rsidR="00122069" w:rsidRPr="00A942D1">
        <w:rPr>
          <w:rFonts w:ascii="Times New Roman" w:hAnsi="Times New Roman" w:cs="Times New Roman"/>
          <w:sz w:val="24"/>
          <w:szCs w:val="24"/>
        </w:rPr>
        <w:t xml:space="preserve"> 502</w:t>
      </w:r>
      <w:r w:rsidRPr="00213016">
        <w:rPr>
          <w:rFonts w:ascii="Times New Roman" w:hAnsi="Times New Roman" w:cs="Times New Roman"/>
          <w:sz w:val="24"/>
          <w:szCs w:val="24"/>
        </w:rPr>
        <w:t xml:space="preserve"> </w:t>
      </w:r>
      <w:r w:rsidR="00A942D1" w:rsidRPr="00A942D1">
        <w:rPr>
          <w:rFonts w:ascii="Times New Roman" w:hAnsi="Times New Roman" w:cs="Times New Roman"/>
          <w:sz w:val="24"/>
          <w:szCs w:val="24"/>
        </w:rPr>
        <w:t xml:space="preserve">și 521-522  </w:t>
      </w:r>
      <w:r w:rsidRPr="00213016">
        <w:rPr>
          <w:rFonts w:ascii="Times New Roman" w:hAnsi="Times New Roman" w:cs="Times New Roman"/>
          <w:sz w:val="24"/>
          <w:szCs w:val="24"/>
        </w:rPr>
        <w:t>în conformitate cu una dintre următoarele abordări:</w:t>
      </w:r>
    </w:p>
    <w:p w14:paraId="05F9D495" w14:textId="77777777" w:rsidR="00213016" w:rsidRPr="00213016" w:rsidRDefault="00213016" w:rsidP="00213016">
      <w:pPr>
        <w:rPr>
          <w:rFonts w:ascii="Times New Roman" w:hAnsi="Times New Roman" w:cs="Times New Roman"/>
          <w:b/>
          <w:sz w:val="24"/>
          <w:szCs w:val="24"/>
        </w:rPr>
      </w:pPr>
      <w:r w:rsidRPr="00213016">
        <w:rPr>
          <w:rFonts w:ascii="Times New Roman" w:hAnsi="Times New Roman" w:cs="Times New Roman"/>
          <w:sz w:val="24"/>
          <w:szCs w:val="24"/>
        </w:rPr>
        <w:t>1.1. abordarea simplificată, astfel cum este stabilită la secțiunile 2 și 3 din prezenta anexă;</w:t>
      </w:r>
    </w:p>
    <w:p w14:paraId="7C3FACDF" w14:textId="5C5D0190" w:rsidR="00471E14"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1.2. abordarea delta-plus, astfel cum este stabilită la secțiunile 4, 5 și 6 din prezenta anexă;1.3. abordarea bazată pe scenarii, astfel cum este stabilită la secțiunile 7, 8 și 9 din prezenta anexă.</w:t>
      </w:r>
      <w:bookmarkEnd w:id="113"/>
    </w:p>
    <w:p w14:paraId="71BA6497" w14:textId="689B1F63" w:rsid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2. La calcularea cerințelor de fonduri proprii pe bază consolidată, băncile pot utiliza în mod combinat diferite abordări. Pe bază individuală, băncile pot combina numai abordarea bazată pe scenarii și abordarea delta-plus, sub rezerva condițiilor prevăzute la secțiunile 4-9.</w:t>
      </w:r>
    </w:p>
    <w:p w14:paraId="5185D884" w14:textId="7089B522"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3. Pentru calculul menționat la</w:t>
      </w:r>
      <w:r w:rsidR="0083411F">
        <w:rPr>
          <w:rFonts w:ascii="Times New Roman" w:hAnsi="Times New Roman" w:cs="Times New Roman"/>
          <w:sz w:val="24"/>
          <w:szCs w:val="24"/>
        </w:rPr>
        <w:t xml:space="preserve"> </w:t>
      </w:r>
      <w:r w:rsidRPr="00213016">
        <w:rPr>
          <w:rFonts w:ascii="Times New Roman" w:hAnsi="Times New Roman" w:cs="Times New Roman"/>
          <w:sz w:val="24"/>
          <w:szCs w:val="24"/>
        </w:rPr>
        <w:t>pct.1, băncile parcurg următoarele etape:</w:t>
      </w:r>
    </w:p>
    <w:p w14:paraId="16D02496"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3.1. defalcarea coșurilor de opțiuni sau de </w:t>
      </w:r>
      <w:proofErr w:type="spellStart"/>
      <w:r w:rsidRPr="00213016">
        <w:rPr>
          <w:rFonts w:ascii="Times New Roman" w:hAnsi="Times New Roman" w:cs="Times New Roman"/>
          <w:sz w:val="24"/>
          <w:szCs w:val="24"/>
        </w:rPr>
        <w:t>warranturi</w:t>
      </w:r>
      <w:proofErr w:type="spellEnd"/>
      <w:r w:rsidRPr="00213016">
        <w:rPr>
          <w:rFonts w:ascii="Times New Roman" w:hAnsi="Times New Roman" w:cs="Times New Roman"/>
          <w:sz w:val="24"/>
          <w:szCs w:val="24"/>
        </w:rPr>
        <w:t xml:space="preserve"> în componentele lor fundamentale;</w:t>
      </w:r>
    </w:p>
    <w:p w14:paraId="4A183FCB"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3.2. defalcarea nivelurilor maxime și a nivelurilor minime sau a altor opțiuni care se referă la ratele dobânzilor la date diferite, într-un lanț de opțiuni independente care se referă la diferite perioade de timp („</w:t>
      </w:r>
      <w:proofErr w:type="spellStart"/>
      <w:r w:rsidRPr="00213016">
        <w:rPr>
          <w:rFonts w:ascii="Times New Roman" w:hAnsi="Times New Roman" w:cs="Times New Roman"/>
          <w:sz w:val="24"/>
          <w:szCs w:val="24"/>
        </w:rPr>
        <w:t>caplet</w:t>
      </w:r>
      <w:proofErr w:type="spellEnd"/>
      <w:r w:rsidRPr="00213016">
        <w:rPr>
          <w:rFonts w:ascii="Times New Roman" w:hAnsi="Times New Roman" w:cs="Times New Roman"/>
          <w:sz w:val="24"/>
          <w:szCs w:val="24"/>
        </w:rPr>
        <w:t>” și „</w:t>
      </w:r>
      <w:proofErr w:type="spellStart"/>
      <w:r w:rsidRPr="00213016">
        <w:rPr>
          <w:rFonts w:ascii="Times New Roman" w:hAnsi="Times New Roman" w:cs="Times New Roman"/>
          <w:sz w:val="24"/>
          <w:szCs w:val="24"/>
        </w:rPr>
        <w:t>floorlet</w:t>
      </w:r>
      <w:proofErr w:type="spellEnd"/>
      <w:r w:rsidRPr="00213016">
        <w:rPr>
          <w:rFonts w:ascii="Times New Roman" w:hAnsi="Times New Roman" w:cs="Times New Roman"/>
          <w:sz w:val="24"/>
          <w:szCs w:val="24"/>
        </w:rPr>
        <w:t>”);</w:t>
      </w:r>
    </w:p>
    <w:p w14:paraId="1F543C85"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3.3. tratarea opțiunilor sau a </w:t>
      </w:r>
      <w:proofErr w:type="spellStart"/>
      <w:r w:rsidRPr="00213016">
        <w:rPr>
          <w:rFonts w:ascii="Times New Roman" w:hAnsi="Times New Roman" w:cs="Times New Roman"/>
          <w:sz w:val="24"/>
          <w:szCs w:val="24"/>
        </w:rPr>
        <w:t>warranturilor</w:t>
      </w:r>
      <w:proofErr w:type="spellEnd"/>
      <w:r w:rsidRPr="00213016">
        <w:rPr>
          <w:rFonts w:ascii="Times New Roman" w:hAnsi="Times New Roman" w:cs="Times New Roman"/>
          <w:sz w:val="24"/>
          <w:szCs w:val="24"/>
        </w:rPr>
        <w:t xml:space="preserve"> pe </w:t>
      </w:r>
      <w:proofErr w:type="spellStart"/>
      <w:r w:rsidRPr="00213016">
        <w:rPr>
          <w:rFonts w:ascii="Times New Roman" w:hAnsi="Times New Roman" w:cs="Times New Roman"/>
          <w:sz w:val="24"/>
          <w:szCs w:val="24"/>
        </w:rPr>
        <w:t>swapuri</w:t>
      </w:r>
      <w:proofErr w:type="spellEnd"/>
      <w:r w:rsidRPr="00213016">
        <w:rPr>
          <w:rFonts w:ascii="Times New Roman" w:hAnsi="Times New Roman" w:cs="Times New Roman"/>
          <w:sz w:val="24"/>
          <w:szCs w:val="24"/>
        </w:rPr>
        <w:t xml:space="preserve"> pe rata dobânzii fixă/variabilă în opțiuni sau </w:t>
      </w:r>
      <w:proofErr w:type="spellStart"/>
      <w:r w:rsidRPr="00213016">
        <w:rPr>
          <w:rFonts w:ascii="Times New Roman" w:hAnsi="Times New Roman" w:cs="Times New Roman"/>
          <w:sz w:val="24"/>
          <w:szCs w:val="24"/>
        </w:rPr>
        <w:t>warranturi</w:t>
      </w:r>
      <w:proofErr w:type="spellEnd"/>
      <w:r w:rsidRPr="00213016">
        <w:rPr>
          <w:rFonts w:ascii="Times New Roman" w:hAnsi="Times New Roman" w:cs="Times New Roman"/>
          <w:sz w:val="24"/>
          <w:szCs w:val="24"/>
        </w:rPr>
        <w:t xml:space="preserve"> pe segmentul de rată fixă a </w:t>
      </w:r>
      <w:proofErr w:type="spellStart"/>
      <w:r w:rsidRPr="00213016">
        <w:rPr>
          <w:rFonts w:ascii="Times New Roman" w:hAnsi="Times New Roman" w:cs="Times New Roman"/>
          <w:sz w:val="24"/>
          <w:szCs w:val="24"/>
        </w:rPr>
        <w:t>swapului</w:t>
      </w:r>
      <w:proofErr w:type="spellEnd"/>
      <w:r w:rsidRPr="00213016">
        <w:rPr>
          <w:rFonts w:ascii="Times New Roman" w:hAnsi="Times New Roman" w:cs="Times New Roman"/>
          <w:sz w:val="24"/>
          <w:szCs w:val="24"/>
        </w:rPr>
        <w:t>;</w:t>
      </w:r>
    </w:p>
    <w:p w14:paraId="7CD34EE0" w14:textId="7DA271C3" w:rsid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3.4. tratarea opțiunilor sau a </w:t>
      </w:r>
      <w:proofErr w:type="spellStart"/>
      <w:r w:rsidRPr="00213016">
        <w:rPr>
          <w:rFonts w:ascii="Times New Roman" w:hAnsi="Times New Roman" w:cs="Times New Roman"/>
          <w:sz w:val="24"/>
          <w:szCs w:val="24"/>
        </w:rPr>
        <w:t>warranturilor</w:t>
      </w:r>
      <w:proofErr w:type="spellEnd"/>
      <w:r w:rsidRPr="00213016">
        <w:rPr>
          <w:rFonts w:ascii="Times New Roman" w:hAnsi="Times New Roman" w:cs="Times New Roman"/>
          <w:sz w:val="24"/>
          <w:szCs w:val="24"/>
        </w:rPr>
        <w:t xml:space="preserve"> care se referă la mai multe suporturi dintre cele descrise la pct.16  ca un coș de opțiuni sau de </w:t>
      </w:r>
      <w:proofErr w:type="spellStart"/>
      <w:r w:rsidRPr="00213016">
        <w:rPr>
          <w:rFonts w:ascii="Times New Roman" w:hAnsi="Times New Roman" w:cs="Times New Roman"/>
          <w:sz w:val="24"/>
          <w:szCs w:val="24"/>
        </w:rPr>
        <w:t>warranturi</w:t>
      </w:r>
      <w:proofErr w:type="spellEnd"/>
      <w:r w:rsidRPr="00213016">
        <w:rPr>
          <w:rFonts w:ascii="Times New Roman" w:hAnsi="Times New Roman" w:cs="Times New Roman"/>
          <w:sz w:val="24"/>
          <w:szCs w:val="24"/>
        </w:rPr>
        <w:t xml:space="preserve"> în care fiecare opțiune are un singur suport distinct.</w:t>
      </w:r>
    </w:p>
    <w:p w14:paraId="7885504D" w14:textId="77777777" w:rsidR="00213016" w:rsidRPr="00213016" w:rsidRDefault="00213016" w:rsidP="00213016">
      <w:pPr>
        <w:rPr>
          <w:rFonts w:ascii="Times New Roman" w:hAnsi="Times New Roman" w:cs="Times New Roman"/>
          <w:sz w:val="24"/>
          <w:szCs w:val="24"/>
        </w:rPr>
      </w:pPr>
      <w:r w:rsidRPr="00CC1E9B">
        <w:rPr>
          <w:rFonts w:ascii="Times New Roman" w:hAnsi="Times New Roman" w:cs="Times New Roman"/>
          <w:b/>
          <w:bCs/>
          <w:sz w:val="24"/>
          <w:szCs w:val="24"/>
        </w:rPr>
        <w:t xml:space="preserve">Secțiunea 2. </w:t>
      </w:r>
      <w:r w:rsidRPr="00095514">
        <w:rPr>
          <w:rFonts w:ascii="Times New Roman" w:hAnsi="Times New Roman" w:cs="Times New Roman"/>
          <w:b/>
          <w:bCs/>
          <w:sz w:val="24"/>
          <w:szCs w:val="24"/>
        </w:rPr>
        <w:t>Determinarea cerințelor de fonduri proprii în conformitate cu abordarea</w:t>
      </w:r>
      <w:r w:rsidRPr="00213016">
        <w:rPr>
          <w:rFonts w:ascii="Times New Roman" w:hAnsi="Times New Roman" w:cs="Times New Roman"/>
          <w:b/>
          <w:bCs/>
          <w:sz w:val="24"/>
          <w:szCs w:val="24"/>
        </w:rPr>
        <w:t xml:space="preserve"> simplificată</w:t>
      </w:r>
    </w:p>
    <w:p w14:paraId="194EA10E" w14:textId="2D669F59" w:rsid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4. Numai băncile care achiziționează exclusiv opțiuni și </w:t>
      </w:r>
      <w:proofErr w:type="spellStart"/>
      <w:r w:rsidRPr="00213016">
        <w:rPr>
          <w:rFonts w:ascii="Times New Roman" w:hAnsi="Times New Roman" w:cs="Times New Roman"/>
          <w:sz w:val="24"/>
          <w:szCs w:val="24"/>
        </w:rPr>
        <w:t>warranturi</w:t>
      </w:r>
      <w:proofErr w:type="spellEnd"/>
      <w:r w:rsidRPr="00213016">
        <w:rPr>
          <w:rFonts w:ascii="Times New Roman" w:hAnsi="Times New Roman" w:cs="Times New Roman"/>
          <w:sz w:val="24"/>
          <w:szCs w:val="24"/>
        </w:rPr>
        <w:t xml:space="preserve"> pot utiliza abordarea simplificată.</w:t>
      </w:r>
    </w:p>
    <w:p w14:paraId="5CA62B50"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5. Băncile care aplică abordarea simplificată calculează cerințele de fonduri proprii în raport cu alte riscuri decât riscul delta ale opțiunilor sau ale </w:t>
      </w:r>
      <w:proofErr w:type="spellStart"/>
      <w:r w:rsidRPr="00213016">
        <w:rPr>
          <w:rFonts w:ascii="Times New Roman" w:hAnsi="Times New Roman" w:cs="Times New Roman"/>
          <w:sz w:val="24"/>
          <w:szCs w:val="24"/>
        </w:rPr>
        <w:t>warranturilor</w:t>
      </w:r>
      <w:proofErr w:type="spellEnd"/>
      <w:r w:rsidRPr="00213016">
        <w:rPr>
          <w:rFonts w:ascii="Times New Roman" w:hAnsi="Times New Roman" w:cs="Times New Roman"/>
          <w:sz w:val="24"/>
          <w:szCs w:val="24"/>
        </w:rPr>
        <w:t xml:space="preserve"> </w:t>
      </w:r>
      <w:proofErr w:type="spellStart"/>
      <w:r w:rsidRPr="00213016">
        <w:rPr>
          <w:rFonts w:ascii="Times New Roman" w:hAnsi="Times New Roman" w:cs="Times New Roman"/>
          <w:sz w:val="24"/>
          <w:szCs w:val="24"/>
        </w:rPr>
        <w:t>call</w:t>
      </w:r>
      <w:proofErr w:type="spellEnd"/>
      <w:r w:rsidRPr="00213016">
        <w:rPr>
          <w:rFonts w:ascii="Times New Roman" w:hAnsi="Times New Roman" w:cs="Times New Roman"/>
          <w:sz w:val="24"/>
          <w:szCs w:val="24"/>
        </w:rPr>
        <w:t xml:space="preserve"> și put ca fiind cuantumul mai mare dintre zero și diferența dintre următoarele valori:</w:t>
      </w:r>
    </w:p>
    <w:p w14:paraId="6DD8851C"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5.1. cuantumul brut, astfel cum se descrie la pct.6-9;</w:t>
      </w:r>
    </w:p>
    <w:p w14:paraId="26777657"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5.2. cuantumul echivalentului delta ponderat la risc, care se calculează ca valoarea de piață a instrumentului-suport, înmulțită cu valoarea delta și apoi înmulțită cu una dintre următoarele ponderări relevante:</w:t>
      </w:r>
    </w:p>
    <w:p w14:paraId="5003A220"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5.2.1. pentru riscul specific și general al titlurilor de capital sau pentru riscul ratei dobânzii, în conformitate cu capitolul IV din Regulamentul </w:t>
      </w:r>
      <w:proofErr w:type="spellStart"/>
      <w:r w:rsidRPr="00213016">
        <w:rPr>
          <w:rFonts w:ascii="Times New Roman" w:hAnsi="Times New Roman" w:cs="Times New Roman"/>
          <w:sz w:val="24"/>
          <w:szCs w:val="24"/>
        </w:rPr>
        <w:t>nr.XX</w:t>
      </w:r>
      <w:proofErr w:type="spellEnd"/>
      <w:r w:rsidRPr="00213016">
        <w:rPr>
          <w:rFonts w:ascii="Times New Roman" w:hAnsi="Times New Roman" w:cs="Times New Roman"/>
          <w:sz w:val="24"/>
          <w:szCs w:val="24"/>
        </w:rPr>
        <w:t>/2026;</w:t>
      </w:r>
    </w:p>
    <w:p w14:paraId="366F7A25"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5.2.2. pentru riscul de marfă, în conformitate cu capitolul VI din Regulamentul </w:t>
      </w:r>
      <w:proofErr w:type="spellStart"/>
      <w:r w:rsidRPr="00213016">
        <w:rPr>
          <w:rFonts w:ascii="Times New Roman" w:hAnsi="Times New Roman" w:cs="Times New Roman"/>
          <w:sz w:val="24"/>
          <w:szCs w:val="24"/>
        </w:rPr>
        <w:t>nr.XX</w:t>
      </w:r>
      <w:proofErr w:type="spellEnd"/>
      <w:r w:rsidRPr="00213016">
        <w:rPr>
          <w:rFonts w:ascii="Times New Roman" w:hAnsi="Times New Roman" w:cs="Times New Roman"/>
          <w:sz w:val="24"/>
          <w:szCs w:val="24"/>
        </w:rPr>
        <w:t>/2026; și</w:t>
      </w:r>
    </w:p>
    <w:p w14:paraId="5487110E" w14:textId="6DADB315" w:rsid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5.2.3. pentru riscul de schimb valutar, în conformitate cu capitolul V din Regulamentul </w:t>
      </w:r>
      <w:proofErr w:type="spellStart"/>
      <w:r w:rsidRPr="00213016">
        <w:rPr>
          <w:rFonts w:ascii="Times New Roman" w:hAnsi="Times New Roman" w:cs="Times New Roman"/>
          <w:sz w:val="24"/>
          <w:szCs w:val="24"/>
        </w:rPr>
        <w:t>nr.XX</w:t>
      </w:r>
      <w:proofErr w:type="spellEnd"/>
      <w:r w:rsidRPr="00213016">
        <w:rPr>
          <w:rFonts w:ascii="Times New Roman" w:hAnsi="Times New Roman" w:cs="Times New Roman"/>
          <w:sz w:val="24"/>
          <w:szCs w:val="24"/>
        </w:rPr>
        <w:t>/2026.</w:t>
      </w:r>
    </w:p>
    <w:p w14:paraId="6D25BF5E"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lastRenderedPageBreak/>
        <w:t xml:space="preserve">6. Pentru opțiunile sau </w:t>
      </w:r>
      <w:proofErr w:type="spellStart"/>
      <w:r w:rsidRPr="00213016">
        <w:rPr>
          <w:rFonts w:ascii="Times New Roman" w:hAnsi="Times New Roman" w:cs="Times New Roman"/>
          <w:sz w:val="24"/>
          <w:szCs w:val="24"/>
        </w:rPr>
        <w:t>warranturile</w:t>
      </w:r>
      <w:proofErr w:type="spellEnd"/>
      <w:r w:rsidRPr="00213016">
        <w:rPr>
          <w:rFonts w:ascii="Times New Roman" w:hAnsi="Times New Roman" w:cs="Times New Roman"/>
          <w:sz w:val="24"/>
          <w:szCs w:val="24"/>
        </w:rPr>
        <w:t xml:space="preserve"> care se încadrează în una dintre următoarele două categorii, cuantumul brut menționat la pct.5 se determină în conformitate cu pct.7-8:</w:t>
      </w:r>
    </w:p>
    <w:p w14:paraId="5C2B75C1"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6.1. în cazul în care cumpărătorul are dreptul necondiționat de a cumpăra activul suport la un preț prestabilit la scadență sau în orice moment înainte de scadență și în cazul în care vânzătorul are obligația de a îndeplini cererea cumpărătorului („opțiuni sau </w:t>
      </w:r>
      <w:proofErr w:type="spellStart"/>
      <w:r w:rsidRPr="00213016">
        <w:rPr>
          <w:rFonts w:ascii="Times New Roman" w:hAnsi="Times New Roman" w:cs="Times New Roman"/>
          <w:sz w:val="24"/>
          <w:szCs w:val="24"/>
        </w:rPr>
        <w:t>warranturi</w:t>
      </w:r>
      <w:proofErr w:type="spellEnd"/>
      <w:r w:rsidRPr="00213016">
        <w:rPr>
          <w:rFonts w:ascii="Times New Roman" w:hAnsi="Times New Roman" w:cs="Times New Roman"/>
          <w:sz w:val="24"/>
          <w:szCs w:val="24"/>
        </w:rPr>
        <w:t xml:space="preserve"> </w:t>
      </w:r>
      <w:proofErr w:type="spellStart"/>
      <w:r w:rsidRPr="00213016">
        <w:rPr>
          <w:rFonts w:ascii="Times New Roman" w:hAnsi="Times New Roman" w:cs="Times New Roman"/>
          <w:sz w:val="24"/>
          <w:szCs w:val="24"/>
        </w:rPr>
        <w:t>call</w:t>
      </w:r>
      <w:proofErr w:type="spellEnd"/>
      <w:r w:rsidRPr="00213016">
        <w:rPr>
          <w:rFonts w:ascii="Times New Roman" w:hAnsi="Times New Roman" w:cs="Times New Roman"/>
          <w:sz w:val="24"/>
          <w:szCs w:val="24"/>
        </w:rPr>
        <w:t xml:space="preserve"> simple”);</w:t>
      </w:r>
    </w:p>
    <w:p w14:paraId="7F2C9A3B" w14:textId="0A5149A7" w:rsid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6.2. în cazul în care cumpărătorul are dreptul necondiționat de a vinde activul suport în același mod ca cel descris la subpct.6.1 („opțiuni sau </w:t>
      </w:r>
      <w:proofErr w:type="spellStart"/>
      <w:r w:rsidRPr="00213016">
        <w:rPr>
          <w:rFonts w:ascii="Times New Roman" w:hAnsi="Times New Roman" w:cs="Times New Roman"/>
          <w:sz w:val="24"/>
          <w:szCs w:val="24"/>
        </w:rPr>
        <w:t>warranturi</w:t>
      </w:r>
      <w:proofErr w:type="spellEnd"/>
      <w:r w:rsidRPr="00213016">
        <w:rPr>
          <w:rFonts w:ascii="Times New Roman" w:hAnsi="Times New Roman" w:cs="Times New Roman"/>
          <w:sz w:val="24"/>
          <w:szCs w:val="24"/>
        </w:rPr>
        <w:t xml:space="preserve"> put simple”).</w:t>
      </w:r>
    </w:p>
    <w:p w14:paraId="0E725A53"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7. Cuantumul brut menționat la pct.5 se calculează ca fiind cuantumul cel mai mare dintre zero și valoarea de piață a activului suport înmulțită cu suma cerințelor de fonduri proprii privind riscul de piață specific și general pentru suport minus valoarea profitului, dacă există, rezultat din executarea instantanee a opțiunii („în bani”), în cazul în care este îndeplinită una dintre următoarele condiții:</w:t>
      </w:r>
    </w:p>
    <w:p w14:paraId="53FFDCF8"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7.1. opțiunea sau </w:t>
      </w:r>
      <w:proofErr w:type="spellStart"/>
      <w:r w:rsidRPr="00213016">
        <w:rPr>
          <w:rFonts w:ascii="Times New Roman" w:hAnsi="Times New Roman" w:cs="Times New Roman"/>
          <w:sz w:val="24"/>
          <w:szCs w:val="24"/>
        </w:rPr>
        <w:t>warrantul</w:t>
      </w:r>
      <w:proofErr w:type="spellEnd"/>
      <w:r w:rsidRPr="00213016">
        <w:rPr>
          <w:rFonts w:ascii="Times New Roman" w:hAnsi="Times New Roman" w:cs="Times New Roman"/>
          <w:sz w:val="24"/>
          <w:szCs w:val="24"/>
        </w:rPr>
        <w:t xml:space="preserve"> include dreptul de a vinde activul-suport („</w:t>
      </w:r>
      <w:proofErr w:type="spellStart"/>
      <w:r w:rsidRPr="00213016">
        <w:rPr>
          <w:rFonts w:ascii="Times New Roman" w:hAnsi="Times New Roman" w:cs="Times New Roman"/>
          <w:sz w:val="24"/>
          <w:szCs w:val="24"/>
        </w:rPr>
        <w:t>long</w:t>
      </w:r>
      <w:proofErr w:type="spellEnd"/>
      <w:r w:rsidRPr="00213016">
        <w:rPr>
          <w:rFonts w:ascii="Times New Roman" w:hAnsi="Times New Roman" w:cs="Times New Roman"/>
          <w:sz w:val="24"/>
          <w:szCs w:val="24"/>
        </w:rPr>
        <w:t xml:space="preserve"> put”) și se combină cu deținerile din activul-suport („poziție lungă în instrumentul suport”);</w:t>
      </w:r>
    </w:p>
    <w:p w14:paraId="4C12F5F3" w14:textId="19CD067D" w:rsid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7.2. opțiunea sau </w:t>
      </w:r>
      <w:proofErr w:type="spellStart"/>
      <w:r w:rsidRPr="00213016">
        <w:rPr>
          <w:rFonts w:ascii="Times New Roman" w:hAnsi="Times New Roman" w:cs="Times New Roman"/>
          <w:sz w:val="24"/>
          <w:szCs w:val="24"/>
        </w:rPr>
        <w:t>warrantul</w:t>
      </w:r>
      <w:proofErr w:type="spellEnd"/>
      <w:r w:rsidRPr="00213016">
        <w:rPr>
          <w:rFonts w:ascii="Times New Roman" w:hAnsi="Times New Roman" w:cs="Times New Roman"/>
          <w:sz w:val="24"/>
          <w:szCs w:val="24"/>
        </w:rPr>
        <w:t xml:space="preserve"> include dreptul de a cumpăra activul-suport („</w:t>
      </w:r>
      <w:proofErr w:type="spellStart"/>
      <w:r w:rsidRPr="00213016">
        <w:rPr>
          <w:rFonts w:ascii="Times New Roman" w:hAnsi="Times New Roman" w:cs="Times New Roman"/>
          <w:sz w:val="24"/>
          <w:szCs w:val="24"/>
        </w:rPr>
        <w:t>long</w:t>
      </w:r>
      <w:proofErr w:type="spellEnd"/>
      <w:r w:rsidRPr="00213016">
        <w:rPr>
          <w:rFonts w:ascii="Times New Roman" w:hAnsi="Times New Roman" w:cs="Times New Roman"/>
          <w:sz w:val="24"/>
          <w:szCs w:val="24"/>
        </w:rPr>
        <w:t xml:space="preserve"> </w:t>
      </w:r>
      <w:proofErr w:type="spellStart"/>
      <w:r w:rsidRPr="00213016">
        <w:rPr>
          <w:rFonts w:ascii="Times New Roman" w:hAnsi="Times New Roman" w:cs="Times New Roman"/>
          <w:sz w:val="24"/>
          <w:szCs w:val="24"/>
        </w:rPr>
        <w:t>call</w:t>
      </w:r>
      <w:proofErr w:type="spellEnd"/>
      <w:r w:rsidRPr="00213016">
        <w:rPr>
          <w:rFonts w:ascii="Times New Roman" w:hAnsi="Times New Roman" w:cs="Times New Roman"/>
          <w:sz w:val="24"/>
          <w:szCs w:val="24"/>
        </w:rPr>
        <w:t>”) și se combină cu promisiunea de a vinde deținerile din instrumentul suport („poziție scurtă în activul-suport”).</w:t>
      </w:r>
    </w:p>
    <w:p w14:paraId="6DCB6C58"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8. În cazul în care opțiunea sau </w:t>
      </w:r>
      <w:proofErr w:type="spellStart"/>
      <w:r w:rsidRPr="00213016">
        <w:rPr>
          <w:rFonts w:ascii="Times New Roman" w:hAnsi="Times New Roman" w:cs="Times New Roman"/>
          <w:sz w:val="24"/>
          <w:szCs w:val="24"/>
        </w:rPr>
        <w:t>warrantul</w:t>
      </w:r>
      <w:proofErr w:type="spellEnd"/>
      <w:r w:rsidRPr="00213016">
        <w:rPr>
          <w:rFonts w:ascii="Times New Roman" w:hAnsi="Times New Roman" w:cs="Times New Roman"/>
          <w:sz w:val="24"/>
          <w:szCs w:val="24"/>
        </w:rPr>
        <w:t xml:space="preserve"> include dreptul de a cumpăra activul-suport („</w:t>
      </w:r>
      <w:proofErr w:type="spellStart"/>
      <w:r w:rsidRPr="00213016">
        <w:rPr>
          <w:rFonts w:ascii="Times New Roman" w:hAnsi="Times New Roman" w:cs="Times New Roman"/>
          <w:sz w:val="24"/>
          <w:szCs w:val="24"/>
        </w:rPr>
        <w:t>long</w:t>
      </w:r>
      <w:proofErr w:type="spellEnd"/>
      <w:r w:rsidRPr="00213016">
        <w:rPr>
          <w:rFonts w:ascii="Times New Roman" w:hAnsi="Times New Roman" w:cs="Times New Roman"/>
          <w:sz w:val="24"/>
          <w:szCs w:val="24"/>
        </w:rPr>
        <w:t xml:space="preserve"> </w:t>
      </w:r>
      <w:proofErr w:type="spellStart"/>
      <w:r w:rsidRPr="00213016">
        <w:rPr>
          <w:rFonts w:ascii="Times New Roman" w:hAnsi="Times New Roman" w:cs="Times New Roman"/>
          <w:sz w:val="24"/>
          <w:szCs w:val="24"/>
        </w:rPr>
        <w:t>call</w:t>
      </w:r>
      <w:proofErr w:type="spellEnd"/>
      <w:r w:rsidRPr="00213016">
        <w:rPr>
          <w:rFonts w:ascii="Times New Roman" w:hAnsi="Times New Roman" w:cs="Times New Roman"/>
          <w:sz w:val="24"/>
          <w:szCs w:val="24"/>
        </w:rPr>
        <w:t>”) sau dreptul de a vinde activul-suport („</w:t>
      </w:r>
      <w:proofErr w:type="spellStart"/>
      <w:r w:rsidRPr="00213016">
        <w:rPr>
          <w:rFonts w:ascii="Times New Roman" w:hAnsi="Times New Roman" w:cs="Times New Roman"/>
          <w:sz w:val="24"/>
          <w:szCs w:val="24"/>
        </w:rPr>
        <w:t>long</w:t>
      </w:r>
      <w:proofErr w:type="spellEnd"/>
      <w:r w:rsidRPr="00213016">
        <w:rPr>
          <w:rFonts w:ascii="Times New Roman" w:hAnsi="Times New Roman" w:cs="Times New Roman"/>
          <w:sz w:val="24"/>
          <w:szCs w:val="24"/>
        </w:rPr>
        <w:t xml:space="preserve"> put”), cuantumul brut menționat la pct.5 este cuantumul cel mai mic dintre următoarele două cuantumuri:</w:t>
      </w:r>
    </w:p>
    <w:p w14:paraId="300864E8"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8.1. valoarea de piață a activului-suport înmulțită cu suma cerințelor specifice și generale privind riscul de piață pentru activul-suport;</w:t>
      </w:r>
    </w:p>
    <w:p w14:paraId="4515BB9E" w14:textId="4D13D25A" w:rsid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8.2. valoarea poziției determinate prin metoda marcării la piață sau prin metoda marcării la model, astfel cum se prevede la subpct.16.2 și 16.3 din Regulamentul </w:t>
      </w:r>
      <w:proofErr w:type="spellStart"/>
      <w:r w:rsidRPr="00213016">
        <w:rPr>
          <w:rFonts w:ascii="Times New Roman" w:hAnsi="Times New Roman" w:cs="Times New Roman"/>
          <w:sz w:val="24"/>
          <w:szCs w:val="24"/>
        </w:rPr>
        <w:t>nr.XX</w:t>
      </w:r>
      <w:proofErr w:type="spellEnd"/>
      <w:r w:rsidRPr="00213016">
        <w:rPr>
          <w:rFonts w:ascii="Times New Roman" w:hAnsi="Times New Roman" w:cs="Times New Roman"/>
          <w:sz w:val="24"/>
          <w:szCs w:val="24"/>
        </w:rPr>
        <w:t>/2026 („valoarea de piață a opțiunii sau a warantului”).</w:t>
      </w:r>
    </w:p>
    <w:p w14:paraId="0C6F4DB6" w14:textId="65C6DB0E" w:rsid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9. Pentru toate tipurile de opțiuni sau de </w:t>
      </w:r>
      <w:proofErr w:type="spellStart"/>
      <w:r w:rsidRPr="00213016">
        <w:rPr>
          <w:rFonts w:ascii="Times New Roman" w:hAnsi="Times New Roman" w:cs="Times New Roman"/>
          <w:sz w:val="24"/>
          <w:szCs w:val="24"/>
        </w:rPr>
        <w:t>warranturi</w:t>
      </w:r>
      <w:proofErr w:type="spellEnd"/>
      <w:r w:rsidRPr="00213016">
        <w:rPr>
          <w:rFonts w:ascii="Times New Roman" w:hAnsi="Times New Roman" w:cs="Times New Roman"/>
          <w:sz w:val="24"/>
          <w:szCs w:val="24"/>
        </w:rPr>
        <w:t xml:space="preserve"> care nu prezintă caracteristicile menționate la</w:t>
      </w:r>
      <w:r w:rsidR="0083411F">
        <w:rPr>
          <w:rFonts w:ascii="Times New Roman" w:hAnsi="Times New Roman" w:cs="Times New Roman"/>
          <w:sz w:val="24"/>
          <w:szCs w:val="24"/>
        </w:rPr>
        <w:t xml:space="preserve"> </w:t>
      </w:r>
      <w:r w:rsidRPr="00213016">
        <w:rPr>
          <w:rFonts w:ascii="Times New Roman" w:hAnsi="Times New Roman" w:cs="Times New Roman"/>
          <w:sz w:val="24"/>
          <w:szCs w:val="24"/>
        </w:rPr>
        <w:t xml:space="preserve">pct.6, cuantumul brut menționat la pct.5 este valoarea de piață a opțiunii sau a </w:t>
      </w:r>
      <w:proofErr w:type="spellStart"/>
      <w:r w:rsidRPr="00213016">
        <w:rPr>
          <w:rFonts w:ascii="Times New Roman" w:hAnsi="Times New Roman" w:cs="Times New Roman"/>
          <w:sz w:val="24"/>
          <w:szCs w:val="24"/>
        </w:rPr>
        <w:t>warrantului</w:t>
      </w:r>
      <w:proofErr w:type="spellEnd"/>
      <w:r w:rsidRPr="00213016">
        <w:rPr>
          <w:rFonts w:ascii="Times New Roman" w:hAnsi="Times New Roman" w:cs="Times New Roman"/>
          <w:sz w:val="24"/>
          <w:szCs w:val="24"/>
        </w:rPr>
        <w:t>.</w:t>
      </w:r>
    </w:p>
    <w:p w14:paraId="04E510AB" w14:textId="5A6D3633" w:rsidR="00213016" w:rsidRDefault="00213016" w:rsidP="00213016">
      <w:pPr>
        <w:rPr>
          <w:rFonts w:ascii="Times New Roman" w:hAnsi="Times New Roman" w:cs="Times New Roman"/>
          <w:b/>
          <w:bCs/>
          <w:sz w:val="24"/>
          <w:szCs w:val="24"/>
        </w:rPr>
      </w:pPr>
      <w:r w:rsidRPr="00CC1E9B">
        <w:rPr>
          <w:rFonts w:ascii="Times New Roman" w:hAnsi="Times New Roman" w:cs="Times New Roman"/>
          <w:b/>
          <w:bCs/>
          <w:sz w:val="24"/>
          <w:szCs w:val="24"/>
        </w:rPr>
        <w:t xml:space="preserve">Secțiunea 3. </w:t>
      </w:r>
      <w:r w:rsidRPr="00095514">
        <w:rPr>
          <w:rFonts w:ascii="Times New Roman" w:hAnsi="Times New Roman" w:cs="Times New Roman"/>
          <w:b/>
          <w:bCs/>
          <w:sz w:val="24"/>
          <w:szCs w:val="24"/>
        </w:rPr>
        <w:t>Prezentare generală cu privire la determinarea cerințelor de fonduri proprii în</w:t>
      </w:r>
      <w:r w:rsidRPr="00213016">
        <w:rPr>
          <w:rFonts w:ascii="Times New Roman" w:hAnsi="Times New Roman" w:cs="Times New Roman"/>
          <w:b/>
          <w:bCs/>
          <w:sz w:val="24"/>
          <w:szCs w:val="24"/>
        </w:rPr>
        <w:t xml:space="preserve"> conformitate cu abordarea delta-plus</w:t>
      </w:r>
    </w:p>
    <w:p w14:paraId="0386522A"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10. În cazul în care băncile aleg să aplice abordarea delta-plus pentru opțiuni și </w:t>
      </w:r>
      <w:proofErr w:type="spellStart"/>
      <w:r w:rsidRPr="00213016">
        <w:rPr>
          <w:rFonts w:ascii="Times New Roman" w:hAnsi="Times New Roman" w:cs="Times New Roman"/>
          <w:sz w:val="24"/>
          <w:szCs w:val="24"/>
        </w:rPr>
        <w:t>warranturi</w:t>
      </w:r>
      <w:proofErr w:type="spellEnd"/>
      <w:r w:rsidRPr="00213016">
        <w:rPr>
          <w:rFonts w:ascii="Times New Roman" w:hAnsi="Times New Roman" w:cs="Times New Roman"/>
          <w:sz w:val="24"/>
          <w:szCs w:val="24"/>
        </w:rPr>
        <w:t xml:space="preserve"> al căror gamma este o funcție continuă în prețul suportului și al căror </w:t>
      </w:r>
      <w:proofErr w:type="spellStart"/>
      <w:r w:rsidRPr="00213016">
        <w:rPr>
          <w:rFonts w:ascii="Times New Roman" w:hAnsi="Times New Roman" w:cs="Times New Roman"/>
          <w:sz w:val="24"/>
          <w:szCs w:val="24"/>
        </w:rPr>
        <w:t>vega</w:t>
      </w:r>
      <w:proofErr w:type="spellEnd"/>
      <w:r w:rsidRPr="00213016">
        <w:rPr>
          <w:rFonts w:ascii="Times New Roman" w:hAnsi="Times New Roman" w:cs="Times New Roman"/>
          <w:sz w:val="24"/>
          <w:szCs w:val="24"/>
        </w:rPr>
        <w:t xml:space="preserve"> este o funcție continuă în volatilitatea implicită („opțiuni și </w:t>
      </w:r>
      <w:proofErr w:type="spellStart"/>
      <w:r w:rsidRPr="00213016">
        <w:rPr>
          <w:rFonts w:ascii="Times New Roman" w:hAnsi="Times New Roman" w:cs="Times New Roman"/>
          <w:sz w:val="24"/>
          <w:szCs w:val="24"/>
        </w:rPr>
        <w:t>warranturi</w:t>
      </w:r>
      <w:proofErr w:type="spellEnd"/>
      <w:r w:rsidRPr="00213016">
        <w:rPr>
          <w:rFonts w:ascii="Times New Roman" w:hAnsi="Times New Roman" w:cs="Times New Roman"/>
          <w:sz w:val="24"/>
          <w:szCs w:val="24"/>
        </w:rPr>
        <w:t xml:space="preserve"> continue”), cerințele de fonduri proprii pentru alte riscuri decât riscul delta privind opțiunile sau </w:t>
      </w:r>
      <w:proofErr w:type="spellStart"/>
      <w:r w:rsidRPr="00213016">
        <w:rPr>
          <w:rFonts w:ascii="Times New Roman" w:hAnsi="Times New Roman" w:cs="Times New Roman"/>
          <w:sz w:val="24"/>
          <w:szCs w:val="24"/>
        </w:rPr>
        <w:t>warranturile</w:t>
      </w:r>
      <w:proofErr w:type="spellEnd"/>
      <w:r w:rsidRPr="00213016">
        <w:rPr>
          <w:rFonts w:ascii="Times New Roman" w:hAnsi="Times New Roman" w:cs="Times New Roman"/>
          <w:sz w:val="24"/>
          <w:szCs w:val="24"/>
        </w:rPr>
        <w:t xml:space="preserve"> se calculează ca suma următoarelor cerințe:</w:t>
      </w:r>
    </w:p>
    <w:p w14:paraId="530AC955"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10.1. cerințele de fonduri proprii referitoare la derivata parțială a delta în raport cu prețul suportului, care pentru opțiunile sau </w:t>
      </w:r>
      <w:proofErr w:type="spellStart"/>
      <w:r w:rsidRPr="00213016">
        <w:rPr>
          <w:rFonts w:ascii="Times New Roman" w:hAnsi="Times New Roman" w:cs="Times New Roman"/>
          <w:sz w:val="24"/>
          <w:szCs w:val="24"/>
        </w:rPr>
        <w:t>warranturile</w:t>
      </w:r>
      <w:proofErr w:type="spellEnd"/>
      <w:r w:rsidRPr="00213016">
        <w:rPr>
          <w:rFonts w:ascii="Times New Roman" w:hAnsi="Times New Roman" w:cs="Times New Roman"/>
          <w:sz w:val="24"/>
          <w:szCs w:val="24"/>
        </w:rPr>
        <w:t xml:space="preserve"> pe obligațiuni este derivata parțială a delta în raport cu randamentul-la-maturitate al obligațiunii-suport și pentru instrumentele de tip </w:t>
      </w:r>
      <w:proofErr w:type="spellStart"/>
      <w:r w:rsidRPr="00213016">
        <w:rPr>
          <w:rFonts w:ascii="Times New Roman" w:hAnsi="Times New Roman" w:cs="Times New Roman"/>
          <w:sz w:val="24"/>
          <w:szCs w:val="24"/>
        </w:rPr>
        <w:t>swaption</w:t>
      </w:r>
      <w:proofErr w:type="spellEnd"/>
      <w:r w:rsidRPr="00213016">
        <w:rPr>
          <w:rFonts w:ascii="Times New Roman" w:hAnsi="Times New Roman" w:cs="Times New Roman"/>
          <w:sz w:val="24"/>
          <w:szCs w:val="24"/>
        </w:rPr>
        <w:t xml:space="preserve"> este derivata parțială a delta în raport cu rata de </w:t>
      </w:r>
      <w:proofErr w:type="spellStart"/>
      <w:r w:rsidRPr="00213016">
        <w:rPr>
          <w:rFonts w:ascii="Times New Roman" w:hAnsi="Times New Roman" w:cs="Times New Roman"/>
          <w:sz w:val="24"/>
          <w:szCs w:val="24"/>
        </w:rPr>
        <w:t>swap</w:t>
      </w:r>
      <w:proofErr w:type="spellEnd"/>
      <w:r w:rsidRPr="00213016">
        <w:rPr>
          <w:rFonts w:ascii="Times New Roman" w:hAnsi="Times New Roman" w:cs="Times New Roman"/>
          <w:sz w:val="24"/>
          <w:szCs w:val="24"/>
        </w:rPr>
        <w:t>;</w:t>
      </w:r>
    </w:p>
    <w:p w14:paraId="02E0AA50" w14:textId="5FDAA4EF" w:rsid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10.2. cerința referitoare la prima derivată parțială a valorii unei opțiuni sau a unui </w:t>
      </w:r>
      <w:proofErr w:type="spellStart"/>
      <w:r w:rsidRPr="00213016">
        <w:rPr>
          <w:rFonts w:ascii="Times New Roman" w:hAnsi="Times New Roman" w:cs="Times New Roman"/>
          <w:sz w:val="24"/>
          <w:szCs w:val="24"/>
        </w:rPr>
        <w:t>warrant</w:t>
      </w:r>
      <w:proofErr w:type="spellEnd"/>
      <w:r w:rsidRPr="00213016">
        <w:rPr>
          <w:rFonts w:ascii="Times New Roman" w:hAnsi="Times New Roman" w:cs="Times New Roman"/>
          <w:sz w:val="24"/>
          <w:szCs w:val="24"/>
        </w:rPr>
        <w:t xml:space="preserve"> în raport cu volatilitatea implicită.</w:t>
      </w:r>
    </w:p>
    <w:p w14:paraId="299ABAF9" w14:textId="7B277195" w:rsid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11. Volatilitatea implicită se consideră a fi valoarea volatilității din formula de stabilire a prețului opțiunii sau a </w:t>
      </w:r>
      <w:proofErr w:type="spellStart"/>
      <w:r w:rsidRPr="00213016">
        <w:rPr>
          <w:rFonts w:ascii="Times New Roman" w:hAnsi="Times New Roman" w:cs="Times New Roman"/>
          <w:sz w:val="24"/>
          <w:szCs w:val="24"/>
        </w:rPr>
        <w:t>warrantului</w:t>
      </w:r>
      <w:proofErr w:type="spellEnd"/>
      <w:r w:rsidRPr="00213016">
        <w:rPr>
          <w:rFonts w:ascii="Times New Roman" w:hAnsi="Times New Roman" w:cs="Times New Roman"/>
          <w:sz w:val="24"/>
          <w:szCs w:val="24"/>
        </w:rPr>
        <w:t xml:space="preserve"> pentru care, având în vedere un anumit model de stabilire a prețului și dat fiind nivelul tuturor celorlalți parametri observabili de stabilire a prețului, prețul teoretic al opțiunii sau al </w:t>
      </w:r>
      <w:proofErr w:type="spellStart"/>
      <w:r w:rsidRPr="00213016">
        <w:rPr>
          <w:rFonts w:ascii="Times New Roman" w:hAnsi="Times New Roman" w:cs="Times New Roman"/>
          <w:sz w:val="24"/>
          <w:szCs w:val="24"/>
        </w:rPr>
        <w:t>warrantului</w:t>
      </w:r>
      <w:proofErr w:type="spellEnd"/>
      <w:r w:rsidRPr="00213016">
        <w:rPr>
          <w:rFonts w:ascii="Times New Roman" w:hAnsi="Times New Roman" w:cs="Times New Roman"/>
          <w:sz w:val="24"/>
          <w:szCs w:val="24"/>
        </w:rPr>
        <w:t xml:space="preserve"> este egal cu valoarea sa de piață, „valoarea de piață” fiind înțeleasă în modul descris la pct.8.</w:t>
      </w:r>
    </w:p>
    <w:p w14:paraId="1A06B8DE"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lastRenderedPageBreak/>
        <w:t xml:space="preserve">12. Cerințele de fonduri proprii pentru alte riscuri decât riscul delta aferente opțiunilor sau </w:t>
      </w:r>
      <w:proofErr w:type="spellStart"/>
      <w:r w:rsidRPr="00213016">
        <w:rPr>
          <w:rFonts w:ascii="Times New Roman" w:hAnsi="Times New Roman" w:cs="Times New Roman"/>
          <w:sz w:val="24"/>
          <w:szCs w:val="24"/>
        </w:rPr>
        <w:t>warranturilor</w:t>
      </w:r>
      <w:proofErr w:type="spellEnd"/>
      <w:r w:rsidRPr="00213016">
        <w:rPr>
          <w:rFonts w:ascii="Times New Roman" w:hAnsi="Times New Roman" w:cs="Times New Roman"/>
          <w:sz w:val="24"/>
          <w:szCs w:val="24"/>
        </w:rPr>
        <w:t xml:space="preserve"> </w:t>
      </w:r>
      <w:proofErr w:type="spellStart"/>
      <w:r w:rsidRPr="00213016">
        <w:rPr>
          <w:rFonts w:ascii="Times New Roman" w:hAnsi="Times New Roman" w:cs="Times New Roman"/>
          <w:sz w:val="24"/>
          <w:szCs w:val="24"/>
        </w:rPr>
        <w:t>noncontinue</w:t>
      </w:r>
      <w:proofErr w:type="spellEnd"/>
      <w:r w:rsidRPr="00213016">
        <w:rPr>
          <w:rFonts w:ascii="Times New Roman" w:hAnsi="Times New Roman" w:cs="Times New Roman"/>
          <w:sz w:val="24"/>
          <w:szCs w:val="24"/>
        </w:rPr>
        <w:t xml:space="preserve"> se determină după cum urmează:</w:t>
      </w:r>
    </w:p>
    <w:p w14:paraId="0EEEDCB7"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12.1. în cazul în care opțiunile sau </w:t>
      </w:r>
      <w:proofErr w:type="spellStart"/>
      <w:r w:rsidRPr="00213016">
        <w:rPr>
          <w:rFonts w:ascii="Times New Roman" w:hAnsi="Times New Roman" w:cs="Times New Roman"/>
          <w:sz w:val="24"/>
          <w:szCs w:val="24"/>
        </w:rPr>
        <w:t>warranturile</w:t>
      </w:r>
      <w:proofErr w:type="spellEnd"/>
      <w:r w:rsidRPr="00213016">
        <w:rPr>
          <w:rFonts w:ascii="Times New Roman" w:hAnsi="Times New Roman" w:cs="Times New Roman"/>
          <w:sz w:val="24"/>
          <w:szCs w:val="24"/>
        </w:rPr>
        <w:t xml:space="preserve"> au fost cumpărate, ca cel mai mare cuantum dintre zero și diferența dintre următoarele valori:</w:t>
      </w:r>
    </w:p>
    <w:p w14:paraId="7C961791" w14:textId="56BB536A"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12.1.1 valoarea de piață a opțiunii sau a </w:t>
      </w:r>
      <w:proofErr w:type="spellStart"/>
      <w:r w:rsidRPr="00213016">
        <w:rPr>
          <w:rFonts w:ascii="Times New Roman" w:hAnsi="Times New Roman" w:cs="Times New Roman"/>
          <w:sz w:val="24"/>
          <w:szCs w:val="24"/>
        </w:rPr>
        <w:t>warrantului</w:t>
      </w:r>
      <w:proofErr w:type="spellEnd"/>
      <w:r w:rsidRPr="00213016">
        <w:rPr>
          <w:rFonts w:ascii="Times New Roman" w:hAnsi="Times New Roman" w:cs="Times New Roman"/>
          <w:sz w:val="24"/>
          <w:szCs w:val="24"/>
        </w:rPr>
        <w:t>, înțeleasă în modul descris la</w:t>
      </w:r>
      <w:r w:rsidR="00C17102">
        <w:rPr>
          <w:rFonts w:ascii="Times New Roman" w:hAnsi="Times New Roman" w:cs="Times New Roman"/>
          <w:sz w:val="24"/>
          <w:szCs w:val="24"/>
        </w:rPr>
        <w:t xml:space="preserve"> </w:t>
      </w:r>
      <w:r w:rsidRPr="00213016">
        <w:rPr>
          <w:rFonts w:ascii="Times New Roman" w:hAnsi="Times New Roman" w:cs="Times New Roman"/>
          <w:sz w:val="24"/>
          <w:szCs w:val="24"/>
        </w:rPr>
        <w:t>pct.8;</w:t>
      </w:r>
    </w:p>
    <w:p w14:paraId="251313A2"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12.1.2. cuantumul echivalentului delta ponderat la risc, înțeles în modul descris la subpct.8.2;</w:t>
      </w:r>
    </w:p>
    <w:p w14:paraId="67E4EE5D"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12.2. în cazul în care opțiunile sau </w:t>
      </w:r>
      <w:proofErr w:type="spellStart"/>
      <w:r w:rsidRPr="00213016">
        <w:rPr>
          <w:rFonts w:ascii="Times New Roman" w:hAnsi="Times New Roman" w:cs="Times New Roman"/>
          <w:sz w:val="24"/>
          <w:szCs w:val="24"/>
        </w:rPr>
        <w:t>warranturile</w:t>
      </w:r>
      <w:proofErr w:type="spellEnd"/>
      <w:r w:rsidRPr="00213016">
        <w:rPr>
          <w:rFonts w:ascii="Times New Roman" w:hAnsi="Times New Roman" w:cs="Times New Roman"/>
          <w:sz w:val="24"/>
          <w:szCs w:val="24"/>
        </w:rPr>
        <w:t xml:space="preserve"> au fost vândute, ca cel mai mare cuantum dintre zero și diferența dintre următoarele cuantumuri:</w:t>
      </w:r>
    </w:p>
    <w:p w14:paraId="54994EAF"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12.2.1. valoarea de piață relevantă a activului-suport, care se consideră a fi plata maximă posibilă la scadență, dacă aceasta este stabilită prin contract, sau valoarea de piață a activului-suport ori valoarea noțională efectivă, dacă prin contract nu este stabilită nicio plată maximă posibilă;</w:t>
      </w:r>
    </w:p>
    <w:p w14:paraId="274A236B" w14:textId="186C74CE" w:rsid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12.2.2. cuantumul echivalentului delta ponderat la risc, înțeles în modul descris la subpct.8.2.</w:t>
      </w:r>
    </w:p>
    <w:p w14:paraId="57FFCD3D" w14:textId="6E72FC78" w:rsid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13. Valoarea pentru gamma și </w:t>
      </w:r>
      <w:proofErr w:type="spellStart"/>
      <w:r w:rsidRPr="00213016">
        <w:rPr>
          <w:rFonts w:ascii="Times New Roman" w:hAnsi="Times New Roman" w:cs="Times New Roman"/>
          <w:sz w:val="24"/>
          <w:szCs w:val="24"/>
        </w:rPr>
        <w:t>vega</w:t>
      </w:r>
      <w:proofErr w:type="spellEnd"/>
      <w:r w:rsidRPr="00213016">
        <w:rPr>
          <w:rFonts w:ascii="Times New Roman" w:hAnsi="Times New Roman" w:cs="Times New Roman"/>
          <w:sz w:val="24"/>
          <w:szCs w:val="24"/>
        </w:rPr>
        <w:t xml:space="preserve"> utilizată în calcularea cerințelor de fonduri proprii se calculează utilizând un model corespunzător de stabilire a prețului, astfel cum se menționează la</w:t>
      </w:r>
      <w:r w:rsidR="0083411F">
        <w:rPr>
          <w:rFonts w:ascii="Times New Roman" w:hAnsi="Times New Roman" w:cs="Times New Roman"/>
          <w:sz w:val="24"/>
          <w:szCs w:val="24"/>
        </w:rPr>
        <w:t xml:space="preserve"> </w:t>
      </w:r>
      <w:r w:rsidRPr="00213016">
        <w:rPr>
          <w:rFonts w:ascii="Times New Roman" w:hAnsi="Times New Roman" w:cs="Times New Roman"/>
          <w:sz w:val="24"/>
          <w:szCs w:val="24"/>
        </w:rPr>
        <w:t>pct.423</w:t>
      </w:r>
      <w:r w:rsidRPr="00122069">
        <w:rPr>
          <w:rFonts w:ascii="Times New Roman" w:hAnsi="Times New Roman" w:cs="Times New Roman"/>
          <w:sz w:val="24"/>
          <w:szCs w:val="24"/>
        </w:rPr>
        <w:t xml:space="preserve">, la </w:t>
      </w:r>
      <w:r w:rsidR="00122069" w:rsidRPr="00122069">
        <w:rPr>
          <w:rFonts w:ascii="Times New Roman" w:hAnsi="Times New Roman" w:cs="Times New Roman"/>
          <w:sz w:val="24"/>
          <w:szCs w:val="24"/>
        </w:rPr>
        <w:t>pct.496-</w:t>
      </w:r>
      <w:r w:rsidR="00122069" w:rsidRPr="00A942D1">
        <w:rPr>
          <w:rFonts w:ascii="Times New Roman" w:hAnsi="Times New Roman" w:cs="Times New Roman"/>
          <w:sz w:val="24"/>
          <w:szCs w:val="24"/>
        </w:rPr>
        <w:t xml:space="preserve">499 </w:t>
      </w:r>
      <w:r w:rsidRPr="00A942D1">
        <w:rPr>
          <w:rFonts w:ascii="Times New Roman" w:hAnsi="Times New Roman" w:cs="Times New Roman"/>
          <w:sz w:val="24"/>
          <w:szCs w:val="24"/>
        </w:rPr>
        <w:t xml:space="preserve">și la </w:t>
      </w:r>
      <w:r w:rsidR="00A942D1" w:rsidRPr="00A942D1">
        <w:rPr>
          <w:rFonts w:ascii="Times New Roman" w:hAnsi="Times New Roman" w:cs="Times New Roman"/>
          <w:sz w:val="24"/>
          <w:szCs w:val="24"/>
        </w:rPr>
        <w:t>pct.521</w:t>
      </w:r>
      <w:r w:rsidR="00A942D1">
        <w:rPr>
          <w:rFonts w:ascii="Times New Roman" w:hAnsi="Times New Roman" w:cs="Times New Roman"/>
          <w:sz w:val="24"/>
          <w:szCs w:val="24"/>
        </w:rPr>
        <w:t>-522</w:t>
      </w:r>
      <w:r w:rsidRPr="00213016">
        <w:rPr>
          <w:rFonts w:ascii="Times New Roman" w:hAnsi="Times New Roman" w:cs="Times New Roman"/>
          <w:sz w:val="24"/>
          <w:szCs w:val="24"/>
        </w:rPr>
        <w:t xml:space="preserve"> din Regulamentul </w:t>
      </w:r>
      <w:proofErr w:type="spellStart"/>
      <w:r w:rsidRPr="00213016">
        <w:rPr>
          <w:rFonts w:ascii="Times New Roman" w:hAnsi="Times New Roman" w:cs="Times New Roman"/>
          <w:sz w:val="24"/>
          <w:szCs w:val="24"/>
        </w:rPr>
        <w:t>nr.XX</w:t>
      </w:r>
      <w:proofErr w:type="spellEnd"/>
      <w:r w:rsidRPr="00213016">
        <w:rPr>
          <w:rFonts w:ascii="Times New Roman" w:hAnsi="Times New Roman" w:cs="Times New Roman"/>
          <w:sz w:val="24"/>
          <w:szCs w:val="24"/>
        </w:rPr>
        <w:t xml:space="preserve">/2026. În cazul în care fie gamma, fie </w:t>
      </w:r>
      <w:proofErr w:type="spellStart"/>
      <w:r w:rsidRPr="00213016">
        <w:rPr>
          <w:rFonts w:ascii="Times New Roman" w:hAnsi="Times New Roman" w:cs="Times New Roman"/>
          <w:sz w:val="24"/>
          <w:szCs w:val="24"/>
        </w:rPr>
        <w:t>vega</w:t>
      </w:r>
      <w:proofErr w:type="spellEnd"/>
      <w:r w:rsidRPr="00213016">
        <w:rPr>
          <w:rFonts w:ascii="Times New Roman" w:hAnsi="Times New Roman" w:cs="Times New Roman"/>
          <w:sz w:val="24"/>
          <w:szCs w:val="24"/>
        </w:rPr>
        <w:t xml:space="preserve"> nu poate fi calculat în conformitate cu prezentul punct, cerința de capital privind alte riscuri decât riscul delta se calculează în conformitate cu pct.12.</w:t>
      </w:r>
    </w:p>
    <w:p w14:paraId="0D95468D" w14:textId="2DB7BBCA" w:rsidR="00213016" w:rsidRDefault="00213016" w:rsidP="00213016">
      <w:pPr>
        <w:rPr>
          <w:rFonts w:ascii="Times New Roman" w:hAnsi="Times New Roman" w:cs="Times New Roman"/>
          <w:b/>
          <w:bCs/>
          <w:sz w:val="24"/>
          <w:szCs w:val="24"/>
        </w:rPr>
      </w:pPr>
      <w:r w:rsidRPr="00CC1E9B">
        <w:rPr>
          <w:rFonts w:ascii="Times New Roman" w:hAnsi="Times New Roman" w:cs="Times New Roman"/>
          <w:b/>
          <w:bCs/>
          <w:sz w:val="24"/>
          <w:szCs w:val="24"/>
        </w:rPr>
        <w:t xml:space="preserve">Secțiunea 4. </w:t>
      </w:r>
      <w:r w:rsidRPr="00095514">
        <w:rPr>
          <w:rFonts w:ascii="Times New Roman" w:hAnsi="Times New Roman" w:cs="Times New Roman"/>
          <w:b/>
          <w:bCs/>
          <w:sz w:val="24"/>
          <w:szCs w:val="24"/>
        </w:rPr>
        <w:t>Determinarea cerințelor de fonduri proprii pentru riscul gamma în</w:t>
      </w:r>
      <w:r w:rsidRPr="00213016">
        <w:rPr>
          <w:rFonts w:ascii="Times New Roman" w:hAnsi="Times New Roman" w:cs="Times New Roman"/>
          <w:b/>
          <w:bCs/>
          <w:sz w:val="24"/>
          <w:szCs w:val="24"/>
        </w:rPr>
        <w:t xml:space="preserve"> conformitate cu abordarea delta-plus</w:t>
      </w:r>
    </w:p>
    <w:p w14:paraId="638E443C"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14. În sensul subpct.10.1, cerințele de fonduri proprii pentru riscul gamma se calculează printr-un proces constând în următoarea succesiune de etape:</w:t>
      </w:r>
    </w:p>
    <w:p w14:paraId="63DCA9D5"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14.1. pentru fiecare opțiune individuală sau </w:t>
      </w:r>
      <w:proofErr w:type="spellStart"/>
      <w:r w:rsidRPr="00213016">
        <w:rPr>
          <w:rFonts w:ascii="Times New Roman" w:hAnsi="Times New Roman" w:cs="Times New Roman"/>
          <w:sz w:val="24"/>
          <w:szCs w:val="24"/>
        </w:rPr>
        <w:t>warrant</w:t>
      </w:r>
      <w:proofErr w:type="spellEnd"/>
      <w:r w:rsidRPr="00213016">
        <w:rPr>
          <w:rFonts w:ascii="Times New Roman" w:hAnsi="Times New Roman" w:cs="Times New Roman"/>
          <w:sz w:val="24"/>
          <w:szCs w:val="24"/>
        </w:rPr>
        <w:t xml:space="preserve"> individual, se calculează impactul gamma;</w:t>
      </w:r>
    </w:p>
    <w:p w14:paraId="236C29C5" w14:textId="77777777" w:rsidR="00213016" w:rsidRP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 xml:space="preserve">14.2. impacturile gamma ale opțiunilor sau ale </w:t>
      </w:r>
      <w:proofErr w:type="spellStart"/>
      <w:r w:rsidRPr="00213016">
        <w:rPr>
          <w:rFonts w:ascii="Times New Roman" w:hAnsi="Times New Roman" w:cs="Times New Roman"/>
          <w:sz w:val="24"/>
          <w:szCs w:val="24"/>
        </w:rPr>
        <w:t>warranturilor</w:t>
      </w:r>
      <w:proofErr w:type="spellEnd"/>
      <w:r w:rsidRPr="00213016">
        <w:rPr>
          <w:rFonts w:ascii="Times New Roman" w:hAnsi="Times New Roman" w:cs="Times New Roman"/>
          <w:sz w:val="24"/>
          <w:szCs w:val="24"/>
        </w:rPr>
        <w:t xml:space="preserve"> individuale care se referă la același tip de suport distinct se adună;</w:t>
      </w:r>
    </w:p>
    <w:p w14:paraId="3DF1ACDF" w14:textId="078B38CC" w:rsidR="00213016" w:rsidRDefault="00213016" w:rsidP="00213016">
      <w:pPr>
        <w:rPr>
          <w:rFonts w:ascii="Times New Roman" w:hAnsi="Times New Roman" w:cs="Times New Roman"/>
          <w:sz w:val="24"/>
          <w:szCs w:val="24"/>
        </w:rPr>
      </w:pPr>
      <w:r w:rsidRPr="00213016">
        <w:rPr>
          <w:rFonts w:ascii="Times New Roman" w:hAnsi="Times New Roman" w:cs="Times New Roman"/>
          <w:sz w:val="24"/>
          <w:szCs w:val="24"/>
        </w:rPr>
        <w:t>14.3. valoarea absolută a sumei tuturor valorilor negative care rezultă din etapa de la subpct.14.2 furnizează cerințele de fonduri proprii pentru riscul gamma. Valorile pozitive care rezultă din etapa de la subpct.14.2 nu se iau în considerare.</w:t>
      </w:r>
    </w:p>
    <w:p w14:paraId="29F5CAD0" w14:textId="1E52E8A0" w:rsidR="00F15272" w:rsidRDefault="00F15272" w:rsidP="00213016">
      <w:pPr>
        <w:rPr>
          <w:rFonts w:ascii="Times New Roman" w:hAnsi="Times New Roman" w:cs="Times New Roman"/>
          <w:sz w:val="24"/>
          <w:szCs w:val="24"/>
        </w:rPr>
      </w:pPr>
      <w:r w:rsidRPr="00F15272">
        <w:rPr>
          <w:rFonts w:ascii="Times New Roman" w:hAnsi="Times New Roman" w:cs="Times New Roman"/>
          <w:sz w:val="24"/>
          <w:szCs w:val="24"/>
        </w:rPr>
        <w:t>15. Pentru etapa de la subpct.14.1, impacturile gamma se calculează în conformitate cu formula descrisă în tabelul nr.1.</w:t>
      </w:r>
    </w:p>
    <w:p w14:paraId="74A0C1A2"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16. Pentru etapa de la subpct.14.2, un tip de suport distinct este:</w:t>
      </w:r>
    </w:p>
    <w:p w14:paraId="56315F08"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 xml:space="preserve">16.1. pentru ratele dobânzii în aceeași monedă: fiecare bandă de scadență, astfel cum este stabilită în tabelul 2 de la 2013titlul II, capitolul IV, secțiunea 2, subsecțiunea 2, paragraful 1 din Regulamentul </w:t>
      </w:r>
      <w:proofErr w:type="spellStart"/>
      <w:r w:rsidRPr="0054280F">
        <w:rPr>
          <w:rFonts w:ascii="Times New Roman" w:hAnsi="Times New Roman" w:cs="Times New Roman"/>
          <w:sz w:val="24"/>
          <w:szCs w:val="24"/>
        </w:rPr>
        <w:t>nr.XX</w:t>
      </w:r>
      <w:proofErr w:type="spellEnd"/>
      <w:r w:rsidRPr="0054280F">
        <w:rPr>
          <w:rFonts w:ascii="Times New Roman" w:hAnsi="Times New Roman" w:cs="Times New Roman"/>
          <w:sz w:val="24"/>
          <w:szCs w:val="24"/>
        </w:rPr>
        <w:t>/2026;</w:t>
      </w:r>
    </w:p>
    <w:p w14:paraId="3F17A76C" w14:textId="1E083A2B"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 xml:space="preserve">16.2. pentru titluri de capital și indici bursieri: fiecare piață, astfel cum este definită </w:t>
      </w:r>
      <w:r w:rsidR="00C16C6F">
        <w:rPr>
          <w:rFonts w:ascii="Times New Roman" w:hAnsi="Times New Roman" w:cs="Times New Roman"/>
          <w:sz w:val="24"/>
          <w:szCs w:val="24"/>
        </w:rPr>
        <w:t xml:space="preserve">la pct.469 din Regulamentul </w:t>
      </w:r>
      <w:proofErr w:type="spellStart"/>
      <w:r w:rsidR="00C16C6F">
        <w:rPr>
          <w:rFonts w:ascii="Times New Roman" w:hAnsi="Times New Roman" w:cs="Times New Roman"/>
          <w:sz w:val="24"/>
          <w:szCs w:val="24"/>
        </w:rPr>
        <w:t>nr.XX</w:t>
      </w:r>
      <w:proofErr w:type="spellEnd"/>
      <w:r w:rsidR="00C16C6F">
        <w:rPr>
          <w:rFonts w:ascii="Times New Roman" w:hAnsi="Times New Roman" w:cs="Times New Roman"/>
          <w:sz w:val="24"/>
          <w:szCs w:val="24"/>
        </w:rPr>
        <w:t>/2026</w:t>
      </w:r>
      <w:r w:rsidRPr="00CC1E9B">
        <w:rPr>
          <w:rFonts w:ascii="Times New Roman" w:hAnsi="Times New Roman" w:cs="Times New Roman"/>
          <w:sz w:val="24"/>
          <w:szCs w:val="24"/>
        </w:rPr>
        <w:t>;</w:t>
      </w:r>
    </w:p>
    <w:p w14:paraId="097EBB32"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16.3. pentru valută și aur: fiecare pereche valutară și aurul;</w:t>
      </w:r>
    </w:p>
    <w:p w14:paraId="0CD57972" w14:textId="3CAC482E" w:rsid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 xml:space="preserve">16.4. pentru mărfuri: mărfurile considerate identice, astfel cum sunt definite la </w:t>
      </w:r>
      <w:r w:rsidR="00C16C6F" w:rsidRPr="00CC1E9B">
        <w:rPr>
          <w:rFonts w:ascii="Times New Roman" w:hAnsi="Times New Roman" w:cs="Times New Roman"/>
          <w:sz w:val="24"/>
          <w:szCs w:val="24"/>
        </w:rPr>
        <w:t xml:space="preserve">pct.518 din Regulamentul </w:t>
      </w:r>
      <w:proofErr w:type="spellStart"/>
      <w:r w:rsidR="00C16C6F" w:rsidRPr="00CC1E9B">
        <w:rPr>
          <w:rFonts w:ascii="Times New Roman" w:hAnsi="Times New Roman" w:cs="Times New Roman"/>
          <w:sz w:val="24"/>
          <w:szCs w:val="24"/>
        </w:rPr>
        <w:t>nr.XX</w:t>
      </w:r>
      <w:proofErr w:type="spellEnd"/>
      <w:r w:rsidR="00C16C6F" w:rsidRPr="00CC1E9B">
        <w:rPr>
          <w:rFonts w:ascii="Times New Roman" w:hAnsi="Times New Roman" w:cs="Times New Roman"/>
          <w:sz w:val="24"/>
          <w:szCs w:val="24"/>
        </w:rPr>
        <w:t>/2025</w:t>
      </w:r>
      <w:r w:rsidRPr="00CC1E9B">
        <w:rPr>
          <w:rFonts w:ascii="Times New Roman" w:hAnsi="Times New Roman" w:cs="Times New Roman"/>
          <w:sz w:val="24"/>
          <w:szCs w:val="24"/>
        </w:rPr>
        <w:t>.</w:t>
      </w:r>
    </w:p>
    <w:p w14:paraId="4E432C77" w14:textId="19F2F91F" w:rsidR="0054280F" w:rsidRDefault="0054280F" w:rsidP="0054280F">
      <w:pPr>
        <w:rPr>
          <w:rFonts w:ascii="Times New Roman" w:hAnsi="Times New Roman" w:cs="Times New Roman"/>
          <w:b/>
          <w:bCs/>
          <w:sz w:val="24"/>
          <w:szCs w:val="24"/>
        </w:rPr>
      </w:pPr>
      <w:r w:rsidRPr="00CC1E9B">
        <w:rPr>
          <w:rFonts w:ascii="Times New Roman" w:hAnsi="Times New Roman" w:cs="Times New Roman"/>
          <w:b/>
          <w:bCs/>
          <w:sz w:val="24"/>
          <w:szCs w:val="24"/>
        </w:rPr>
        <w:t xml:space="preserve">Secțiunea 5. </w:t>
      </w:r>
      <w:r w:rsidRPr="00095514">
        <w:rPr>
          <w:rFonts w:ascii="Times New Roman" w:hAnsi="Times New Roman" w:cs="Times New Roman"/>
          <w:b/>
          <w:bCs/>
          <w:sz w:val="24"/>
          <w:szCs w:val="24"/>
        </w:rPr>
        <w:t xml:space="preserve">Determinarea cerințelor de fonduri proprii pentru riscul </w:t>
      </w:r>
      <w:proofErr w:type="spellStart"/>
      <w:r w:rsidRPr="00095514">
        <w:rPr>
          <w:rFonts w:ascii="Times New Roman" w:hAnsi="Times New Roman" w:cs="Times New Roman"/>
          <w:b/>
          <w:bCs/>
          <w:sz w:val="24"/>
          <w:szCs w:val="24"/>
        </w:rPr>
        <w:t>vega</w:t>
      </w:r>
      <w:proofErr w:type="spellEnd"/>
      <w:r w:rsidRPr="00095514">
        <w:rPr>
          <w:rFonts w:ascii="Times New Roman" w:hAnsi="Times New Roman" w:cs="Times New Roman"/>
          <w:b/>
          <w:bCs/>
          <w:sz w:val="24"/>
          <w:szCs w:val="24"/>
        </w:rPr>
        <w:t xml:space="preserve"> în conformitate</w:t>
      </w:r>
      <w:r w:rsidRPr="0054280F">
        <w:rPr>
          <w:rFonts w:ascii="Times New Roman" w:hAnsi="Times New Roman" w:cs="Times New Roman"/>
          <w:b/>
          <w:bCs/>
          <w:sz w:val="24"/>
          <w:szCs w:val="24"/>
        </w:rPr>
        <w:t xml:space="preserve"> cu abordarea delta-plus</w:t>
      </w:r>
    </w:p>
    <w:p w14:paraId="61287234"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lastRenderedPageBreak/>
        <w:t xml:space="preserve">17. În sensul subpct.10.2, cerința de fonduri proprii pentru riscul </w:t>
      </w:r>
      <w:proofErr w:type="spellStart"/>
      <w:r w:rsidRPr="0054280F">
        <w:rPr>
          <w:rFonts w:ascii="Times New Roman" w:hAnsi="Times New Roman" w:cs="Times New Roman"/>
          <w:sz w:val="24"/>
          <w:szCs w:val="24"/>
        </w:rPr>
        <w:t>vega</w:t>
      </w:r>
      <w:proofErr w:type="spellEnd"/>
      <w:r w:rsidRPr="0054280F">
        <w:rPr>
          <w:rFonts w:ascii="Times New Roman" w:hAnsi="Times New Roman" w:cs="Times New Roman"/>
          <w:sz w:val="24"/>
          <w:szCs w:val="24"/>
        </w:rPr>
        <w:t xml:space="preserve"> se calculează printr-un proces constând în următoarea succesiune de etape:</w:t>
      </w:r>
    </w:p>
    <w:p w14:paraId="67B213F9"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 xml:space="preserve">17.1. pentru fiecare opțiune individuală, se determină valoarea </w:t>
      </w:r>
      <w:proofErr w:type="spellStart"/>
      <w:r w:rsidRPr="0054280F">
        <w:rPr>
          <w:rFonts w:ascii="Times New Roman" w:hAnsi="Times New Roman" w:cs="Times New Roman"/>
          <w:sz w:val="24"/>
          <w:szCs w:val="24"/>
        </w:rPr>
        <w:t>vega</w:t>
      </w:r>
      <w:proofErr w:type="spellEnd"/>
      <w:r w:rsidRPr="0054280F">
        <w:rPr>
          <w:rFonts w:ascii="Times New Roman" w:hAnsi="Times New Roman" w:cs="Times New Roman"/>
          <w:sz w:val="24"/>
          <w:szCs w:val="24"/>
        </w:rPr>
        <w:t>;</w:t>
      </w:r>
    </w:p>
    <w:p w14:paraId="35B5248E"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17.2. pentru fiecare opțiune individuală, se calculează un decalaj presupus de plus/minus 25 % în volatilitatea implicită, care este înțeleasă în modul descris la pct.11;</w:t>
      </w:r>
    </w:p>
    <w:p w14:paraId="0148210C"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 xml:space="preserve">17.3. pentru fiecare opțiune individuală, valoarea </w:t>
      </w:r>
      <w:proofErr w:type="spellStart"/>
      <w:r w:rsidRPr="0054280F">
        <w:rPr>
          <w:rFonts w:ascii="Times New Roman" w:hAnsi="Times New Roman" w:cs="Times New Roman"/>
          <w:sz w:val="24"/>
          <w:szCs w:val="24"/>
        </w:rPr>
        <w:t>vega</w:t>
      </w:r>
      <w:proofErr w:type="spellEnd"/>
      <w:r w:rsidRPr="0054280F">
        <w:rPr>
          <w:rFonts w:ascii="Times New Roman" w:hAnsi="Times New Roman" w:cs="Times New Roman"/>
          <w:sz w:val="24"/>
          <w:szCs w:val="24"/>
        </w:rPr>
        <w:t xml:space="preserve"> care rezultă din etapa de la subpct.17.1 se înmulțește cu decalajul presupus în volatilitatea implicită care rezultă din etapa de la subpct.17.2;</w:t>
      </w:r>
    </w:p>
    <w:p w14:paraId="47288B72" w14:textId="6A1F6062"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17.4. pentru fiecare tip de activ distinct, înțeles în modul descris la</w:t>
      </w:r>
      <w:r w:rsidR="0083411F">
        <w:rPr>
          <w:rFonts w:ascii="Times New Roman" w:hAnsi="Times New Roman" w:cs="Times New Roman"/>
          <w:sz w:val="24"/>
          <w:szCs w:val="24"/>
        </w:rPr>
        <w:t xml:space="preserve"> </w:t>
      </w:r>
      <w:r w:rsidRPr="0054280F">
        <w:rPr>
          <w:rFonts w:ascii="Times New Roman" w:hAnsi="Times New Roman" w:cs="Times New Roman"/>
          <w:sz w:val="24"/>
          <w:szCs w:val="24"/>
        </w:rPr>
        <w:t>pct.16, valorile care rezultă din etapa de subpct.17.3 se adună;</w:t>
      </w:r>
    </w:p>
    <w:p w14:paraId="7363FF53" w14:textId="44EA08E1" w:rsid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17.5. suma valorilor absolute care rezultă din etapa de la</w:t>
      </w:r>
      <w:r w:rsidR="0083411F">
        <w:rPr>
          <w:rFonts w:ascii="Times New Roman" w:hAnsi="Times New Roman" w:cs="Times New Roman"/>
          <w:sz w:val="24"/>
          <w:szCs w:val="24"/>
        </w:rPr>
        <w:t xml:space="preserve"> </w:t>
      </w:r>
      <w:r w:rsidRPr="0054280F">
        <w:rPr>
          <w:rFonts w:ascii="Times New Roman" w:hAnsi="Times New Roman" w:cs="Times New Roman"/>
          <w:sz w:val="24"/>
          <w:szCs w:val="24"/>
        </w:rPr>
        <w:t xml:space="preserve">subpct.17.4 furnizează cerința totală de fonduri proprii pentru riscul </w:t>
      </w:r>
      <w:proofErr w:type="spellStart"/>
      <w:r w:rsidRPr="0054280F">
        <w:rPr>
          <w:rFonts w:ascii="Times New Roman" w:hAnsi="Times New Roman" w:cs="Times New Roman"/>
          <w:sz w:val="24"/>
          <w:szCs w:val="24"/>
        </w:rPr>
        <w:t>vega</w:t>
      </w:r>
      <w:proofErr w:type="spellEnd"/>
      <w:r w:rsidRPr="0054280F">
        <w:rPr>
          <w:rFonts w:ascii="Times New Roman" w:hAnsi="Times New Roman" w:cs="Times New Roman"/>
          <w:sz w:val="24"/>
          <w:szCs w:val="24"/>
        </w:rPr>
        <w:t>.</w:t>
      </w:r>
    </w:p>
    <w:p w14:paraId="2FE5CCAD" w14:textId="79029C79" w:rsidR="0054280F" w:rsidRPr="00095514" w:rsidRDefault="0054280F" w:rsidP="0054280F">
      <w:pPr>
        <w:rPr>
          <w:rFonts w:ascii="Times New Roman" w:hAnsi="Times New Roman" w:cs="Times New Roman"/>
          <w:b/>
          <w:bCs/>
          <w:sz w:val="24"/>
          <w:szCs w:val="24"/>
        </w:rPr>
      </w:pPr>
      <w:r w:rsidRPr="00CC1E9B">
        <w:rPr>
          <w:rFonts w:ascii="Times New Roman" w:hAnsi="Times New Roman" w:cs="Times New Roman"/>
          <w:b/>
          <w:bCs/>
          <w:sz w:val="24"/>
          <w:szCs w:val="24"/>
        </w:rPr>
        <w:t xml:space="preserve">Secțiunea 6. </w:t>
      </w:r>
      <w:r w:rsidRPr="00095514">
        <w:rPr>
          <w:rFonts w:ascii="Times New Roman" w:hAnsi="Times New Roman" w:cs="Times New Roman"/>
          <w:b/>
          <w:bCs/>
          <w:sz w:val="24"/>
          <w:szCs w:val="24"/>
        </w:rPr>
        <w:t>Condiții de aplicare a abordării bazate pe scenarii</w:t>
      </w:r>
    </w:p>
    <w:p w14:paraId="04418293"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18. Băncile pot utiliza abordarea bazată pe scenarii în cazul în care îndeplinesc toate cerințele următoare:</w:t>
      </w:r>
    </w:p>
    <w:p w14:paraId="603AEDAF"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18.1. au înființat o unitate de control al riscului care monitorizează riscul portofoliului de opțiuni ale băncilor și raportează rezultatele conducerii;</w:t>
      </w:r>
    </w:p>
    <w:p w14:paraId="4FBD39D3"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18.2. au notificat BNM un domeniu de aplicare predefinit al expunerilor care urmează să fie acoperite de această abordare în mod consecvent de-a lungul timpului;</w:t>
      </w:r>
    </w:p>
    <w:p w14:paraId="29603908"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18.3 integrează rezultatele abordării bazate pe scenarii în rapoartele interne către conducerea băncii.</w:t>
      </w:r>
    </w:p>
    <w:p w14:paraId="1ECD4173" w14:textId="6B78B887" w:rsid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19. În sensul subpct.18.2, băncile definesc pozițiile precise care fac obiectul abordării bazate pe scenarii, inclusiv tipul de produs sau biroul și portofoliul identificate, abordarea specifică în materie de gestionare a riscurilor care se aplică pozițiilor respective, aplicația informatică specializată care se aplică pozițiilor respective și justificarea alocării pozițiilor respective abordării bazate pe scenarii, în raport cu pozițiile care sunt alocate altor abordări.</w:t>
      </w:r>
    </w:p>
    <w:p w14:paraId="1783865B" w14:textId="1DA43AE0" w:rsidR="0054280F" w:rsidRPr="00095514" w:rsidRDefault="0054280F" w:rsidP="0054280F">
      <w:pPr>
        <w:rPr>
          <w:rFonts w:ascii="Times New Roman" w:hAnsi="Times New Roman" w:cs="Times New Roman"/>
          <w:b/>
          <w:bCs/>
          <w:sz w:val="24"/>
          <w:szCs w:val="24"/>
        </w:rPr>
      </w:pPr>
      <w:r w:rsidRPr="00CC1E9B">
        <w:rPr>
          <w:rFonts w:ascii="Times New Roman" w:hAnsi="Times New Roman" w:cs="Times New Roman"/>
          <w:b/>
          <w:bCs/>
          <w:sz w:val="24"/>
          <w:szCs w:val="24"/>
        </w:rPr>
        <w:t xml:space="preserve">Secțiunea 7. </w:t>
      </w:r>
      <w:r w:rsidRPr="00095514">
        <w:rPr>
          <w:rFonts w:ascii="Times New Roman" w:hAnsi="Times New Roman" w:cs="Times New Roman"/>
          <w:b/>
          <w:bCs/>
          <w:sz w:val="24"/>
          <w:szCs w:val="24"/>
        </w:rPr>
        <w:t>Definiția matricei de scenarii în conformitate cu abordarea bazată pe scenarii</w:t>
      </w:r>
    </w:p>
    <w:p w14:paraId="1FE4F300" w14:textId="2D4B1826" w:rsid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20. Pentru fiecare tip de suport distinct, astfel cum este menționat la pct.16, o bancă definește o matrice de scenarii care conține un set de scenarii.</w:t>
      </w:r>
    </w:p>
    <w:p w14:paraId="04124D6E"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21. Prima dimensiune a matricei de scenarii o reprezintă variațiile de preț al suportului peste și sub valoarea sa curentă. Banda de variație în cauză constă în următoarele:</w:t>
      </w:r>
    </w:p>
    <w:p w14:paraId="4D3122AB"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 xml:space="preserve">21.1. pentru opțiunile sau </w:t>
      </w:r>
      <w:proofErr w:type="spellStart"/>
      <w:r w:rsidRPr="0054280F">
        <w:rPr>
          <w:rFonts w:ascii="Times New Roman" w:hAnsi="Times New Roman" w:cs="Times New Roman"/>
          <w:sz w:val="24"/>
          <w:szCs w:val="24"/>
        </w:rPr>
        <w:t>warranturile</w:t>
      </w:r>
      <w:proofErr w:type="spellEnd"/>
      <w:r w:rsidRPr="0054280F">
        <w:rPr>
          <w:rFonts w:ascii="Times New Roman" w:hAnsi="Times New Roman" w:cs="Times New Roman"/>
          <w:sz w:val="24"/>
          <w:szCs w:val="24"/>
        </w:rPr>
        <w:t xml:space="preserve"> pe rata dobânzii, plus/minus variația presupusă a ratei dobânzii prevăzută în tabelul 2 coloana 5 de la titlul II, capitolul IV, secțiunea 2, subsecțiunea 2, paragraful 1 din Regulamentul </w:t>
      </w:r>
      <w:proofErr w:type="spellStart"/>
      <w:r w:rsidRPr="0054280F">
        <w:rPr>
          <w:rFonts w:ascii="Times New Roman" w:hAnsi="Times New Roman" w:cs="Times New Roman"/>
          <w:sz w:val="24"/>
          <w:szCs w:val="24"/>
        </w:rPr>
        <w:t>nr.XX</w:t>
      </w:r>
      <w:proofErr w:type="spellEnd"/>
      <w:r w:rsidRPr="0054280F">
        <w:rPr>
          <w:rFonts w:ascii="Times New Roman" w:hAnsi="Times New Roman" w:cs="Times New Roman"/>
          <w:sz w:val="24"/>
          <w:szCs w:val="24"/>
        </w:rPr>
        <w:t>/2026;</w:t>
      </w:r>
    </w:p>
    <w:p w14:paraId="710BCC51"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 xml:space="preserve">21.2. pentru opțiunile sau </w:t>
      </w:r>
      <w:proofErr w:type="spellStart"/>
      <w:r w:rsidRPr="0054280F">
        <w:rPr>
          <w:rFonts w:ascii="Times New Roman" w:hAnsi="Times New Roman" w:cs="Times New Roman"/>
          <w:sz w:val="24"/>
          <w:szCs w:val="24"/>
        </w:rPr>
        <w:t>warranturile</w:t>
      </w:r>
      <w:proofErr w:type="spellEnd"/>
      <w:r w:rsidRPr="0054280F">
        <w:rPr>
          <w:rFonts w:ascii="Times New Roman" w:hAnsi="Times New Roman" w:cs="Times New Roman"/>
          <w:sz w:val="24"/>
          <w:szCs w:val="24"/>
        </w:rPr>
        <w:t xml:space="preserve"> pe titluri de capital sau indici bursieri, plus/minus ponderarea prevăzută la titlul II, capitolul IV, secțiunea 3, subsecțiunea 3 din Regulamentul </w:t>
      </w:r>
      <w:proofErr w:type="spellStart"/>
      <w:r w:rsidRPr="0054280F">
        <w:rPr>
          <w:rFonts w:ascii="Times New Roman" w:hAnsi="Times New Roman" w:cs="Times New Roman"/>
          <w:sz w:val="24"/>
          <w:szCs w:val="24"/>
        </w:rPr>
        <w:t>nr.XX</w:t>
      </w:r>
      <w:proofErr w:type="spellEnd"/>
      <w:r w:rsidRPr="0054280F">
        <w:rPr>
          <w:rFonts w:ascii="Times New Roman" w:hAnsi="Times New Roman" w:cs="Times New Roman"/>
          <w:sz w:val="24"/>
          <w:szCs w:val="24"/>
        </w:rPr>
        <w:t>/2026;</w:t>
      </w:r>
    </w:p>
    <w:p w14:paraId="6CAA233A"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 xml:space="preserve">21.3. pentru opțiunile sau </w:t>
      </w:r>
      <w:proofErr w:type="spellStart"/>
      <w:r w:rsidRPr="0054280F">
        <w:rPr>
          <w:rFonts w:ascii="Times New Roman" w:hAnsi="Times New Roman" w:cs="Times New Roman"/>
          <w:sz w:val="24"/>
          <w:szCs w:val="24"/>
        </w:rPr>
        <w:t>warranturile</w:t>
      </w:r>
      <w:proofErr w:type="spellEnd"/>
      <w:r w:rsidRPr="0054280F">
        <w:rPr>
          <w:rFonts w:ascii="Times New Roman" w:hAnsi="Times New Roman" w:cs="Times New Roman"/>
          <w:sz w:val="24"/>
          <w:szCs w:val="24"/>
        </w:rPr>
        <w:t xml:space="preserve"> pe schimburi valutare și pe aur, plus/minus ponderarea prevăzută la titlul II, capitolul V, secțiunea 1 din Regulamentul </w:t>
      </w:r>
      <w:proofErr w:type="spellStart"/>
      <w:r w:rsidRPr="0054280F">
        <w:rPr>
          <w:rFonts w:ascii="Times New Roman" w:hAnsi="Times New Roman" w:cs="Times New Roman"/>
          <w:sz w:val="24"/>
          <w:szCs w:val="24"/>
        </w:rPr>
        <w:t>nr.XX</w:t>
      </w:r>
      <w:proofErr w:type="spellEnd"/>
      <w:r w:rsidRPr="0054280F">
        <w:rPr>
          <w:rFonts w:ascii="Times New Roman" w:hAnsi="Times New Roman" w:cs="Times New Roman"/>
          <w:sz w:val="24"/>
          <w:szCs w:val="24"/>
        </w:rPr>
        <w:t xml:space="preserve">/2026 sau, dacă este cazul, plus/minus ponderarea prevăzută la titlul II, capitolul V, secțiunea 4 din Regulamentul </w:t>
      </w:r>
      <w:proofErr w:type="spellStart"/>
      <w:r w:rsidRPr="0054280F">
        <w:rPr>
          <w:rFonts w:ascii="Times New Roman" w:hAnsi="Times New Roman" w:cs="Times New Roman"/>
          <w:sz w:val="24"/>
          <w:szCs w:val="24"/>
        </w:rPr>
        <w:t>nr.XX</w:t>
      </w:r>
      <w:proofErr w:type="spellEnd"/>
      <w:r w:rsidRPr="0054280F">
        <w:rPr>
          <w:rFonts w:ascii="Times New Roman" w:hAnsi="Times New Roman" w:cs="Times New Roman"/>
          <w:sz w:val="24"/>
          <w:szCs w:val="24"/>
        </w:rPr>
        <w:t>/2026;</w:t>
      </w:r>
    </w:p>
    <w:p w14:paraId="17CB80A1" w14:textId="3859EE45" w:rsid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21.4. pentru opțiunile (</w:t>
      </w:r>
      <w:proofErr w:type="spellStart"/>
      <w:r w:rsidRPr="0054280F">
        <w:rPr>
          <w:rFonts w:ascii="Times New Roman" w:hAnsi="Times New Roman" w:cs="Times New Roman"/>
          <w:sz w:val="24"/>
          <w:szCs w:val="24"/>
        </w:rPr>
        <w:t>warranturile</w:t>
      </w:r>
      <w:proofErr w:type="spellEnd"/>
      <w:r w:rsidRPr="0054280F">
        <w:rPr>
          <w:rFonts w:ascii="Times New Roman" w:hAnsi="Times New Roman" w:cs="Times New Roman"/>
          <w:sz w:val="24"/>
          <w:szCs w:val="24"/>
        </w:rPr>
        <w:t xml:space="preserve">) pe mărfuri, plus/minus ponderarea prevăzută la </w:t>
      </w:r>
      <w:r w:rsidR="009F1B38">
        <w:rPr>
          <w:rFonts w:ascii="Times New Roman" w:hAnsi="Times New Roman" w:cs="Times New Roman"/>
          <w:sz w:val="24"/>
          <w:szCs w:val="24"/>
        </w:rPr>
        <w:t>sub</w:t>
      </w:r>
      <w:r w:rsidR="009F1B38" w:rsidRPr="00CC1E9B">
        <w:rPr>
          <w:rFonts w:ascii="Times New Roman" w:hAnsi="Times New Roman" w:cs="Times New Roman"/>
          <w:sz w:val="24"/>
          <w:szCs w:val="24"/>
        </w:rPr>
        <w:t>pct.</w:t>
      </w:r>
      <w:r w:rsidR="009F1B38">
        <w:rPr>
          <w:rFonts w:ascii="Times New Roman" w:hAnsi="Times New Roman" w:cs="Times New Roman"/>
          <w:sz w:val="24"/>
          <w:szCs w:val="24"/>
        </w:rPr>
        <w:t>530.1</w:t>
      </w:r>
      <w:r w:rsidR="009F1B38" w:rsidRPr="00CC1E9B">
        <w:rPr>
          <w:rFonts w:ascii="Times New Roman" w:hAnsi="Times New Roman" w:cs="Times New Roman"/>
          <w:sz w:val="24"/>
          <w:szCs w:val="24"/>
        </w:rPr>
        <w:t xml:space="preserve"> din Regulamentul </w:t>
      </w:r>
      <w:proofErr w:type="spellStart"/>
      <w:r w:rsidR="009F1B38" w:rsidRPr="00CC1E9B">
        <w:rPr>
          <w:rFonts w:ascii="Times New Roman" w:hAnsi="Times New Roman" w:cs="Times New Roman"/>
          <w:sz w:val="24"/>
          <w:szCs w:val="24"/>
        </w:rPr>
        <w:t>nr.XX</w:t>
      </w:r>
      <w:proofErr w:type="spellEnd"/>
      <w:r w:rsidR="009F1B38" w:rsidRPr="00CC1E9B">
        <w:rPr>
          <w:rFonts w:ascii="Times New Roman" w:hAnsi="Times New Roman" w:cs="Times New Roman"/>
          <w:sz w:val="24"/>
          <w:szCs w:val="24"/>
        </w:rPr>
        <w:t>/2026</w:t>
      </w:r>
      <w:r w:rsidRPr="00CC1E9B">
        <w:rPr>
          <w:rFonts w:ascii="Times New Roman" w:hAnsi="Times New Roman" w:cs="Times New Roman"/>
          <w:sz w:val="24"/>
          <w:szCs w:val="24"/>
        </w:rPr>
        <w:t>.</w:t>
      </w:r>
    </w:p>
    <w:p w14:paraId="0D5C5CA8" w14:textId="09A93D03" w:rsid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lastRenderedPageBreak/>
        <w:t>22. Scenariile privind variația prețului suportului se definesc printr-o grilă cu cel puțin șapte puncte care include observarea curentă și împarte banda menționată la pct.21 în intervale egale.</w:t>
      </w:r>
    </w:p>
    <w:p w14:paraId="7388374F" w14:textId="00E873E5" w:rsid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 xml:space="preserve">23. A doua dimensiune a matricei de scenarii este definită de variațiile volatilității. Banda de variație a </w:t>
      </w:r>
      <w:proofErr w:type="spellStart"/>
      <w:r w:rsidRPr="0054280F">
        <w:rPr>
          <w:rFonts w:ascii="Times New Roman" w:hAnsi="Times New Roman" w:cs="Times New Roman"/>
          <w:sz w:val="24"/>
          <w:szCs w:val="24"/>
        </w:rPr>
        <w:t>volatilităților</w:t>
      </w:r>
      <w:proofErr w:type="spellEnd"/>
      <w:r w:rsidRPr="0054280F">
        <w:rPr>
          <w:rFonts w:ascii="Times New Roman" w:hAnsi="Times New Roman" w:cs="Times New Roman"/>
          <w:sz w:val="24"/>
          <w:szCs w:val="24"/>
        </w:rPr>
        <w:t xml:space="preserve"> este cuprinsă între plus/minus 25 % din volatilitatea implicită, care este înțeleasă în modul descris la pct.11. Banda respectivă se împarte într-o grilă cu cel puțin trei puncte care include o variație de 0 %, grila fiind împărțită în intervale egale.</w:t>
      </w:r>
    </w:p>
    <w:p w14:paraId="4FBDC231" w14:textId="1AA6F838" w:rsid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24. Matricea de scenarii este determinată de toate combinațiile posibile de puncte, astfel cum sunt menționate la pct.22 și 23. Fiecare combinație constituie un singur scenariu.</w:t>
      </w:r>
    </w:p>
    <w:p w14:paraId="7CF140B0" w14:textId="716C7B7C" w:rsidR="0054280F" w:rsidRPr="00095514" w:rsidRDefault="0054280F" w:rsidP="0054280F">
      <w:pPr>
        <w:rPr>
          <w:rFonts w:ascii="Times New Roman" w:hAnsi="Times New Roman" w:cs="Times New Roman"/>
          <w:b/>
          <w:bCs/>
          <w:sz w:val="24"/>
          <w:szCs w:val="24"/>
        </w:rPr>
      </w:pPr>
      <w:r w:rsidRPr="00CC1E9B">
        <w:rPr>
          <w:rFonts w:ascii="Times New Roman" w:hAnsi="Times New Roman" w:cs="Times New Roman"/>
          <w:b/>
          <w:bCs/>
          <w:sz w:val="24"/>
          <w:szCs w:val="24"/>
        </w:rPr>
        <w:t xml:space="preserve">Secțiunea 8. </w:t>
      </w:r>
      <w:r w:rsidRPr="00095514">
        <w:rPr>
          <w:rFonts w:ascii="Times New Roman" w:hAnsi="Times New Roman" w:cs="Times New Roman"/>
          <w:b/>
          <w:bCs/>
          <w:sz w:val="24"/>
          <w:szCs w:val="24"/>
        </w:rPr>
        <w:t>Determinarea cerințelor de fonduri proprii în conformitate cu abordarea bazată pe scenarii</w:t>
      </w:r>
    </w:p>
    <w:p w14:paraId="211A1BF5"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 xml:space="preserve">25. În conformitate cu abordarea bazată pe scenarii, cerința de fonduri proprii privind alte riscuri decât riscul delta ale opțiunilor sau ale </w:t>
      </w:r>
      <w:proofErr w:type="spellStart"/>
      <w:r w:rsidRPr="0054280F">
        <w:rPr>
          <w:rFonts w:ascii="Times New Roman" w:hAnsi="Times New Roman" w:cs="Times New Roman"/>
          <w:sz w:val="24"/>
          <w:szCs w:val="24"/>
        </w:rPr>
        <w:t>warranturilor</w:t>
      </w:r>
      <w:proofErr w:type="spellEnd"/>
      <w:r w:rsidRPr="0054280F">
        <w:rPr>
          <w:rFonts w:ascii="Times New Roman" w:hAnsi="Times New Roman" w:cs="Times New Roman"/>
          <w:sz w:val="24"/>
          <w:szCs w:val="24"/>
        </w:rPr>
        <w:t xml:space="preserve"> se calculează printr-un proces constând în următoarea succesiune de etape:</w:t>
      </w:r>
    </w:p>
    <w:p w14:paraId="01AF4C07"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 xml:space="preserve">25.1. pentru fiecare opțiune individuală sau </w:t>
      </w:r>
      <w:proofErr w:type="spellStart"/>
      <w:r w:rsidRPr="0054280F">
        <w:rPr>
          <w:rFonts w:ascii="Times New Roman" w:hAnsi="Times New Roman" w:cs="Times New Roman"/>
          <w:sz w:val="24"/>
          <w:szCs w:val="24"/>
        </w:rPr>
        <w:t>warrant</w:t>
      </w:r>
      <w:proofErr w:type="spellEnd"/>
      <w:r w:rsidRPr="0054280F">
        <w:rPr>
          <w:rFonts w:ascii="Times New Roman" w:hAnsi="Times New Roman" w:cs="Times New Roman"/>
          <w:sz w:val="24"/>
          <w:szCs w:val="24"/>
        </w:rPr>
        <w:t xml:space="preserve"> individual, toate scenariile menționate la secțiunea 7 se aplică pentru a calcula pierderea netă simulată corespunzătoare fiecărui scenariu sau câștigul net simulat corespunzător fiecărui scenariu. Simularea respectivă se efectuează utilizându-se metode de reevaluare completă, prin simularea variațiilor de preț prin utilizarea unor modele de stabilire a prețului și fără a se recurge la aproximări locale ale modelelor respective;</w:t>
      </w:r>
    </w:p>
    <w:p w14:paraId="3D046559" w14:textId="1AB2B9E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25.2. pentru fiecare tip de suport distinct, astfel cum este menționat la pct.16, se agregă valorile obținute din calculul de la</w:t>
      </w:r>
      <w:r w:rsidR="0083411F">
        <w:rPr>
          <w:rFonts w:ascii="Times New Roman" w:hAnsi="Times New Roman" w:cs="Times New Roman"/>
          <w:sz w:val="24"/>
          <w:szCs w:val="24"/>
        </w:rPr>
        <w:t xml:space="preserve"> </w:t>
      </w:r>
      <w:r w:rsidRPr="0054280F">
        <w:rPr>
          <w:rFonts w:ascii="Times New Roman" w:hAnsi="Times New Roman" w:cs="Times New Roman"/>
          <w:sz w:val="24"/>
          <w:szCs w:val="24"/>
        </w:rPr>
        <w:t>subpct.25.1 și care se referă la scenariile individuale;</w:t>
      </w:r>
    </w:p>
    <w:p w14:paraId="6CB0DD63"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25.3. pentru fiecare tip de suport distinct, astfel cum este menționat la pct.16, „scenariul relevant” se calculează ca scenariul pentru care valorile determinate în etapa de la subpct.25.2 au ca rezultat înregistrarea celei mai mari pierderi sau a celui mai mic câștig, în cazul în care nu există pierderi;</w:t>
      </w:r>
    </w:p>
    <w:p w14:paraId="582A1427"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25.4. pentru fiecare tip de suport distinct, astfel cum este menționat la pct.16, cerințele de fonduri proprii se calculează în conformitate cu formula descrisă în tabelul nr.2;</w:t>
      </w:r>
    </w:p>
    <w:p w14:paraId="5295B6B0" w14:textId="6153F94D" w:rsid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 xml:space="preserve">25.5. cerința totală de fonduri proprii în cazul altor riscuri decât riscul delta ale opțiunilor sau ale </w:t>
      </w:r>
      <w:proofErr w:type="spellStart"/>
      <w:r w:rsidRPr="0054280F">
        <w:rPr>
          <w:rFonts w:ascii="Times New Roman" w:hAnsi="Times New Roman" w:cs="Times New Roman"/>
          <w:sz w:val="24"/>
          <w:szCs w:val="24"/>
        </w:rPr>
        <w:t>warranturilor</w:t>
      </w:r>
      <w:proofErr w:type="spellEnd"/>
      <w:r w:rsidRPr="0054280F">
        <w:rPr>
          <w:rFonts w:ascii="Times New Roman" w:hAnsi="Times New Roman" w:cs="Times New Roman"/>
          <w:sz w:val="24"/>
          <w:szCs w:val="24"/>
        </w:rPr>
        <w:t xml:space="preserve"> este suma cerințelor de fonduri proprii obținute din calculul menționat în etapa de la subpct.25.4 pentru toate tipurile de suporturi distincte, astfel cum sunt menționate la pct.16.</w:t>
      </w:r>
    </w:p>
    <w:p w14:paraId="21D8F22F" w14:textId="77777777" w:rsidR="0054280F" w:rsidRPr="00CC1E9B" w:rsidRDefault="0054280F" w:rsidP="00CC1E9B">
      <w:pPr>
        <w:rPr>
          <w:rFonts w:ascii="Times New Roman" w:hAnsi="Times New Roman" w:cs="Times New Roman"/>
          <w:b/>
          <w:bCs/>
          <w:sz w:val="24"/>
          <w:szCs w:val="24"/>
        </w:rPr>
      </w:pPr>
      <w:r w:rsidRPr="00CC1E9B">
        <w:rPr>
          <w:rFonts w:ascii="Times New Roman" w:hAnsi="Times New Roman" w:cs="Times New Roman"/>
          <w:b/>
          <w:bCs/>
          <w:i/>
          <w:iCs/>
          <w:sz w:val="24"/>
          <w:szCs w:val="24"/>
        </w:rPr>
        <w:t>Tabelul nr.1</w:t>
      </w:r>
      <w:r w:rsidRPr="00CC1E9B">
        <w:rPr>
          <w:rFonts w:ascii="Times New Roman" w:hAnsi="Times New Roman" w:cs="Times New Roman"/>
          <w:b/>
          <w:bCs/>
          <w:sz w:val="24"/>
          <w:szCs w:val="24"/>
        </w:rPr>
        <w:t xml:space="preserve"> </w:t>
      </w:r>
    </w:p>
    <w:p w14:paraId="5924072B" w14:textId="3D55DBAB" w:rsidR="0054280F" w:rsidRPr="00CC1E9B" w:rsidRDefault="0054280F" w:rsidP="00CC1E9B">
      <w:pPr>
        <w:rPr>
          <w:rFonts w:ascii="Times New Roman" w:hAnsi="Times New Roman" w:cs="Times New Roman"/>
          <w:b/>
          <w:bCs/>
          <w:i/>
          <w:iCs/>
          <w:sz w:val="24"/>
          <w:szCs w:val="24"/>
        </w:rPr>
      </w:pPr>
      <w:r w:rsidRPr="00CC1E9B">
        <w:rPr>
          <w:rFonts w:ascii="Times New Roman" w:hAnsi="Times New Roman" w:cs="Times New Roman"/>
          <w:b/>
          <w:bCs/>
          <w:i/>
          <w:iCs/>
          <w:sz w:val="24"/>
          <w:szCs w:val="24"/>
        </w:rPr>
        <w:t>Formulă care trebuie utilizată în sensul pct.15</w:t>
      </w:r>
    </w:p>
    <w:p w14:paraId="21C24AB4"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1. Formulă care trebuie utilizată în sensul pct.15:</w:t>
      </w:r>
    </w:p>
    <w:p w14:paraId="35B89AB5"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Impactul gamma = 1/2 × gamma × VU2</w:t>
      </w:r>
    </w:p>
    <w:p w14:paraId="0613D7E4"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unde VU:</w:t>
      </w:r>
    </w:p>
    <w:p w14:paraId="424DF9E7"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 xml:space="preserve">1.1. pentru opțiunile sau </w:t>
      </w:r>
      <w:proofErr w:type="spellStart"/>
      <w:r w:rsidRPr="0054280F">
        <w:rPr>
          <w:rFonts w:ascii="Times New Roman" w:hAnsi="Times New Roman" w:cs="Times New Roman"/>
          <w:sz w:val="24"/>
          <w:szCs w:val="24"/>
        </w:rPr>
        <w:t>warranturile</w:t>
      </w:r>
      <w:proofErr w:type="spellEnd"/>
      <w:r w:rsidRPr="0054280F">
        <w:rPr>
          <w:rFonts w:ascii="Times New Roman" w:hAnsi="Times New Roman" w:cs="Times New Roman"/>
          <w:sz w:val="24"/>
          <w:szCs w:val="24"/>
        </w:rPr>
        <w:t xml:space="preserve"> pe rata dobânzii sau pe obligațiuni este egal cu variația presupusă a randamentului indicată în tabelul 2 coloana 5 de la titlul II, capitolul IV, secțiunea 2, subsecțiunea 2, paragraful 1 din Regulamentul </w:t>
      </w:r>
      <w:proofErr w:type="spellStart"/>
      <w:r w:rsidRPr="0054280F">
        <w:rPr>
          <w:rFonts w:ascii="Times New Roman" w:hAnsi="Times New Roman" w:cs="Times New Roman"/>
          <w:sz w:val="24"/>
          <w:szCs w:val="24"/>
        </w:rPr>
        <w:t>nr.XX</w:t>
      </w:r>
      <w:proofErr w:type="spellEnd"/>
      <w:r w:rsidRPr="0054280F">
        <w:rPr>
          <w:rFonts w:ascii="Times New Roman" w:hAnsi="Times New Roman" w:cs="Times New Roman"/>
          <w:sz w:val="24"/>
          <w:szCs w:val="24"/>
        </w:rPr>
        <w:t>/2026;</w:t>
      </w:r>
    </w:p>
    <w:p w14:paraId="4478F5F9"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 xml:space="preserve">1.2. pentru opțiunile sau </w:t>
      </w:r>
      <w:proofErr w:type="spellStart"/>
      <w:r w:rsidRPr="0054280F">
        <w:rPr>
          <w:rFonts w:ascii="Times New Roman" w:hAnsi="Times New Roman" w:cs="Times New Roman"/>
          <w:sz w:val="24"/>
          <w:szCs w:val="24"/>
        </w:rPr>
        <w:t>warranturile</w:t>
      </w:r>
      <w:proofErr w:type="spellEnd"/>
      <w:r w:rsidRPr="0054280F">
        <w:rPr>
          <w:rFonts w:ascii="Times New Roman" w:hAnsi="Times New Roman" w:cs="Times New Roman"/>
          <w:sz w:val="24"/>
          <w:szCs w:val="24"/>
        </w:rPr>
        <w:t xml:space="preserve"> pe titluri de capital și indici bursieri este egal cu valoarea de piață a suportului înmulțită cu ponderarea prevăzută la titlul II, capitolul IV, secțiunea 3, subsecțiunea 3 din Regulamentul </w:t>
      </w:r>
      <w:proofErr w:type="spellStart"/>
      <w:r w:rsidRPr="0054280F">
        <w:rPr>
          <w:rFonts w:ascii="Times New Roman" w:hAnsi="Times New Roman" w:cs="Times New Roman"/>
          <w:sz w:val="24"/>
          <w:szCs w:val="24"/>
        </w:rPr>
        <w:t>nr.XX</w:t>
      </w:r>
      <w:proofErr w:type="spellEnd"/>
      <w:r w:rsidRPr="0054280F">
        <w:rPr>
          <w:rFonts w:ascii="Times New Roman" w:hAnsi="Times New Roman" w:cs="Times New Roman"/>
          <w:sz w:val="24"/>
          <w:szCs w:val="24"/>
        </w:rPr>
        <w:t>/2026;</w:t>
      </w:r>
    </w:p>
    <w:p w14:paraId="6F81303D" w14:textId="77777777" w:rsidR="0054280F" w:rsidRP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lastRenderedPageBreak/>
        <w:t xml:space="preserve">1.3. pentru opțiunile sau </w:t>
      </w:r>
      <w:proofErr w:type="spellStart"/>
      <w:r w:rsidRPr="0054280F">
        <w:rPr>
          <w:rFonts w:ascii="Times New Roman" w:hAnsi="Times New Roman" w:cs="Times New Roman"/>
          <w:sz w:val="24"/>
          <w:szCs w:val="24"/>
        </w:rPr>
        <w:t>warranturile</w:t>
      </w:r>
      <w:proofErr w:type="spellEnd"/>
      <w:r w:rsidRPr="0054280F">
        <w:rPr>
          <w:rFonts w:ascii="Times New Roman" w:hAnsi="Times New Roman" w:cs="Times New Roman"/>
          <w:sz w:val="24"/>
          <w:szCs w:val="24"/>
        </w:rPr>
        <w:t xml:space="preserve"> pe schimburi valutare și pe aur este egal cu valoarea de piață a suportului, calculată în moneda de raportare și înmulțită cu ponderarea prevăzută la titlul II, capitolul V, secțiunea 1 din Regulamentul </w:t>
      </w:r>
      <w:proofErr w:type="spellStart"/>
      <w:r w:rsidRPr="0054280F">
        <w:rPr>
          <w:rFonts w:ascii="Times New Roman" w:hAnsi="Times New Roman" w:cs="Times New Roman"/>
          <w:sz w:val="24"/>
          <w:szCs w:val="24"/>
        </w:rPr>
        <w:t>nr.XX</w:t>
      </w:r>
      <w:proofErr w:type="spellEnd"/>
      <w:r w:rsidRPr="0054280F">
        <w:rPr>
          <w:rFonts w:ascii="Times New Roman" w:hAnsi="Times New Roman" w:cs="Times New Roman"/>
          <w:sz w:val="24"/>
          <w:szCs w:val="24"/>
        </w:rPr>
        <w:t xml:space="preserve">/2026  sau, dacă este cazul, cu ponderarea prevăzută la titlul II, capitolul V, secțiunea 4 din Regulamentul </w:t>
      </w:r>
      <w:proofErr w:type="spellStart"/>
      <w:r w:rsidRPr="0054280F">
        <w:rPr>
          <w:rFonts w:ascii="Times New Roman" w:hAnsi="Times New Roman" w:cs="Times New Roman"/>
          <w:sz w:val="24"/>
          <w:szCs w:val="24"/>
        </w:rPr>
        <w:t>nr.XX</w:t>
      </w:r>
      <w:proofErr w:type="spellEnd"/>
      <w:r w:rsidRPr="0054280F">
        <w:rPr>
          <w:rFonts w:ascii="Times New Roman" w:hAnsi="Times New Roman" w:cs="Times New Roman"/>
          <w:sz w:val="24"/>
          <w:szCs w:val="24"/>
        </w:rPr>
        <w:t>/2026;</w:t>
      </w:r>
    </w:p>
    <w:p w14:paraId="64D43DDB" w14:textId="6D169392" w:rsidR="0054280F" w:rsidRDefault="0054280F" w:rsidP="0054280F">
      <w:pPr>
        <w:rPr>
          <w:rFonts w:ascii="Times New Roman" w:hAnsi="Times New Roman" w:cs="Times New Roman"/>
          <w:sz w:val="24"/>
          <w:szCs w:val="24"/>
        </w:rPr>
      </w:pPr>
      <w:r w:rsidRPr="0054280F">
        <w:rPr>
          <w:rFonts w:ascii="Times New Roman" w:hAnsi="Times New Roman" w:cs="Times New Roman"/>
          <w:sz w:val="24"/>
          <w:szCs w:val="24"/>
        </w:rPr>
        <w:t xml:space="preserve">1.4. pentru opțiunile sau </w:t>
      </w:r>
      <w:proofErr w:type="spellStart"/>
      <w:r w:rsidRPr="0054280F">
        <w:rPr>
          <w:rFonts w:ascii="Times New Roman" w:hAnsi="Times New Roman" w:cs="Times New Roman"/>
          <w:sz w:val="24"/>
          <w:szCs w:val="24"/>
        </w:rPr>
        <w:t>warranturile</w:t>
      </w:r>
      <w:proofErr w:type="spellEnd"/>
      <w:r w:rsidRPr="0054280F">
        <w:rPr>
          <w:rFonts w:ascii="Times New Roman" w:hAnsi="Times New Roman" w:cs="Times New Roman"/>
          <w:sz w:val="24"/>
          <w:szCs w:val="24"/>
        </w:rPr>
        <w:t xml:space="preserve"> pe mărfuri, este egal cu valoarea de piață a suportului înmulțită cu ponderarea prevăzută la </w:t>
      </w:r>
      <w:r w:rsidR="009F1B38" w:rsidRPr="00CC1E9B">
        <w:rPr>
          <w:rFonts w:ascii="Times New Roman" w:hAnsi="Times New Roman" w:cs="Times New Roman"/>
          <w:sz w:val="24"/>
          <w:szCs w:val="24"/>
        </w:rPr>
        <w:t xml:space="preserve">subpct.530.1 din Regulamentul </w:t>
      </w:r>
      <w:proofErr w:type="spellStart"/>
      <w:r w:rsidR="009F1B38" w:rsidRPr="00CC1E9B">
        <w:rPr>
          <w:rFonts w:ascii="Times New Roman" w:hAnsi="Times New Roman" w:cs="Times New Roman"/>
          <w:sz w:val="24"/>
          <w:szCs w:val="24"/>
        </w:rPr>
        <w:t>nr.XX</w:t>
      </w:r>
      <w:proofErr w:type="spellEnd"/>
      <w:r w:rsidR="009F1B38" w:rsidRPr="00CC1E9B">
        <w:rPr>
          <w:rFonts w:ascii="Times New Roman" w:hAnsi="Times New Roman" w:cs="Times New Roman"/>
          <w:sz w:val="24"/>
          <w:szCs w:val="24"/>
        </w:rPr>
        <w:t>/2026.</w:t>
      </w:r>
      <w:r w:rsidRPr="00CC1E9B">
        <w:rPr>
          <w:rFonts w:ascii="Times New Roman" w:hAnsi="Times New Roman" w:cs="Times New Roman"/>
          <w:sz w:val="24"/>
          <w:szCs w:val="24"/>
        </w:rPr>
        <w:t>.</w:t>
      </w:r>
    </w:p>
    <w:p w14:paraId="238FF344" w14:textId="77777777" w:rsidR="000373D3" w:rsidRPr="00CC1E9B" w:rsidRDefault="000373D3" w:rsidP="00CC1E9B">
      <w:pPr>
        <w:rPr>
          <w:rFonts w:ascii="Times New Roman" w:hAnsi="Times New Roman" w:cs="Times New Roman"/>
          <w:b/>
          <w:bCs/>
          <w:i/>
          <w:iCs/>
          <w:sz w:val="24"/>
          <w:szCs w:val="24"/>
        </w:rPr>
      </w:pPr>
      <w:r w:rsidRPr="00CC1E9B">
        <w:rPr>
          <w:rFonts w:ascii="Times New Roman" w:hAnsi="Times New Roman" w:cs="Times New Roman"/>
          <w:b/>
          <w:bCs/>
          <w:i/>
          <w:iCs/>
          <w:sz w:val="24"/>
          <w:szCs w:val="24"/>
        </w:rPr>
        <w:t xml:space="preserve">Tabelul nr.2 </w:t>
      </w:r>
    </w:p>
    <w:p w14:paraId="0437C4B3" w14:textId="5DF88EED" w:rsidR="000373D3" w:rsidRPr="00CC1E9B" w:rsidRDefault="000373D3" w:rsidP="00CC1E9B">
      <w:pPr>
        <w:rPr>
          <w:rFonts w:ascii="Times New Roman" w:hAnsi="Times New Roman" w:cs="Times New Roman"/>
          <w:b/>
          <w:bCs/>
          <w:i/>
          <w:iCs/>
          <w:sz w:val="24"/>
          <w:szCs w:val="24"/>
        </w:rPr>
      </w:pPr>
      <w:r w:rsidRPr="00CC1E9B">
        <w:rPr>
          <w:rFonts w:ascii="Times New Roman" w:hAnsi="Times New Roman" w:cs="Times New Roman"/>
          <w:b/>
          <w:bCs/>
          <w:i/>
          <w:iCs/>
          <w:sz w:val="24"/>
          <w:szCs w:val="24"/>
        </w:rPr>
        <w:t>Formulă care trebuie utilizată în sensul subpct.25.4</w:t>
      </w:r>
    </w:p>
    <w:p w14:paraId="2E1B1006" w14:textId="77777777" w:rsidR="000373D3" w:rsidRPr="000373D3" w:rsidRDefault="000373D3" w:rsidP="000373D3">
      <w:pPr>
        <w:rPr>
          <w:rFonts w:ascii="Times New Roman" w:hAnsi="Times New Roman" w:cs="Times New Roman"/>
          <w:sz w:val="24"/>
          <w:szCs w:val="24"/>
        </w:rPr>
      </w:pPr>
      <w:r w:rsidRPr="000373D3">
        <w:rPr>
          <w:rFonts w:ascii="Times New Roman" w:hAnsi="Times New Roman" w:cs="Times New Roman"/>
          <w:sz w:val="24"/>
          <w:szCs w:val="24"/>
        </w:rPr>
        <w:t>1. Formulă care trebuie utilizată în sensul subpct.25.4</w:t>
      </w:r>
    </w:p>
    <w:p w14:paraId="5F428201" w14:textId="77777777" w:rsidR="000373D3" w:rsidRPr="000373D3" w:rsidRDefault="000373D3" w:rsidP="000373D3">
      <w:pPr>
        <w:rPr>
          <w:rFonts w:ascii="Times New Roman" w:hAnsi="Times New Roman" w:cs="Times New Roman"/>
          <w:sz w:val="24"/>
          <w:szCs w:val="24"/>
        </w:rPr>
      </w:pPr>
      <w:r w:rsidRPr="000373D3">
        <w:rPr>
          <w:rFonts w:ascii="Times New Roman" w:hAnsi="Times New Roman" w:cs="Times New Roman"/>
          <w:sz w:val="24"/>
          <w:szCs w:val="24"/>
        </w:rPr>
        <w:t xml:space="preserve">       Cerință de fonduri proprii = – min (0,PC-DE),</w:t>
      </w:r>
    </w:p>
    <w:p w14:paraId="158259AD" w14:textId="77777777" w:rsidR="000373D3" w:rsidRPr="000373D3" w:rsidRDefault="000373D3" w:rsidP="000373D3">
      <w:pPr>
        <w:rPr>
          <w:rFonts w:ascii="Times New Roman" w:hAnsi="Times New Roman" w:cs="Times New Roman"/>
          <w:sz w:val="24"/>
          <w:szCs w:val="24"/>
        </w:rPr>
      </w:pPr>
      <w:r w:rsidRPr="000373D3">
        <w:rPr>
          <w:rFonts w:ascii="Times New Roman" w:hAnsi="Times New Roman" w:cs="Times New Roman"/>
          <w:sz w:val="24"/>
          <w:szCs w:val="24"/>
        </w:rPr>
        <w:t>unde:</w:t>
      </w:r>
    </w:p>
    <w:p w14:paraId="44B6F83F" w14:textId="77777777" w:rsidR="000373D3" w:rsidRPr="000373D3" w:rsidRDefault="000373D3" w:rsidP="000373D3">
      <w:pPr>
        <w:rPr>
          <w:rFonts w:ascii="Times New Roman" w:hAnsi="Times New Roman" w:cs="Times New Roman"/>
          <w:sz w:val="24"/>
          <w:szCs w:val="24"/>
        </w:rPr>
      </w:pPr>
      <w:r w:rsidRPr="000373D3">
        <w:rPr>
          <w:rFonts w:ascii="Times New Roman" w:hAnsi="Times New Roman" w:cs="Times New Roman"/>
          <w:sz w:val="24"/>
          <w:szCs w:val="24"/>
        </w:rPr>
        <w:t xml:space="preserve">1.1. PC („Price </w:t>
      </w:r>
      <w:proofErr w:type="spellStart"/>
      <w:r w:rsidRPr="000373D3">
        <w:rPr>
          <w:rFonts w:ascii="Times New Roman" w:hAnsi="Times New Roman" w:cs="Times New Roman"/>
          <w:sz w:val="24"/>
          <w:szCs w:val="24"/>
        </w:rPr>
        <w:t>Change</w:t>
      </w:r>
      <w:proofErr w:type="spellEnd"/>
      <w:r w:rsidRPr="000373D3">
        <w:rPr>
          <w:rFonts w:ascii="Times New Roman" w:hAnsi="Times New Roman" w:cs="Times New Roman"/>
          <w:sz w:val="24"/>
          <w:szCs w:val="24"/>
        </w:rPr>
        <w:t xml:space="preserve">” — variația de preț) este suma variațiilor de preț al opțiunilor cu același tip de suport distinct, înțeles în modul descris la pct.16 (semn negativ pentru pierderi și semn pozitiv pentru câștiguri) și care corespunde scenariului relevant determinat în etapa prevăzută la subpct.25.3; </w:t>
      </w:r>
    </w:p>
    <w:p w14:paraId="3A5E5DC8" w14:textId="77777777" w:rsidR="000373D3" w:rsidRPr="000373D3" w:rsidRDefault="000373D3" w:rsidP="000373D3">
      <w:pPr>
        <w:rPr>
          <w:rFonts w:ascii="Times New Roman" w:hAnsi="Times New Roman" w:cs="Times New Roman"/>
          <w:sz w:val="24"/>
          <w:szCs w:val="24"/>
        </w:rPr>
      </w:pPr>
      <w:r w:rsidRPr="000373D3">
        <w:rPr>
          <w:rFonts w:ascii="Times New Roman" w:hAnsi="Times New Roman" w:cs="Times New Roman"/>
          <w:sz w:val="24"/>
          <w:szCs w:val="24"/>
        </w:rPr>
        <w:t xml:space="preserve">1.2. DE („delta </w:t>
      </w:r>
      <w:proofErr w:type="spellStart"/>
      <w:r w:rsidRPr="000373D3">
        <w:rPr>
          <w:rFonts w:ascii="Times New Roman" w:hAnsi="Times New Roman" w:cs="Times New Roman"/>
          <w:sz w:val="24"/>
          <w:szCs w:val="24"/>
        </w:rPr>
        <w:t>effect</w:t>
      </w:r>
      <w:proofErr w:type="spellEnd"/>
      <w:r w:rsidRPr="000373D3">
        <w:rPr>
          <w:rFonts w:ascii="Times New Roman" w:hAnsi="Times New Roman" w:cs="Times New Roman"/>
          <w:sz w:val="24"/>
          <w:szCs w:val="24"/>
        </w:rPr>
        <w:t>” — efectul delta) este efectul delta calculat după cum urmează:</w:t>
      </w:r>
    </w:p>
    <w:p w14:paraId="514093C7" w14:textId="77777777" w:rsidR="000373D3" w:rsidRPr="000373D3" w:rsidRDefault="000373D3" w:rsidP="000373D3">
      <w:pPr>
        <w:rPr>
          <w:rFonts w:ascii="Times New Roman" w:hAnsi="Times New Roman" w:cs="Times New Roman"/>
          <w:sz w:val="24"/>
          <w:szCs w:val="24"/>
        </w:rPr>
      </w:pPr>
      <w:r w:rsidRPr="000373D3">
        <w:rPr>
          <w:rFonts w:ascii="Times New Roman" w:hAnsi="Times New Roman" w:cs="Times New Roman"/>
          <w:sz w:val="24"/>
          <w:szCs w:val="24"/>
        </w:rPr>
        <w:t xml:space="preserve">                DE = ADEV × PPCU,</w:t>
      </w:r>
    </w:p>
    <w:p w14:paraId="35721621" w14:textId="77777777" w:rsidR="000373D3" w:rsidRPr="000373D3" w:rsidRDefault="000373D3" w:rsidP="000373D3">
      <w:pPr>
        <w:rPr>
          <w:rFonts w:ascii="Times New Roman" w:hAnsi="Times New Roman" w:cs="Times New Roman"/>
          <w:sz w:val="24"/>
          <w:szCs w:val="24"/>
        </w:rPr>
      </w:pPr>
      <w:r w:rsidRPr="000373D3">
        <w:rPr>
          <w:rFonts w:ascii="Times New Roman" w:hAnsi="Times New Roman" w:cs="Times New Roman"/>
          <w:sz w:val="24"/>
          <w:szCs w:val="24"/>
        </w:rPr>
        <w:t>unde:</w:t>
      </w:r>
    </w:p>
    <w:p w14:paraId="74C7CBD9" w14:textId="77777777" w:rsidR="000373D3" w:rsidRPr="000373D3" w:rsidRDefault="000373D3" w:rsidP="000373D3">
      <w:pPr>
        <w:rPr>
          <w:rFonts w:ascii="Times New Roman" w:hAnsi="Times New Roman" w:cs="Times New Roman"/>
          <w:sz w:val="24"/>
          <w:szCs w:val="24"/>
        </w:rPr>
      </w:pPr>
      <w:r w:rsidRPr="000373D3">
        <w:rPr>
          <w:rFonts w:ascii="Times New Roman" w:hAnsi="Times New Roman" w:cs="Times New Roman"/>
          <w:sz w:val="24"/>
          <w:szCs w:val="24"/>
        </w:rPr>
        <w:t>1.2.1. ADEV („</w:t>
      </w:r>
      <w:proofErr w:type="spellStart"/>
      <w:r w:rsidRPr="000373D3">
        <w:rPr>
          <w:rFonts w:ascii="Times New Roman" w:hAnsi="Times New Roman" w:cs="Times New Roman"/>
          <w:sz w:val="24"/>
          <w:szCs w:val="24"/>
        </w:rPr>
        <w:t>aggregated</w:t>
      </w:r>
      <w:proofErr w:type="spellEnd"/>
      <w:r w:rsidRPr="000373D3">
        <w:rPr>
          <w:rFonts w:ascii="Times New Roman" w:hAnsi="Times New Roman" w:cs="Times New Roman"/>
          <w:sz w:val="24"/>
          <w:szCs w:val="24"/>
        </w:rPr>
        <w:t xml:space="preserve"> delta </w:t>
      </w:r>
      <w:proofErr w:type="spellStart"/>
      <w:r w:rsidRPr="000373D3">
        <w:rPr>
          <w:rFonts w:ascii="Times New Roman" w:hAnsi="Times New Roman" w:cs="Times New Roman"/>
          <w:sz w:val="24"/>
          <w:szCs w:val="24"/>
        </w:rPr>
        <w:t>equivalent</w:t>
      </w:r>
      <w:proofErr w:type="spellEnd"/>
      <w:r w:rsidRPr="000373D3">
        <w:rPr>
          <w:rFonts w:ascii="Times New Roman" w:hAnsi="Times New Roman" w:cs="Times New Roman"/>
          <w:sz w:val="24"/>
          <w:szCs w:val="24"/>
        </w:rPr>
        <w:t xml:space="preserve"> </w:t>
      </w:r>
      <w:proofErr w:type="spellStart"/>
      <w:r w:rsidRPr="000373D3">
        <w:rPr>
          <w:rFonts w:ascii="Times New Roman" w:hAnsi="Times New Roman" w:cs="Times New Roman"/>
          <w:sz w:val="24"/>
          <w:szCs w:val="24"/>
        </w:rPr>
        <w:t>value</w:t>
      </w:r>
      <w:proofErr w:type="spellEnd"/>
      <w:r w:rsidRPr="000373D3">
        <w:rPr>
          <w:rFonts w:ascii="Times New Roman" w:hAnsi="Times New Roman" w:cs="Times New Roman"/>
          <w:sz w:val="24"/>
          <w:szCs w:val="24"/>
        </w:rPr>
        <w:t>” — valoarea echivalentului delta agregat) este suma valorilor delta negative sau pozitive ale opțiunilor care au același tip de suport distinct, înțeles în modul descris la pct.16, înmulțită cu valoarea de piață a suportului contractului;</w:t>
      </w:r>
    </w:p>
    <w:p w14:paraId="5C78300B" w14:textId="2F32EF47" w:rsidR="00B3637B" w:rsidRDefault="000373D3" w:rsidP="00E44A8E">
      <w:pPr>
        <w:rPr>
          <w:rFonts w:ascii="Times New Roman" w:hAnsi="Times New Roman" w:cs="Times New Roman"/>
          <w:sz w:val="24"/>
          <w:szCs w:val="24"/>
        </w:rPr>
      </w:pPr>
      <w:r w:rsidRPr="000373D3">
        <w:rPr>
          <w:rFonts w:ascii="Times New Roman" w:hAnsi="Times New Roman" w:cs="Times New Roman"/>
          <w:sz w:val="24"/>
          <w:szCs w:val="24"/>
        </w:rPr>
        <w:t>1.2.2. PPCU („</w:t>
      </w:r>
      <w:proofErr w:type="spellStart"/>
      <w:r w:rsidRPr="000373D3">
        <w:rPr>
          <w:rFonts w:ascii="Times New Roman" w:hAnsi="Times New Roman" w:cs="Times New Roman"/>
          <w:sz w:val="24"/>
          <w:szCs w:val="24"/>
        </w:rPr>
        <w:t>percentage</w:t>
      </w:r>
      <w:proofErr w:type="spellEnd"/>
      <w:r w:rsidRPr="000373D3">
        <w:rPr>
          <w:rFonts w:ascii="Times New Roman" w:hAnsi="Times New Roman" w:cs="Times New Roman"/>
          <w:sz w:val="24"/>
          <w:szCs w:val="24"/>
        </w:rPr>
        <w:t xml:space="preserve"> price </w:t>
      </w:r>
      <w:proofErr w:type="spellStart"/>
      <w:r w:rsidRPr="000373D3">
        <w:rPr>
          <w:rFonts w:ascii="Times New Roman" w:hAnsi="Times New Roman" w:cs="Times New Roman"/>
          <w:sz w:val="24"/>
          <w:szCs w:val="24"/>
        </w:rPr>
        <w:t>change</w:t>
      </w:r>
      <w:proofErr w:type="spellEnd"/>
      <w:r w:rsidRPr="000373D3">
        <w:rPr>
          <w:rFonts w:ascii="Times New Roman" w:hAnsi="Times New Roman" w:cs="Times New Roman"/>
          <w:sz w:val="24"/>
          <w:szCs w:val="24"/>
        </w:rPr>
        <w:t xml:space="preserve"> of </w:t>
      </w:r>
      <w:proofErr w:type="spellStart"/>
      <w:r w:rsidRPr="000373D3">
        <w:rPr>
          <w:rFonts w:ascii="Times New Roman" w:hAnsi="Times New Roman" w:cs="Times New Roman"/>
          <w:sz w:val="24"/>
          <w:szCs w:val="24"/>
        </w:rPr>
        <w:t>the</w:t>
      </w:r>
      <w:proofErr w:type="spellEnd"/>
      <w:r w:rsidRPr="000373D3">
        <w:rPr>
          <w:rFonts w:ascii="Times New Roman" w:hAnsi="Times New Roman" w:cs="Times New Roman"/>
          <w:sz w:val="24"/>
          <w:szCs w:val="24"/>
        </w:rPr>
        <w:t xml:space="preserve"> </w:t>
      </w:r>
      <w:proofErr w:type="spellStart"/>
      <w:r w:rsidRPr="000373D3">
        <w:rPr>
          <w:rFonts w:ascii="Times New Roman" w:hAnsi="Times New Roman" w:cs="Times New Roman"/>
          <w:sz w:val="24"/>
          <w:szCs w:val="24"/>
        </w:rPr>
        <w:t>underlying</w:t>
      </w:r>
      <w:proofErr w:type="spellEnd"/>
      <w:r w:rsidRPr="000373D3">
        <w:rPr>
          <w:rFonts w:ascii="Times New Roman" w:hAnsi="Times New Roman" w:cs="Times New Roman"/>
          <w:sz w:val="24"/>
          <w:szCs w:val="24"/>
        </w:rPr>
        <w:t>” — procentajul variației de preț al suportului) este procentajul variației de preț al suportului, înțeles în modul descris la pct.16, care corespunde scenariului relevant determinat în etapa prevăzută la subpct.25.3.</w:t>
      </w:r>
    </w:p>
    <w:p w14:paraId="0415FAAE" w14:textId="77777777" w:rsidR="00B3637B" w:rsidRDefault="00B3637B" w:rsidP="00374DF8">
      <w:pPr>
        <w:ind w:left="4253"/>
        <w:rPr>
          <w:rFonts w:ascii="Times New Roman" w:hAnsi="Times New Roman" w:cs="Times New Roman"/>
          <w:sz w:val="24"/>
          <w:szCs w:val="24"/>
        </w:rPr>
      </w:pPr>
    </w:p>
    <w:p w14:paraId="20F79822" w14:textId="77777777" w:rsidR="00B3637B" w:rsidRDefault="00B3637B" w:rsidP="00374DF8">
      <w:pPr>
        <w:ind w:left="4253"/>
        <w:rPr>
          <w:rFonts w:ascii="Times New Roman" w:hAnsi="Times New Roman" w:cs="Times New Roman"/>
          <w:sz w:val="24"/>
          <w:szCs w:val="24"/>
        </w:rPr>
      </w:pPr>
    </w:p>
    <w:p w14:paraId="5564102B" w14:textId="77777777" w:rsidR="00B3637B" w:rsidRDefault="00B3637B" w:rsidP="00374DF8">
      <w:pPr>
        <w:ind w:left="4253"/>
        <w:rPr>
          <w:rFonts w:ascii="Times New Roman" w:hAnsi="Times New Roman" w:cs="Times New Roman"/>
          <w:sz w:val="24"/>
          <w:szCs w:val="24"/>
        </w:rPr>
      </w:pPr>
    </w:p>
    <w:p w14:paraId="3A01A6B1" w14:textId="77777777" w:rsidR="00B3637B" w:rsidRDefault="00B3637B" w:rsidP="00374DF8">
      <w:pPr>
        <w:ind w:left="4253"/>
        <w:rPr>
          <w:rFonts w:ascii="Times New Roman" w:hAnsi="Times New Roman" w:cs="Times New Roman"/>
          <w:sz w:val="24"/>
          <w:szCs w:val="24"/>
        </w:rPr>
      </w:pPr>
    </w:p>
    <w:p w14:paraId="61585661" w14:textId="77777777" w:rsidR="00B3637B" w:rsidRDefault="00B3637B" w:rsidP="00374DF8">
      <w:pPr>
        <w:ind w:left="4253"/>
        <w:rPr>
          <w:rFonts w:ascii="Times New Roman" w:hAnsi="Times New Roman" w:cs="Times New Roman"/>
          <w:sz w:val="24"/>
          <w:szCs w:val="24"/>
        </w:rPr>
      </w:pPr>
    </w:p>
    <w:p w14:paraId="67660A40" w14:textId="77777777" w:rsidR="00B3637B" w:rsidRDefault="00B3637B" w:rsidP="00374DF8">
      <w:pPr>
        <w:ind w:left="4253"/>
        <w:rPr>
          <w:rFonts w:ascii="Times New Roman" w:hAnsi="Times New Roman" w:cs="Times New Roman"/>
          <w:sz w:val="24"/>
          <w:szCs w:val="24"/>
        </w:rPr>
      </w:pPr>
    </w:p>
    <w:p w14:paraId="31B3D79C" w14:textId="77777777" w:rsidR="00B3637B" w:rsidRDefault="00B3637B" w:rsidP="00374DF8">
      <w:pPr>
        <w:ind w:left="4253"/>
        <w:rPr>
          <w:rFonts w:ascii="Times New Roman" w:hAnsi="Times New Roman" w:cs="Times New Roman"/>
          <w:sz w:val="24"/>
          <w:szCs w:val="24"/>
        </w:rPr>
      </w:pPr>
    </w:p>
    <w:p w14:paraId="6808295A" w14:textId="77777777" w:rsidR="00B3637B" w:rsidRDefault="00B3637B" w:rsidP="00374DF8">
      <w:pPr>
        <w:ind w:left="4253"/>
        <w:rPr>
          <w:rFonts w:ascii="Times New Roman" w:hAnsi="Times New Roman" w:cs="Times New Roman"/>
          <w:sz w:val="24"/>
          <w:szCs w:val="24"/>
        </w:rPr>
      </w:pPr>
    </w:p>
    <w:p w14:paraId="02540403" w14:textId="77777777" w:rsidR="00B3637B" w:rsidRDefault="00B3637B" w:rsidP="00374DF8">
      <w:pPr>
        <w:ind w:left="4253"/>
        <w:rPr>
          <w:rFonts w:ascii="Times New Roman" w:hAnsi="Times New Roman" w:cs="Times New Roman"/>
          <w:sz w:val="24"/>
          <w:szCs w:val="24"/>
        </w:rPr>
      </w:pPr>
    </w:p>
    <w:p w14:paraId="7860E980" w14:textId="77777777" w:rsidR="00B3637B" w:rsidRDefault="00B3637B" w:rsidP="00374DF8">
      <w:pPr>
        <w:ind w:left="4253"/>
        <w:rPr>
          <w:rFonts w:ascii="Times New Roman" w:hAnsi="Times New Roman" w:cs="Times New Roman"/>
          <w:sz w:val="24"/>
          <w:szCs w:val="24"/>
        </w:rPr>
      </w:pPr>
    </w:p>
    <w:p w14:paraId="03100A5A" w14:textId="77777777" w:rsidR="00B3637B" w:rsidRDefault="00B3637B" w:rsidP="00374DF8">
      <w:pPr>
        <w:ind w:left="4253"/>
        <w:rPr>
          <w:rFonts w:ascii="Times New Roman" w:hAnsi="Times New Roman" w:cs="Times New Roman"/>
          <w:sz w:val="24"/>
          <w:szCs w:val="24"/>
        </w:rPr>
      </w:pPr>
    </w:p>
    <w:p w14:paraId="30D153F4" w14:textId="77777777" w:rsidR="00B3637B" w:rsidRDefault="00B3637B" w:rsidP="00374DF8">
      <w:pPr>
        <w:ind w:left="4253"/>
        <w:rPr>
          <w:rFonts w:ascii="Times New Roman" w:hAnsi="Times New Roman" w:cs="Times New Roman"/>
          <w:sz w:val="24"/>
          <w:szCs w:val="24"/>
        </w:rPr>
      </w:pPr>
    </w:p>
    <w:p w14:paraId="26664646" w14:textId="77777777" w:rsidR="00B3637B" w:rsidRDefault="00B3637B" w:rsidP="00374DF8">
      <w:pPr>
        <w:ind w:left="4253"/>
        <w:rPr>
          <w:rFonts w:ascii="Times New Roman" w:hAnsi="Times New Roman" w:cs="Times New Roman"/>
          <w:sz w:val="24"/>
          <w:szCs w:val="24"/>
        </w:rPr>
      </w:pPr>
    </w:p>
    <w:p w14:paraId="48831F1D" w14:textId="420C8304" w:rsidR="003C4E3F" w:rsidRPr="003C4E3F" w:rsidRDefault="003C4E3F" w:rsidP="00374DF8">
      <w:pPr>
        <w:ind w:left="4253"/>
        <w:rPr>
          <w:rFonts w:ascii="Times New Roman" w:hAnsi="Times New Roman" w:cs="Times New Roman"/>
          <w:sz w:val="24"/>
          <w:szCs w:val="24"/>
        </w:rPr>
      </w:pPr>
      <w:r w:rsidRPr="003C4E3F">
        <w:rPr>
          <w:rFonts w:ascii="Times New Roman" w:hAnsi="Times New Roman" w:cs="Times New Roman"/>
          <w:sz w:val="24"/>
          <w:szCs w:val="24"/>
        </w:rPr>
        <w:lastRenderedPageBreak/>
        <w:t xml:space="preserve">Anexa nr.6 la Regulamentul privind cerințe de fonduri proprii pentru riscul de piață, aprobat prin Hotărârea Comitetului executiv al Băncii Naționale a Moldovei  </w:t>
      </w:r>
      <w:proofErr w:type="spellStart"/>
      <w:r w:rsidRPr="003C4E3F">
        <w:rPr>
          <w:rFonts w:ascii="Times New Roman" w:hAnsi="Times New Roman" w:cs="Times New Roman"/>
          <w:sz w:val="24"/>
          <w:szCs w:val="24"/>
        </w:rPr>
        <w:t>nr.XX</w:t>
      </w:r>
      <w:proofErr w:type="spellEnd"/>
      <w:r w:rsidRPr="003C4E3F">
        <w:rPr>
          <w:rFonts w:ascii="Times New Roman" w:hAnsi="Times New Roman" w:cs="Times New Roman"/>
          <w:sz w:val="24"/>
          <w:szCs w:val="24"/>
        </w:rPr>
        <w:t>/2026</w:t>
      </w:r>
    </w:p>
    <w:p w14:paraId="39DAE0F5" w14:textId="1CF4E036" w:rsidR="00231074" w:rsidRDefault="003C4E3F" w:rsidP="004E713F">
      <w:pPr>
        <w:spacing w:after="0"/>
        <w:jc w:val="center"/>
        <w:rPr>
          <w:rFonts w:ascii="Times New Roman" w:hAnsi="Times New Roman" w:cs="Times New Roman"/>
          <w:b/>
          <w:bCs/>
          <w:sz w:val="24"/>
          <w:szCs w:val="24"/>
        </w:rPr>
      </w:pPr>
      <w:bookmarkStart w:id="114" w:name="_Hlk224723561"/>
      <w:r w:rsidRPr="003C4E3F">
        <w:rPr>
          <w:rFonts w:ascii="Times New Roman" w:hAnsi="Times New Roman" w:cs="Times New Roman"/>
          <w:b/>
          <w:bCs/>
          <w:sz w:val="24"/>
          <w:szCs w:val="24"/>
        </w:rPr>
        <w:t xml:space="preserve">Indicii bursieri care îndeplinesc </w:t>
      </w:r>
      <w:proofErr w:type="spellStart"/>
      <w:r w:rsidRPr="003C4E3F">
        <w:rPr>
          <w:rFonts w:ascii="Times New Roman" w:hAnsi="Times New Roman" w:cs="Times New Roman"/>
          <w:b/>
          <w:bCs/>
          <w:sz w:val="24"/>
          <w:szCs w:val="24"/>
        </w:rPr>
        <w:t>cerinţele</w:t>
      </w:r>
      <w:proofErr w:type="spellEnd"/>
      <w:r w:rsidRPr="003C4E3F">
        <w:rPr>
          <w:rFonts w:ascii="Times New Roman" w:hAnsi="Times New Roman" w:cs="Times New Roman"/>
          <w:b/>
          <w:bCs/>
          <w:sz w:val="24"/>
          <w:szCs w:val="24"/>
        </w:rPr>
        <w:t xml:space="preserve"> prevăzute la titlul II</w:t>
      </w:r>
    </w:p>
    <w:p w14:paraId="59F5DF44" w14:textId="4D2C5C39" w:rsidR="003C4E3F" w:rsidRDefault="003C4E3F" w:rsidP="004E713F">
      <w:pPr>
        <w:spacing w:after="0"/>
        <w:jc w:val="center"/>
        <w:rPr>
          <w:rFonts w:ascii="Times New Roman" w:hAnsi="Times New Roman" w:cs="Times New Roman"/>
          <w:b/>
          <w:bCs/>
          <w:sz w:val="24"/>
          <w:szCs w:val="24"/>
        </w:rPr>
      </w:pPr>
      <w:r w:rsidRPr="003C4E3F">
        <w:rPr>
          <w:rFonts w:ascii="Times New Roman" w:hAnsi="Times New Roman" w:cs="Times New Roman"/>
          <w:b/>
          <w:bCs/>
          <w:sz w:val="24"/>
          <w:szCs w:val="24"/>
        </w:rPr>
        <w:t xml:space="preserve">capitolul IV secțiunea 3 subsecțiunea 4 din Regulamentul </w:t>
      </w:r>
      <w:proofErr w:type="spellStart"/>
      <w:r w:rsidRPr="003C4E3F">
        <w:rPr>
          <w:rFonts w:ascii="Times New Roman" w:hAnsi="Times New Roman" w:cs="Times New Roman"/>
          <w:b/>
          <w:bCs/>
          <w:sz w:val="24"/>
          <w:szCs w:val="24"/>
        </w:rPr>
        <w:t>nr.XX</w:t>
      </w:r>
      <w:proofErr w:type="spellEnd"/>
      <w:r w:rsidRPr="003C4E3F">
        <w:rPr>
          <w:rFonts w:ascii="Times New Roman" w:hAnsi="Times New Roman" w:cs="Times New Roman"/>
          <w:b/>
          <w:bCs/>
          <w:sz w:val="24"/>
          <w:szCs w:val="24"/>
        </w:rPr>
        <w:t>/2026</w:t>
      </w:r>
      <w:bookmarkEnd w:id="114"/>
    </w:p>
    <w:p w14:paraId="4C7506E4" w14:textId="77777777" w:rsidR="00231074" w:rsidRDefault="00231074" w:rsidP="00231074">
      <w:pPr>
        <w:jc w:val="center"/>
        <w:rPr>
          <w:rFonts w:ascii="Times New Roman" w:hAnsi="Times New Roman" w:cs="Times New Roman"/>
          <w:b/>
          <w:bCs/>
          <w:sz w:val="24"/>
          <w:szCs w:val="24"/>
        </w:rPr>
      </w:pPr>
    </w:p>
    <w:tbl>
      <w:tblPr>
        <w:tblStyle w:val="TableGrid"/>
        <w:tblW w:w="0" w:type="auto"/>
        <w:tblLayout w:type="fixed"/>
        <w:tblLook w:val="04A0" w:firstRow="1" w:lastRow="0" w:firstColumn="1" w:lastColumn="0" w:noHBand="0" w:noVBand="1"/>
      </w:tblPr>
      <w:tblGrid>
        <w:gridCol w:w="2550"/>
        <w:gridCol w:w="2551"/>
      </w:tblGrid>
      <w:tr w:rsidR="00231074" w:rsidRPr="00231074" w14:paraId="39897A5F" w14:textId="77777777" w:rsidTr="00C15AE1">
        <w:tc>
          <w:tcPr>
            <w:tcW w:w="2550" w:type="dxa"/>
          </w:tcPr>
          <w:p w14:paraId="2A77F778" w14:textId="4096269B"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Indice</w:t>
            </w:r>
            <w:proofErr w:type="spellEnd"/>
            <w:r w:rsidRPr="00231074">
              <w:rPr>
                <w:rFonts w:ascii="Times New Roman" w:hAnsi="Times New Roman" w:cs="Times New Roman"/>
                <w:sz w:val="24"/>
                <w:szCs w:val="24"/>
                <w:lang w:val="en-US"/>
              </w:rPr>
              <w:t xml:space="preserve"> </w:t>
            </w:r>
            <w:proofErr w:type="spellStart"/>
            <w:r w:rsidRPr="00231074">
              <w:rPr>
                <w:rFonts w:ascii="Times New Roman" w:hAnsi="Times New Roman" w:cs="Times New Roman"/>
                <w:sz w:val="24"/>
                <w:szCs w:val="24"/>
                <w:lang w:val="en-US"/>
              </w:rPr>
              <w:t>Ţara</w:t>
            </w:r>
            <w:proofErr w:type="spellEnd"/>
            <w:r w:rsidRPr="00231074">
              <w:rPr>
                <w:rFonts w:ascii="Times New Roman" w:hAnsi="Times New Roman" w:cs="Times New Roman"/>
                <w:sz w:val="24"/>
                <w:szCs w:val="24"/>
                <w:lang w:val="en-US"/>
              </w:rPr>
              <w:t>/Zona</w:t>
            </w:r>
          </w:p>
        </w:tc>
        <w:tc>
          <w:tcPr>
            <w:tcW w:w="2551" w:type="dxa"/>
          </w:tcPr>
          <w:p w14:paraId="575D8378"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Indice</w:t>
            </w:r>
            <w:proofErr w:type="spellEnd"/>
            <w:r w:rsidRPr="00231074">
              <w:rPr>
                <w:rFonts w:ascii="Times New Roman" w:hAnsi="Times New Roman" w:cs="Times New Roman"/>
                <w:sz w:val="24"/>
                <w:szCs w:val="24"/>
                <w:lang w:val="en-US"/>
              </w:rPr>
              <w:t xml:space="preserve"> </w:t>
            </w:r>
            <w:proofErr w:type="spellStart"/>
            <w:r w:rsidRPr="00231074">
              <w:rPr>
                <w:rFonts w:ascii="Times New Roman" w:hAnsi="Times New Roman" w:cs="Times New Roman"/>
                <w:sz w:val="24"/>
                <w:szCs w:val="24"/>
                <w:lang w:val="en-US"/>
              </w:rPr>
              <w:t>Ţara</w:t>
            </w:r>
            <w:proofErr w:type="spellEnd"/>
            <w:r w:rsidRPr="00231074">
              <w:rPr>
                <w:rFonts w:ascii="Times New Roman" w:hAnsi="Times New Roman" w:cs="Times New Roman"/>
                <w:sz w:val="24"/>
                <w:szCs w:val="24"/>
                <w:lang w:val="en-US"/>
              </w:rPr>
              <w:t>/Zona</w:t>
            </w:r>
          </w:p>
        </w:tc>
      </w:tr>
      <w:tr w:rsidR="00231074" w:rsidRPr="00231074" w14:paraId="4B82577B" w14:textId="77777777" w:rsidTr="00C15AE1">
        <w:tc>
          <w:tcPr>
            <w:tcW w:w="2550" w:type="dxa"/>
          </w:tcPr>
          <w:p w14:paraId="6A2857F0"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1. STOXX Asia/Pacific 600 </w:t>
            </w:r>
          </w:p>
        </w:tc>
        <w:tc>
          <w:tcPr>
            <w:tcW w:w="2551" w:type="dxa"/>
          </w:tcPr>
          <w:p w14:paraId="28C292B1"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Asia/Pacific</w:t>
            </w:r>
          </w:p>
        </w:tc>
      </w:tr>
      <w:tr w:rsidR="00231074" w:rsidRPr="00231074" w14:paraId="29176BD1" w14:textId="77777777" w:rsidTr="00C15AE1">
        <w:tc>
          <w:tcPr>
            <w:tcW w:w="2550" w:type="dxa"/>
          </w:tcPr>
          <w:p w14:paraId="6262F8F3"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2. ASX100</w:t>
            </w:r>
          </w:p>
        </w:tc>
        <w:tc>
          <w:tcPr>
            <w:tcW w:w="2551" w:type="dxa"/>
          </w:tcPr>
          <w:p w14:paraId="09F5785E"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Australia</w:t>
            </w:r>
          </w:p>
        </w:tc>
      </w:tr>
      <w:tr w:rsidR="00231074" w:rsidRPr="00231074" w14:paraId="1F51BF4E" w14:textId="77777777" w:rsidTr="00C15AE1">
        <w:tc>
          <w:tcPr>
            <w:tcW w:w="2550" w:type="dxa"/>
          </w:tcPr>
          <w:p w14:paraId="028FF736"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3. ATX </w:t>
            </w:r>
          </w:p>
        </w:tc>
        <w:tc>
          <w:tcPr>
            <w:tcW w:w="2551" w:type="dxa"/>
          </w:tcPr>
          <w:p w14:paraId="680B94A0"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Austria</w:t>
            </w:r>
          </w:p>
        </w:tc>
      </w:tr>
      <w:tr w:rsidR="00231074" w:rsidRPr="00231074" w14:paraId="0804A250" w14:textId="77777777" w:rsidTr="00C15AE1">
        <w:tc>
          <w:tcPr>
            <w:tcW w:w="2550" w:type="dxa"/>
          </w:tcPr>
          <w:p w14:paraId="1E24E383"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4. ATX Prime </w:t>
            </w:r>
          </w:p>
        </w:tc>
        <w:tc>
          <w:tcPr>
            <w:tcW w:w="2551" w:type="dxa"/>
          </w:tcPr>
          <w:p w14:paraId="0838D9B5"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Austria</w:t>
            </w:r>
          </w:p>
        </w:tc>
      </w:tr>
      <w:tr w:rsidR="00231074" w:rsidRPr="00231074" w14:paraId="09C6DCBD" w14:textId="77777777" w:rsidTr="00C15AE1">
        <w:tc>
          <w:tcPr>
            <w:tcW w:w="2550" w:type="dxa"/>
          </w:tcPr>
          <w:p w14:paraId="34D39B53"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5. BEL20 </w:t>
            </w:r>
          </w:p>
        </w:tc>
        <w:tc>
          <w:tcPr>
            <w:tcW w:w="2551" w:type="dxa"/>
          </w:tcPr>
          <w:p w14:paraId="34FA84D6"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Belgia</w:t>
            </w:r>
            <w:proofErr w:type="spellEnd"/>
          </w:p>
        </w:tc>
      </w:tr>
      <w:tr w:rsidR="00231074" w:rsidRPr="00231074" w14:paraId="2C3719CF" w14:textId="77777777" w:rsidTr="00C15AE1">
        <w:tc>
          <w:tcPr>
            <w:tcW w:w="2550" w:type="dxa"/>
          </w:tcPr>
          <w:p w14:paraId="2D0EEDB7"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6. </w:t>
            </w:r>
            <w:proofErr w:type="spellStart"/>
            <w:r w:rsidRPr="00231074">
              <w:rPr>
                <w:rFonts w:ascii="Times New Roman" w:hAnsi="Times New Roman" w:cs="Times New Roman"/>
                <w:sz w:val="24"/>
                <w:szCs w:val="24"/>
                <w:lang w:val="en-US"/>
              </w:rPr>
              <w:t>SaoPaulo</w:t>
            </w:r>
            <w:proofErr w:type="spellEnd"/>
            <w:r w:rsidRPr="00231074">
              <w:rPr>
                <w:rFonts w:ascii="Times New Roman" w:hAnsi="Times New Roman" w:cs="Times New Roman"/>
                <w:sz w:val="24"/>
                <w:szCs w:val="24"/>
                <w:lang w:val="en-US"/>
              </w:rPr>
              <w:t xml:space="preserve"> – Bovespa </w:t>
            </w:r>
          </w:p>
        </w:tc>
        <w:tc>
          <w:tcPr>
            <w:tcW w:w="2551" w:type="dxa"/>
          </w:tcPr>
          <w:p w14:paraId="30C26205"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Brazilia</w:t>
            </w:r>
            <w:proofErr w:type="spellEnd"/>
          </w:p>
        </w:tc>
      </w:tr>
      <w:tr w:rsidR="00231074" w:rsidRPr="00231074" w14:paraId="553C67ED" w14:textId="77777777" w:rsidTr="00C15AE1">
        <w:tc>
          <w:tcPr>
            <w:tcW w:w="2550" w:type="dxa"/>
          </w:tcPr>
          <w:p w14:paraId="58E5D252"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7. TSX60 </w:t>
            </w:r>
          </w:p>
        </w:tc>
        <w:tc>
          <w:tcPr>
            <w:tcW w:w="2551" w:type="dxa"/>
          </w:tcPr>
          <w:p w14:paraId="03C26F81"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Canada</w:t>
            </w:r>
          </w:p>
        </w:tc>
      </w:tr>
      <w:tr w:rsidR="00231074" w:rsidRPr="00231074" w14:paraId="2E809E5E" w14:textId="77777777" w:rsidTr="00C15AE1">
        <w:tc>
          <w:tcPr>
            <w:tcW w:w="2550" w:type="dxa"/>
          </w:tcPr>
          <w:p w14:paraId="096BD48E"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8. CETOP20 Index </w:t>
            </w:r>
          </w:p>
        </w:tc>
        <w:tc>
          <w:tcPr>
            <w:tcW w:w="2551" w:type="dxa"/>
          </w:tcPr>
          <w:p w14:paraId="08C5FCD1"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Europa </w:t>
            </w:r>
            <w:proofErr w:type="spellStart"/>
            <w:r w:rsidRPr="00231074">
              <w:rPr>
                <w:rFonts w:ascii="Times New Roman" w:hAnsi="Times New Roman" w:cs="Times New Roman"/>
                <w:sz w:val="24"/>
                <w:szCs w:val="24"/>
                <w:lang w:val="en-US"/>
              </w:rPr>
              <w:t>Centrală</w:t>
            </w:r>
            <w:proofErr w:type="spellEnd"/>
          </w:p>
        </w:tc>
      </w:tr>
      <w:tr w:rsidR="00231074" w:rsidRPr="00231074" w14:paraId="16BFBDB1" w14:textId="77777777" w:rsidTr="00C15AE1">
        <w:tc>
          <w:tcPr>
            <w:tcW w:w="2550" w:type="dxa"/>
          </w:tcPr>
          <w:p w14:paraId="174837B8"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9. CSI 100 Index </w:t>
            </w:r>
          </w:p>
        </w:tc>
        <w:tc>
          <w:tcPr>
            <w:tcW w:w="2551" w:type="dxa"/>
          </w:tcPr>
          <w:p w14:paraId="488E50D4"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China</w:t>
            </w:r>
          </w:p>
        </w:tc>
      </w:tr>
      <w:tr w:rsidR="00231074" w:rsidRPr="00231074" w14:paraId="780DC606" w14:textId="77777777" w:rsidTr="00C15AE1">
        <w:tc>
          <w:tcPr>
            <w:tcW w:w="2550" w:type="dxa"/>
          </w:tcPr>
          <w:p w14:paraId="54DCFF9F"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10. CSI 300 Index </w:t>
            </w:r>
          </w:p>
        </w:tc>
        <w:tc>
          <w:tcPr>
            <w:tcW w:w="2551" w:type="dxa"/>
          </w:tcPr>
          <w:p w14:paraId="3D476C2D"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China</w:t>
            </w:r>
          </w:p>
        </w:tc>
      </w:tr>
      <w:tr w:rsidR="00231074" w:rsidRPr="00231074" w14:paraId="5B854309" w14:textId="77777777" w:rsidTr="00C15AE1">
        <w:tc>
          <w:tcPr>
            <w:tcW w:w="2550" w:type="dxa"/>
          </w:tcPr>
          <w:p w14:paraId="4372BF8D" w14:textId="77777777" w:rsidR="00231074" w:rsidRPr="00231074" w:rsidRDefault="00231074" w:rsidP="00231074">
            <w:pPr>
              <w:spacing w:after="160" w:line="259" w:lineRule="auto"/>
              <w:rPr>
                <w:rFonts w:ascii="Times New Roman" w:hAnsi="Times New Roman" w:cs="Times New Roman"/>
                <w:sz w:val="24"/>
                <w:szCs w:val="24"/>
                <w:lang w:val="it-IT"/>
              </w:rPr>
            </w:pPr>
            <w:r w:rsidRPr="00231074">
              <w:rPr>
                <w:rFonts w:ascii="Times New Roman" w:hAnsi="Times New Roman" w:cs="Times New Roman"/>
                <w:sz w:val="24"/>
                <w:szCs w:val="24"/>
                <w:lang w:val="it-IT"/>
              </w:rPr>
              <w:t xml:space="preserve">11. FTSE China A50 Index </w:t>
            </w:r>
          </w:p>
          <w:p w14:paraId="242B694E" w14:textId="77777777" w:rsidR="00231074" w:rsidRPr="00231074" w:rsidRDefault="00231074" w:rsidP="00231074">
            <w:pPr>
              <w:spacing w:after="160" w:line="259" w:lineRule="auto"/>
              <w:rPr>
                <w:rFonts w:ascii="Times New Roman" w:hAnsi="Times New Roman" w:cs="Times New Roman"/>
                <w:b/>
                <w:sz w:val="24"/>
                <w:szCs w:val="24"/>
              </w:rPr>
            </w:pPr>
          </w:p>
        </w:tc>
        <w:tc>
          <w:tcPr>
            <w:tcW w:w="2551" w:type="dxa"/>
          </w:tcPr>
          <w:p w14:paraId="30738A16"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it-IT"/>
              </w:rPr>
              <w:t>China</w:t>
            </w:r>
          </w:p>
        </w:tc>
      </w:tr>
      <w:tr w:rsidR="00231074" w:rsidRPr="00231074" w14:paraId="1D60FDC9" w14:textId="77777777" w:rsidTr="00C15AE1">
        <w:tc>
          <w:tcPr>
            <w:tcW w:w="2550" w:type="dxa"/>
          </w:tcPr>
          <w:p w14:paraId="22699054"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12. Hang Seng Mainland 100 China </w:t>
            </w:r>
          </w:p>
        </w:tc>
        <w:tc>
          <w:tcPr>
            <w:tcW w:w="2551" w:type="dxa"/>
          </w:tcPr>
          <w:p w14:paraId="46D2BB1C"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China</w:t>
            </w:r>
          </w:p>
        </w:tc>
      </w:tr>
      <w:tr w:rsidR="00231074" w:rsidRPr="00231074" w14:paraId="409E91CD" w14:textId="77777777" w:rsidTr="00C15AE1">
        <w:tc>
          <w:tcPr>
            <w:tcW w:w="2550" w:type="dxa"/>
          </w:tcPr>
          <w:p w14:paraId="2CF4CEFA" w14:textId="77777777" w:rsidR="00231074" w:rsidRPr="00231074" w:rsidRDefault="00231074" w:rsidP="00231074">
            <w:pPr>
              <w:spacing w:after="160" w:line="259" w:lineRule="auto"/>
              <w:rPr>
                <w:rFonts w:ascii="Times New Roman" w:hAnsi="Times New Roman" w:cs="Times New Roman"/>
                <w:sz w:val="24"/>
                <w:szCs w:val="24"/>
                <w:lang w:val="en-US"/>
              </w:rPr>
            </w:pPr>
            <w:r w:rsidRPr="00231074">
              <w:rPr>
                <w:rFonts w:ascii="Times New Roman" w:hAnsi="Times New Roman" w:cs="Times New Roman"/>
                <w:sz w:val="24"/>
                <w:szCs w:val="24"/>
                <w:lang w:val="en-US"/>
              </w:rPr>
              <w:t xml:space="preserve">13. OMX Copenhagen 25 </w:t>
            </w:r>
          </w:p>
          <w:p w14:paraId="46B5272F" w14:textId="77777777" w:rsidR="00231074" w:rsidRPr="00231074" w:rsidRDefault="00231074" w:rsidP="00231074">
            <w:pPr>
              <w:spacing w:after="160" w:line="259" w:lineRule="auto"/>
              <w:rPr>
                <w:rFonts w:ascii="Times New Roman" w:hAnsi="Times New Roman" w:cs="Times New Roman"/>
                <w:b/>
                <w:sz w:val="24"/>
                <w:szCs w:val="24"/>
              </w:rPr>
            </w:pPr>
          </w:p>
        </w:tc>
        <w:tc>
          <w:tcPr>
            <w:tcW w:w="2551" w:type="dxa"/>
          </w:tcPr>
          <w:p w14:paraId="2EAD122A"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Danemarca</w:t>
            </w:r>
            <w:proofErr w:type="spellEnd"/>
          </w:p>
        </w:tc>
      </w:tr>
      <w:tr w:rsidR="00231074" w:rsidRPr="00231074" w14:paraId="061EAFD0" w14:textId="77777777" w:rsidTr="00C15AE1">
        <w:tc>
          <w:tcPr>
            <w:tcW w:w="2550" w:type="dxa"/>
          </w:tcPr>
          <w:p w14:paraId="1E4C3653"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14. OMX Copenhagen Benchmark </w:t>
            </w:r>
          </w:p>
        </w:tc>
        <w:tc>
          <w:tcPr>
            <w:tcW w:w="2551" w:type="dxa"/>
          </w:tcPr>
          <w:p w14:paraId="6CCCC140"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Danemarca</w:t>
            </w:r>
            <w:proofErr w:type="spellEnd"/>
          </w:p>
        </w:tc>
      </w:tr>
      <w:tr w:rsidR="00231074" w:rsidRPr="00231074" w14:paraId="3F285F2F" w14:textId="77777777" w:rsidTr="00C15AE1">
        <w:tc>
          <w:tcPr>
            <w:tcW w:w="2550" w:type="dxa"/>
          </w:tcPr>
          <w:p w14:paraId="624B5FE7"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15. FTSE RAFI Developed 1000 </w:t>
            </w:r>
          </w:p>
        </w:tc>
        <w:tc>
          <w:tcPr>
            <w:tcW w:w="2551" w:type="dxa"/>
          </w:tcPr>
          <w:p w14:paraId="00AB1A9B"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Pieţe</w:t>
            </w:r>
            <w:proofErr w:type="spellEnd"/>
            <w:r w:rsidRPr="00231074">
              <w:rPr>
                <w:rFonts w:ascii="Times New Roman" w:hAnsi="Times New Roman" w:cs="Times New Roman"/>
                <w:sz w:val="24"/>
                <w:szCs w:val="24"/>
                <w:lang w:val="en-US"/>
              </w:rPr>
              <w:t xml:space="preserve"> </w:t>
            </w:r>
            <w:proofErr w:type="spellStart"/>
            <w:r w:rsidRPr="00231074">
              <w:rPr>
                <w:rFonts w:ascii="Times New Roman" w:hAnsi="Times New Roman" w:cs="Times New Roman"/>
                <w:sz w:val="24"/>
                <w:szCs w:val="24"/>
                <w:lang w:val="en-US"/>
              </w:rPr>
              <w:t>dezvoltate</w:t>
            </w:r>
            <w:proofErr w:type="spellEnd"/>
          </w:p>
        </w:tc>
      </w:tr>
      <w:tr w:rsidR="00231074" w:rsidRPr="00231074" w14:paraId="62CC6D1D" w14:textId="77777777" w:rsidTr="00C15AE1">
        <w:tc>
          <w:tcPr>
            <w:tcW w:w="2550" w:type="dxa"/>
          </w:tcPr>
          <w:p w14:paraId="0AD874BB"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16. CECE Composite Index EUR </w:t>
            </w:r>
          </w:p>
        </w:tc>
        <w:tc>
          <w:tcPr>
            <w:tcW w:w="2551" w:type="dxa"/>
          </w:tcPr>
          <w:p w14:paraId="2D02E308"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 de Est</w:t>
            </w:r>
          </w:p>
        </w:tc>
      </w:tr>
      <w:tr w:rsidR="00231074" w:rsidRPr="00231074" w14:paraId="317F6919" w14:textId="77777777" w:rsidTr="00C15AE1">
        <w:tc>
          <w:tcPr>
            <w:tcW w:w="2550" w:type="dxa"/>
          </w:tcPr>
          <w:p w14:paraId="5782EF1D"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17. FTSE RAFI Emerging Markets </w:t>
            </w:r>
          </w:p>
        </w:tc>
        <w:tc>
          <w:tcPr>
            <w:tcW w:w="2551" w:type="dxa"/>
          </w:tcPr>
          <w:p w14:paraId="551C15DC"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Pieţe</w:t>
            </w:r>
            <w:proofErr w:type="spellEnd"/>
            <w:r w:rsidRPr="00231074">
              <w:rPr>
                <w:rFonts w:ascii="Times New Roman" w:hAnsi="Times New Roman" w:cs="Times New Roman"/>
                <w:sz w:val="24"/>
                <w:szCs w:val="24"/>
                <w:lang w:val="en-US"/>
              </w:rPr>
              <w:t xml:space="preserve"> </w:t>
            </w:r>
            <w:proofErr w:type="spellStart"/>
            <w:r w:rsidRPr="00231074">
              <w:rPr>
                <w:rFonts w:ascii="Times New Roman" w:hAnsi="Times New Roman" w:cs="Times New Roman"/>
                <w:sz w:val="24"/>
                <w:szCs w:val="24"/>
                <w:lang w:val="en-US"/>
              </w:rPr>
              <w:t>emergente</w:t>
            </w:r>
            <w:proofErr w:type="spellEnd"/>
          </w:p>
        </w:tc>
      </w:tr>
      <w:tr w:rsidR="00231074" w:rsidRPr="00231074" w14:paraId="70976740" w14:textId="77777777" w:rsidTr="00C15AE1">
        <w:tc>
          <w:tcPr>
            <w:tcW w:w="2550" w:type="dxa"/>
          </w:tcPr>
          <w:p w14:paraId="7FEFA531"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18. MSCI Emerging Markets 50 </w:t>
            </w:r>
          </w:p>
        </w:tc>
        <w:tc>
          <w:tcPr>
            <w:tcW w:w="2551" w:type="dxa"/>
          </w:tcPr>
          <w:p w14:paraId="27A14316"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Pieţe</w:t>
            </w:r>
            <w:proofErr w:type="spellEnd"/>
            <w:r w:rsidRPr="00231074">
              <w:rPr>
                <w:rFonts w:ascii="Times New Roman" w:hAnsi="Times New Roman" w:cs="Times New Roman"/>
                <w:sz w:val="24"/>
                <w:szCs w:val="24"/>
                <w:lang w:val="en-US"/>
              </w:rPr>
              <w:t xml:space="preserve"> </w:t>
            </w:r>
            <w:proofErr w:type="spellStart"/>
            <w:r w:rsidRPr="00231074">
              <w:rPr>
                <w:rFonts w:ascii="Times New Roman" w:hAnsi="Times New Roman" w:cs="Times New Roman"/>
                <w:sz w:val="24"/>
                <w:szCs w:val="24"/>
                <w:lang w:val="en-US"/>
              </w:rPr>
              <w:t>emergente</w:t>
            </w:r>
            <w:proofErr w:type="spellEnd"/>
          </w:p>
        </w:tc>
      </w:tr>
      <w:tr w:rsidR="00231074" w:rsidRPr="00231074" w14:paraId="0C63992F" w14:textId="77777777" w:rsidTr="00C15AE1">
        <w:tc>
          <w:tcPr>
            <w:tcW w:w="2550" w:type="dxa"/>
          </w:tcPr>
          <w:p w14:paraId="7B60EE4B"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lastRenderedPageBreak/>
              <w:t xml:space="preserve">19. </w:t>
            </w:r>
            <w:proofErr w:type="spellStart"/>
            <w:r w:rsidRPr="00231074">
              <w:rPr>
                <w:rFonts w:ascii="Times New Roman" w:hAnsi="Times New Roman" w:cs="Times New Roman"/>
                <w:sz w:val="24"/>
                <w:szCs w:val="24"/>
                <w:lang w:val="en-US"/>
              </w:rPr>
              <w:t>Cboe</w:t>
            </w:r>
            <w:proofErr w:type="spellEnd"/>
            <w:r w:rsidRPr="00231074">
              <w:rPr>
                <w:rFonts w:ascii="Times New Roman" w:hAnsi="Times New Roman" w:cs="Times New Roman"/>
                <w:sz w:val="24"/>
                <w:szCs w:val="24"/>
                <w:lang w:val="en-US"/>
              </w:rPr>
              <w:t xml:space="preserve"> Eurozone 50 </w:t>
            </w:r>
          </w:p>
        </w:tc>
        <w:tc>
          <w:tcPr>
            <w:tcW w:w="2551" w:type="dxa"/>
          </w:tcPr>
          <w:p w14:paraId="50A2B0C0"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w:t>
            </w:r>
          </w:p>
        </w:tc>
      </w:tr>
      <w:tr w:rsidR="00231074" w:rsidRPr="00231074" w14:paraId="6FEA1B80" w14:textId="77777777" w:rsidTr="00C15AE1">
        <w:tc>
          <w:tcPr>
            <w:tcW w:w="2550" w:type="dxa"/>
          </w:tcPr>
          <w:p w14:paraId="63F854F9"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20. DJ Euro STOXX 50</w:t>
            </w:r>
          </w:p>
        </w:tc>
        <w:tc>
          <w:tcPr>
            <w:tcW w:w="2551" w:type="dxa"/>
          </w:tcPr>
          <w:p w14:paraId="48E0B770"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rPr>
              <w:t>Europa</w:t>
            </w:r>
          </w:p>
        </w:tc>
      </w:tr>
      <w:tr w:rsidR="00231074" w:rsidRPr="00231074" w14:paraId="080784D9" w14:textId="77777777" w:rsidTr="00C15AE1">
        <w:tc>
          <w:tcPr>
            <w:tcW w:w="2550" w:type="dxa"/>
          </w:tcPr>
          <w:p w14:paraId="032DF936" w14:textId="77777777" w:rsidR="00231074" w:rsidRPr="00231074" w:rsidRDefault="00231074" w:rsidP="00231074">
            <w:pPr>
              <w:spacing w:after="160" w:line="259" w:lineRule="auto"/>
              <w:rPr>
                <w:rFonts w:ascii="Times New Roman" w:hAnsi="Times New Roman" w:cs="Times New Roman"/>
                <w:sz w:val="24"/>
                <w:szCs w:val="24"/>
                <w:lang w:val="en-US"/>
              </w:rPr>
            </w:pPr>
            <w:r w:rsidRPr="00231074">
              <w:rPr>
                <w:rFonts w:ascii="Times New Roman" w:hAnsi="Times New Roman" w:cs="Times New Roman"/>
                <w:sz w:val="24"/>
                <w:szCs w:val="24"/>
                <w:lang w:val="en-US"/>
              </w:rPr>
              <w:t>21. FTSE All World Europe</w:t>
            </w:r>
          </w:p>
          <w:p w14:paraId="15BE3BE6"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 </w:t>
            </w:r>
          </w:p>
        </w:tc>
        <w:tc>
          <w:tcPr>
            <w:tcW w:w="2551" w:type="dxa"/>
          </w:tcPr>
          <w:p w14:paraId="3E0CB1A3"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w:t>
            </w:r>
          </w:p>
        </w:tc>
      </w:tr>
      <w:tr w:rsidR="00231074" w:rsidRPr="00231074" w14:paraId="7C0476B5" w14:textId="77777777" w:rsidTr="00C15AE1">
        <w:tc>
          <w:tcPr>
            <w:tcW w:w="2550" w:type="dxa"/>
          </w:tcPr>
          <w:p w14:paraId="23802903"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22. FTSE Euro 100 </w:t>
            </w:r>
          </w:p>
        </w:tc>
        <w:tc>
          <w:tcPr>
            <w:tcW w:w="2551" w:type="dxa"/>
          </w:tcPr>
          <w:p w14:paraId="06B22A11"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w:t>
            </w:r>
          </w:p>
        </w:tc>
      </w:tr>
      <w:tr w:rsidR="00231074" w:rsidRPr="00231074" w14:paraId="16AD7E43" w14:textId="77777777" w:rsidTr="00C15AE1">
        <w:tc>
          <w:tcPr>
            <w:tcW w:w="2550" w:type="dxa"/>
          </w:tcPr>
          <w:p w14:paraId="524B0838"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23. FTSE </w:t>
            </w:r>
            <w:proofErr w:type="spellStart"/>
            <w:r w:rsidRPr="00231074">
              <w:rPr>
                <w:rFonts w:ascii="Times New Roman" w:hAnsi="Times New Roman" w:cs="Times New Roman"/>
                <w:sz w:val="24"/>
                <w:szCs w:val="24"/>
                <w:lang w:val="en-US"/>
              </w:rPr>
              <w:t>Eurofirst</w:t>
            </w:r>
            <w:proofErr w:type="spellEnd"/>
            <w:r w:rsidRPr="00231074">
              <w:rPr>
                <w:rFonts w:ascii="Times New Roman" w:hAnsi="Times New Roman" w:cs="Times New Roman"/>
                <w:sz w:val="24"/>
                <w:szCs w:val="24"/>
                <w:lang w:val="en-US"/>
              </w:rPr>
              <w:t xml:space="preserve"> 100 </w:t>
            </w:r>
          </w:p>
        </w:tc>
        <w:tc>
          <w:tcPr>
            <w:tcW w:w="2551" w:type="dxa"/>
          </w:tcPr>
          <w:p w14:paraId="23873FF6"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w:t>
            </w:r>
          </w:p>
        </w:tc>
      </w:tr>
      <w:tr w:rsidR="00231074" w:rsidRPr="00231074" w14:paraId="2F88CB01" w14:textId="77777777" w:rsidTr="00C15AE1">
        <w:tc>
          <w:tcPr>
            <w:tcW w:w="2550" w:type="dxa"/>
          </w:tcPr>
          <w:p w14:paraId="18D1852B"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24. FTSE </w:t>
            </w:r>
            <w:proofErr w:type="spellStart"/>
            <w:r w:rsidRPr="00231074">
              <w:rPr>
                <w:rFonts w:ascii="Times New Roman" w:hAnsi="Times New Roman" w:cs="Times New Roman"/>
                <w:sz w:val="24"/>
                <w:szCs w:val="24"/>
                <w:lang w:val="en-US"/>
              </w:rPr>
              <w:t>Eurofirst</w:t>
            </w:r>
            <w:proofErr w:type="spellEnd"/>
            <w:r w:rsidRPr="00231074">
              <w:rPr>
                <w:rFonts w:ascii="Times New Roman" w:hAnsi="Times New Roman" w:cs="Times New Roman"/>
                <w:sz w:val="24"/>
                <w:szCs w:val="24"/>
                <w:lang w:val="en-US"/>
              </w:rPr>
              <w:t xml:space="preserve"> 300 </w:t>
            </w:r>
          </w:p>
        </w:tc>
        <w:tc>
          <w:tcPr>
            <w:tcW w:w="2551" w:type="dxa"/>
          </w:tcPr>
          <w:p w14:paraId="38EE7845"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w:t>
            </w:r>
          </w:p>
        </w:tc>
      </w:tr>
      <w:tr w:rsidR="00231074" w:rsidRPr="00231074" w14:paraId="745F2DCE" w14:textId="77777777" w:rsidTr="00C15AE1">
        <w:tc>
          <w:tcPr>
            <w:tcW w:w="2550" w:type="dxa"/>
          </w:tcPr>
          <w:p w14:paraId="2DE0BA55"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25. FTSE </w:t>
            </w:r>
            <w:proofErr w:type="spellStart"/>
            <w:r w:rsidRPr="00231074">
              <w:rPr>
                <w:rFonts w:ascii="Times New Roman" w:hAnsi="Times New Roman" w:cs="Times New Roman"/>
                <w:sz w:val="24"/>
                <w:szCs w:val="24"/>
                <w:lang w:val="en-US"/>
              </w:rPr>
              <w:t>Eurofirst</w:t>
            </w:r>
            <w:proofErr w:type="spellEnd"/>
            <w:r w:rsidRPr="00231074">
              <w:rPr>
                <w:rFonts w:ascii="Times New Roman" w:hAnsi="Times New Roman" w:cs="Times New Roman"/>
                <w:sz w:val="24"/>
                <w:szCs w:val="24"/>
                <w:lang w:val="en-US"/>
              </w:rPr>
              <w:t xml:space="preserve"> 80 </w:t>
            </w:r>
          </w:p>
        </w:tc>
        <w:tc>
          <w:tcPr>
            <w:tcW w:w="2551" w:type="dxa"/>
          </w:tcPr>
          <w:p w14:paraId="215927F9"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w:t>
            </w:r>
          </w:p>
        </w:tc>
      </w:tr>
      <w:tr w:rsidR="00231074" w:rsidRPr="00231074" w14:paraId="2A3B0B1A" w14:textId="77777777" w:rsidTr="00C15AE1">
        <w:tc>
          <w:tcPr>
            <w:tcW w:w="2550" w:type="dxa"/>
          </w:tcPr>
          <w:p w14:paraId="026D3A71"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26. FTSE </w:t>
            </w:r>
            <w:proofErr w:type="spellStart"/>
            <w:r w:rsidRPr="00231074">
              <w:rPr>
                <w:rFonts w:ascii="Times New Roman" w:hAnsi="Times New Roman" w:cs="Times New Roman"/>
                <w:sz w:val="24"/>
                <w:szCs w:val="24"/>
                <w:lang w:val="en-US"/>
              </w:rPr>
              <w:t>Eurotop</w:t>
            </w:r>
            <w:proofErr w:type="spellEnd"/>
            <w:r w:rsidRPr="00231074">
              <w:rPr>
                <w:rFonts w:ascii="Times New Roman" w:hAnsi="Times New Roman" w:cs="Times New Roman"/>
                <w:sz w:val="24"/>
                <w:szCs w:val="24"/>
                <w:lang w:val="en-US"/>
              </w:rPr>
              <w:t xml:space="preserve"> 100 </w:t>
            </w:r>
          </w:p>
        </w:tc>
        <w:tc>
          <w:tcPr>
            <w:tcW w:w="2551" w:type="dxa"/>
          </w:tcPr>
          <w:p w14:paraId="3367A53E"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w:t>
            </w:r>
          </w:p>
        </w:tc>
      </w:tr>
      <w:tr w:rsidR="00231074" w:rsidRPr="00231074" w14:paraId="44465F12" w14:textId="77777777" w:rsidTr="00C15AE1">
        <w:tc>
          <w:tcPr>
            <w:tcW w:w="2550" w:type="dxa"/>
          </w:tcPr>
          <w:p w14:paraId="3625AB2E"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27. MSCI Euro </w:t>
            </w:r>
          </w:p>
        </w:tc>
        <w:tc>
          <w:tcPr>
            <w:tcW w:w="2551" w:type="dxa"/>
          </w:tcPr>
          <w:p w14:paraId="5E24C92B"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w:t>
            </w:r>
          </w:p>
        </w:tc>
      </w:tr>
      <w:tr w:rsidR="00231074" w:rsidRPr="00231074" w14:paraId="76CC1571" w14:textId="77777777" w:rsidTr="00C15AE1">
        <w:tc>
          <w:tcPr>
            <w:tcW w:w="2550" w:type="dxa"/>
          </w:tcPr>
          <w:p w14:paraId="5ABA1752"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28. MSCI Europa </w:t>
            </w:r>
          </w:p>
        </w:tc>
        <w:tc>
          <w:tcPr>
            <w:tcW w:w="2551" w:type="dxa"/>
          </w:tcPr>
          <w:p w14:paraId="301D8034"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w:t>
            </w:r>
          </w:p>
        </w:tc>
      </w:tr>
      <w:tr w:rsidR="00231074" w:rsidRPr="00231074" w14:paraId="0E32E1A2" w14:textId="77777777" w:rsidTr="00C15AE1">
        <w:tc>
          <w:tcPr>
            <w:tcW w:w="2550" w:type="dxa"/>
          </w:tcPr>
          <w:p w14:paraId="0E5F85FE"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29. MSCI Pan-Euro </w:t>
            </w:r>
          </w:p>
        </w:tc>
        <w:tc>
          <w:tcPr>
            <w:tcW w:w="2551" w:type="dxa"/>
          </w:tcPr>
          <w:p w14:paraId="01A41128"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w:t>
            </w:r>
          </w:p>
        </w:tc>
      </w:tr>
      <w:tr w:rsidR="00231074" w:rsidRPr="00231074" w14:paraId="373359D9" w14:textId="77777777" w:rsidTr="00C15AE1">
        <w:tc>
          <w:tcPr>
            <w:tcW w:w="2550" w:type="dxa"/>
          </w:tcPr>
          <w:p w14:paraId="5106BCDF"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30. NTX New Europe Blue Chip </w:t>
            </w:r>
          </w:p>
        </w:tc>
        <w:tc>
          <w:tcPr>
            <w:tcW w:w="2551" w:type="dxa"/>
          </w:tcPr>
          <w:p w14:paraId="0A88A51F"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w:t>
            </w:r>
          </w:p>
        </w:tc>
      </w:tr>
      <w:tr w:rsidR="00231074" w:rsidRPr="00231074" w14:paraId="63A7AFE2" w14:textId="77777777" w:rsidTr="00C15AE1">
        <w:tc>
          <w:tcPr>
            <w:tcW w:w="2550" w:type="dxa"/>
          </w:tcPr>
          <w:p w14:paraId="480AAD87"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31. S&amp;P Euro </w:t>
            </w:r>
          </w:p>
        </w:tc>
        <w:tc>
          <w:tcPr>
            <w:tcW w:w="2551" w:type="dxa"/>
          </w:tcPr>
          <w:p w14:paraId="5CAFE9C2"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w:t>
            </w:r>
          </w:p>
        </w:tc>
      </w:tr>
      <w:tr w:rsidR="00231074" w:rsidRPr="00231074" w14:paraId="055D2CEA" w14:textId="77777777" w:rsidTr="00C15AE1">
        <w:tc>
          <w:tcPr>
            <w:tcW w:w="2550" w:type="dxa"/>
          </w:tcPr>
          <w:p w14:paraId="33136D55"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32. S&amp;P Europe 350 </w:t>
            </w:r>
          </w:p>
        </w:tc>
        <w:tc>
          <w:tcPr>
            <w:tcW w:w="2551" w:type="dxa"/>
          </w:tcPr>
          <w:p w14:paraId="0B5635DE"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w:t>
            </w:r>
          </w:p>
        </w:tc>
      </w:tr>
      <w:tr w:rsidR="00231074" w:rsidRPr="00231074" w14:paraId="7F02B0AC" w14:textId="77777777" w:rsidTr="00C15AE1">
        <w:tc>
          <w:tcPr>
            <w:tcW w:w="2550" w:type="dxa"/>
          </w:tcPr>
          <w:p w14:paraId="6290C760" w14:textId="77777777" w:rsidR="00231074" w:rsidRPr="00231074" w:rsidRDefault="00231074" w:rsidP="00231074">
            <w:pPr>
              <w:spacing w:after="160" w:line="259" w:lineRule="auto"/>
              <w:rPr>
                <w:rFonts w:ascii="Times New Roman" w:hAnsi="Times New Roman" w:cs="Times New Roman"/>
                <w:sz w:val="24"/>
                <w:szCs w:val="24"/>
                <w:lang w:val="en-US"/>
              </w:rPr>
            </w:pPr>
            <w:r w:rsidRPr="00231074">
              <w:rPr>
                <w:rFonts w:ascii="Times New Roman" w:hAnsi="Times New Roman" w:cs="Times New Roman"/>
                <w:sz w:val="24"/>
                <w:szCs w:val="24"/>
                <w:lang w:val="en-US"/>
              </w:rPr>
              <w:t>33. STOXX All Europe 100</w:t>
            </w:r>
          </w:p>
          <w:p w14:paraId="673D9AD2"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 </w:t>
            </w:r>
          </w:p>
        </w:tc>
        <w:tc>
          <w:tcPr>
            <w:tcW w:w="2551" w:type="dxa"/>
          </w:tcPr>
          <w:p w14:paraId="4169482D"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w:t>
            </w:r>
          </w:p>
        </w:tc>
      </w:tr>
      <w:tr w:rsidR="00231074" w:rsidRPr="00231074" w14:paraId="1D1ECA65" w14:textId="77777777" w:rsidTr="00C15AE1">
        <w:tc>
          <w:tcPr>
            <w:tcW w:w="2550" w:type="dxa"/>
          </w:tcPr>
          <w:p w14:paraId="2540BDE2" w14:textId="77777777" w:rsidR="00231074" w:rsidRPr="00231074" w:rsidRDefault="00231074" w:rsidP="00231074">
            <w:pPr>
              <w:spacing w:after="160" w:line="259" w:lineRule="auto"/>
              <w:rPr>
                <w:rFonts w:ascii="Times New Roman" w:hAnsi="Times New Roman" w:cs="Times New Roman"/>
                <w:sz w:val="24"/>
                <w:szCs w:val="24"/>
                <w:lang w:val="en-US"/>
              </w:rPr>
            </w:pPr>
            <w:r w:rsidRPr="00231074">
              <w:rPr>
                <w:rFonts w:ascii="Times New Roman" w:hAnsi="Times New Roman" w:cs="Times New Roman"/>
                <w:sz w:val="24"/>
                <w:szCs w:val="24"/>
                <w:lang w:val="en-US"/>
              </w:rPr>
              <w:t xml:space="preserve">34. STOXX All Europe 800 </w:t>
            </w:r>
          </w:p>
          <w:p w14:paraId="3FC14345" w14:textId="77777777" w:rsidR="00231074" w:rsidRPr="00231074" w:rsidRDefault="00231074" w:rsidP="00231074">
            <w:pPr>
              <w:spacing w:after="160" w:line="259" w:lineRule="auto"/>
              <w:rPr>
                <w:rFonts w:ascii="Times New Roman" w:hAnsi="Times New Roman" w:cs="Times New Roman"/>
                <w:b/>
                <w:sz w:val="24"/>
                <w:szCs w:val="24"/>
              </w:rPr>
            </w:pPr>
          </w:p>
        </w:tc>
        <w:tc>
          <w:tcPr>
            <w:tcW w:w="2551" w:type="dxa"/>
          </w:tcPr>
          <w:p w14:paraId="743E826F"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w:t>
            </w:r>
          </w:p>
        </w:tc>
      </w:tr>
      <w:tr w:rsidR="00231074" w:rsidRPr="00231074" w14:paraId="6B789B0E" w14:textId="77777777" w:rsidTr="00C15AE1">
        <w:tc>
          <w:tcPr>
            <w:tcW w:w="2550" w:type="dxa"/>
          </w:tcPr>
          <w:p w14:paraId="41475816"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35. STOXX Europe 50 </w:t>
            </w:r>
          </w:p>
        </w:tc>
        <w:tc>
          <w:tcPr>
            <w:tcW w:w="2551" w:type="dxa"/>
          </w:tcPr>
          <w:p w14:paraId="690B2433"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w:t>
            </w:r>
          </w:p>
        </w:tc>
      </w:tr>
      <w:tr w:rsidR="00231074" w:rsidRPr="00231074" w14:paraId="2BF59EB3" w14:textId="77777777" w:rsidTr="00C15AE1">
        <w:tc>
          <w:tcPr>
            <w:tcW w:w="2550" w:type="dxa"/>
          </w:tcPr>
          <w:p w14:paraId="0CE162D2"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36. STOXX Europe 600 </w:t>
            </w:r>
          </w:p>
        </w:tc>
        <w:tc>
          <w:tcPr>
            <w:tcW w:w="2551" w:type="dxa"/>
          </w:tcPr>
          <w:p w14:paraId="3D98DA25"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w:t>
            </w:r>
          </w:p>
        </w:tc>
      </w:tr>
      <w:tr w:rsidR="00231074" w:rsidRPr="00231074" w14:paraId="67047414" w14:textId="77777777" w:rsidTr="00C15AE1">
        <w:tc>
          <w:tcPr>
            <w:tcW w:w="2550" w:type="dxa"/>
          </w:tcPr>
          <w:p w14:paraId="08D60A07"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37. STOXX Europe 600 Equal Weight</w:t>
            </w:r>
          </w:p>
        </w:tc>
        <w:tc>
          <w:tcPr>
            <w:tcW w:w="2551" w:type="dxa"/>
          </w:tcPr>
          <w:p w14:paraId="164B6F95"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w:t>
            </w:r>
          </w:p>
        </w:tc>
      </w:tr>
      <w:tr w:rsidR="00231074" w:rsidRPr="00231074" w14:paraId="71D4ADB2" w14:textId="77777777" w:rsidTr="00C15AE1">
        <w:tc>
          <w:tcPr>
            <w:tcW w:w="2550" w:type="dxa"/>
          </w:tcPr>
          <w:p w14:paraId="30E61203" w14:textId="77777777" w:rsidR="00231074" w:rsidRPr="00231074" w:rsidRDefault="00231074" w:rsidP="00231074">
            <w:pPr>
              <w:spacing w:after="160" w:line="259" w:lineRule="auto"/>
              <w:rPr>
                <w:rFonts w:ascii="Times New Roman" w:hAnsi="Times New Roman" w:cs="Times New Roman"/>
                <w:sz w:val="24"/>
                <w:szCs w:val="24"/>
                <w:lang w:val="en-US"/>
              </w:rPr>
            </w:pPr>
            <w:r w:rsidRPr="00231074">
              <w:rPr>
                <w:rFonts w:ascii="Times New Roman" w:hAnsi="Times New Roman" w:cs="Times New Roman"/>
                <w:sz w:val="24"/>
                <w:szCs w:val="24"/>
                <w:lang w:val="en-US"/>
              </w:rPr>
              <w:t xml:space="preserve">38. STOXX Europe </w:t>
            </w:r>
            <w:proofErr w:type="spellStart"/>
            <w:r w:rsidRPr="00231074">
              <w:rPr>
                <w:rFonts w:ascii="Times New Roman" w:hAnsi="Times New Roman" w:cs="Times New Roman"/>
                <w:sz w:val="24"/>
                <w:szCs w:val="24"/>
                <w:lang w:val="en-US"/>
              </w:rPr>
              <w:t>Lrg</w:t>
            </w:r>
            <w:proofErr w:type="spellEnd"/>
            <w:r w:rsidRPr="00231074">
              <w:rPr>
                <w:rFonts w:ascii="Times New Roman" w:hAnsi="Times New Roman" w:cs="Times New Roman"/>
                <w:sz w:val="24"/>
                <w:szCs w:val="24"/>
                <w:lang w:val="en-US"/>
              </w:rPr>
              <w:t xml:space="preserve"> 200 </w:t>
            </w:r>
          </w:p>
          <w:p w14:paraId="054DC267" w14:textId="77777777" w:rsidR="00231074" w:rsidRPr="00231074" w:rsidRDefault="00231074" w:rsidP="00231074">
            <w:pPr>
              <w:spacing w:after="160" w:line="259" w:lineRule="auto"/>
              <w:rPr>
                <w:rFonts w:ascii="Times New Roman" w:hAnsi="Times New Roman" w:cs="Times New Roman"/>
                <w:b/>
                <w:sz w:val="24"/>
                <w:szCs w:val="24"/>
              </w:rPr>
            </w:pPr>
          </w:p>
        </w:tc>
        <w:tc>
          <w:tcPr>
            <w:tcW w:w="2551" w:type="dxa"/>
          </w:tcPr>
          <w:p w14:paraId="13279D92"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w:t>
            </w:r>
          </w:p>
        </w:tc>
      </w:tr>
      <w:tr w:rsidR="00231074" w:rsidRPr="00231074" w14:paraId="7698DAB7" w14:textId="77777777" w:rsidTr="00C15AE1">
        <w:tc>
          <w:tcPr>
            <w:tcW w:w="2550" w:type="dxa"/>
          </w:tcPr>
          <w:p w14:paraId="071886B2"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39. STOXX Europe Mid 200 </w:t>
            </w:r>
          </w:p>
        </w:tc>
        <w:tc>
          <w:tcPr>
            <w:tcW w:w="2551" w:type="dxa"/>
          </w:tcPr>
          <w:p w14:paraId="52F4060C"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w:t>
            </w:r>
          </w:p>
        </w:tc>
      </w:tr>
      <w:tr w:rsidR="00231074" w:rsidRPr="00231074" w14:paraId="75EC5A1B" w14:textId="77777777" w:rsidTr="00C15AE1">
        <w:tc>
          <w:tcPr>
            <w:tcW w:w="2550" w:type="dxa"/>
          </w:tcPr>
          <w:p w14:paraId="610B8EF2"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40. STOXX Europe Small 200 </w:t>
            </w:r>
          </w:p>
        </w:tc>
        <w:tc>
          <w:tcPr>
            <w:tcW w:w="2551" w:type="dxa"/>
          </w:tcPr>
          <w:p w14:paraId="1377CC7C"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w:t>
            </w:r>
          </w:p>
        </w:tc>
      </w:tr>
      <w:tr w:rsidR="00231074" w:rsidRPr="00231074" w14:paraId="2A5935E8" w14:textId="77777777" w:rsidTr="00C15AE1">
        <w:tc>
          <w:tcPr>
            <w:tcW w:w="2550" w:type="dxa"/>
          </w:tcPr>
          <w:p w14:paraId="0749AC55"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lastRenderedPageBreak/>
              <w:t xml:space="preserve">41. STOXX Select Dividend 30 </w:t>
            </w:r>
          </w:p>
        </w:tc>
        <w:tc>
          <w:tcPr>
            <w:tcW w:w="2551" w:type="dxa"/>
          </w:tcPr>
          <w:p w14:paraId="3064E95C"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Europa</w:t>
            </w:r>
          </w:p>
        </w:tc>
      </w:tr>
      <w:tr w:rsidR="00231074" w:rsidRPr="00231074" w14:paraId="75903B3A" w14:textId="77777777" w:rsidTr="00C15AE1">
        <w:tc>
          <w:tcPr>
            <w:tcW w:w="2550" w:type="dxa"/>
          </w:tcPr>
          <w:p w14:paraId="3B75C3B2"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42. OMXH25 </w:t>
            </w:r>
          </w:p>
        </w:tc>
        <w:tc>
          <w:tcPr>
            <w:tcW w:w="2551" w:type="dxa"/>
          </w:tcPr>
          <w:p w14:paraId="2FE16945"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Finlanda</w:t>
            </w:r>
            <w:proofErr w:type="spellEnd"/>
          </w:p>
        </w:tc>
      </w:tr>
      <w:tr w:rsidR="00231074" w:rsidRPr="00231074" w14:paraId="7D3A60AF" w14:textId="77777777" w:rsidTr="00C15AE1">
        <w:tc>
          <w:tcPr>
            <w:tcW w:w="2550" w:type="dxa"/>
          </w:tcPr>
          <w:p w14:paraId="393D24FE"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43. CAC40 </w:t>
            </w:r>
          </w:p>
        </w:tc>
        <w:tc>
          <w:tcPr>
            <w:tcW w:w="2551" w:type="dxa"/>
          </w:tcPr>
          <w:p w14:paraId="79C1071A"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Franţa</w:t>
            </w:r>
            <w:proofErr w:type="spellEnd"/>
          </w:p>
        </w:tc>
      </w:tr>
      <w:tr w:rsidR="00231074" w:rsidRPr="00231074" w14:paraId="2F36174E" w14:textId="77777777" w:rsidTr="00C15AE1">
        <w:tc>
          <w:tcPr>
            <w:tcW w:w="2550" w:type="dxa"/>
          </w:tcPr>
          <w:p w14:paraId="439C1DAC"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44. </w:t>
            </w:r>
            <w:proofErr w:type="spellStart"/>
            <w:r w:rsidRPr="00231074">
              <w:rPr>
                <w:rFonts w:ascii="Times New Roman" w:hAnsi="Times New Roman" w:cs="Times New Roman"/>
                <w:sz w:val="24"/>
                <w:szCs w:val="24"/>
                <w:lang w:val="en-US"/>
              </w:rPr>
              <w:t>Cboe</w:t>
            </w:r>
            <w:proofErr w:type="spellEnd"/>
            <w:r w:rsidRPr="00231074">
              <w:rPr>
                <w:rFonts w:ascii="Times New Roman" w:hAnsi="Times New Roman" w:cs="Times New Roman"/>
                <w:sz w:val="24"/>
                <w:szCs w:val="24"/>
                <w:lang w:val="en-US"/>
              </w:rPr>
              <w:t xml:space="preserve"> France 40 </w:t>
            </w:r>
          </w:p>
        </w:tc>
        <w:tc>
          <w:tcPr>
            <w:tcW w:w="2551" w:type="dxa"/>
          </w:tcPr>
          <w:p w14:paraId="572B3250"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Franţa</w:t>
            </w:r>
            <w:proofErr w:type="spellEnd"/>
          </w:p>
        </w:tc>
      </w:tr>
      <w:tr w:rsidR="00231074" w:rsidRPr="00231074" w14:paraId="5F7664BD" w14:textId="77777777" w:rsidTr="00C15AE1">
        <w:tc>
          <w:tcPr>
            <w:tcW w:w="2550" w:type="dxa"/>
          </w:tcPr>
          <w:p w14:paraId="4928E8EC"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45. SBF 120 </w:t>
            </w:r>
          </w:p>
        </w:tc>
        <w:tc>
          <w:tcPr>
            <w:tcW w:w="2551" w:type="dxa"/>
          </w:tcPr>
          <w:p w14:paraId="417C7A8E"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Franţa</w:t>
            </w:r>
            <w:proofErr w:type="spellEnd"/>
          </w:p>
        </w:tc>
      </w:tr>
      <w:tr w:rsidR="00231074" w:rsidRPr="00231074" w14:paraId="76143CFC" w14:textId="77777777" w:rsidTr="00C15AE1">
        <w:tc>
          <w:tcPr>
            <w:tcW w:w="2550" w:type="dxa"/>
          </w:tcPr>
          <w:p w14:paraId="5C03879E"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46. </w:t>
            </w:r>
            <w:proofErr w:type="spellStart"/>
            <w:r w:rsidRPr="00231074">
              <w:rPr>
                <w:rFonts w:ascii="Times New Roman" w:hAnsi="Times New Roman" w:cs="Times New Roman"/>
                <w:sz w:val="24"/>
                <w:szCs w:val="24"/>
                <w:lang w:val="en-US"/>
              </w:rPr>
              <w:t>Cboe</w:t>
            </w:r>
            <w:proofErr w:type="spellEnd"/>
            <w:r w:rsidRPr="00231074">
              <w:rPr>
                <w:rFonts w:ascii="Times New Roman" w:hAnsi="Times New Roman" w:cs="Times New Roman"/>
                <w:sz w:val="24"/>
                <w:szCs w:val="24"/>
                <w:lang w:val="en-US"/>
              </w:rPr>
              <w:t xml:space="preserve"> Germany 40 </w:t>
            </w:r>
          </w:p>
        </w:tc>
        <w:tc>
          <w:tcPr>
            <w:tcW w:w="2551" w:type="dxa"/>
          </w:tcPr>
          <w:p w14:paraId="0E7693E4"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Germania</w:t>
            </w:r>
          </w:p>
        </w:tc>
      </w:tr>
      <w:tr w:rsidR="00231074" w:rsidRPr="00231074" w14:paraId="53ED9F7D" w14:textId="77777777" w:rsidTr="00C15AE1">
        <w:tc>
          <w:tcPr>
            <w:tcW w:w="2550" w:type="dxa"/>
          </w:tcPr>
          <w:p w14:paraId="0174815E"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47. DAX </w:t>
            </w:r>
          </w:p>
        </w:tc>
        <w:tc>
          <w:tcPr>
            <w:tcW w:w="2551" w:type="dxa"/>
          </w:tcPr>
          <w:p w14:paraId="6D93A353"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Germania</w:t>
            </w:r>
          </w:p>
        </w:tc>
      </w:tr>
      <w:tr w:rsidR="00231074" w:rsidRPr="00231074" w14:paraId="54A06640" w14:textId="77777777" w:rsidTr="00C15AE1">
        <w:tc>
          <w:tcPr>
            <w:tcW w:w="2550" w:type="dxa"/>
          </w:tcPr>
          <w:p w14:paraId="5E0C58D9"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48. HDAX </w:t>
            </w:r>
          </w:p>
        </w:tc>
        <w:tc>
          <w:tcPr>
            <w:tcW w:w="2551" w:type="dxa"/>
          </w:tcPr>
          <w:p w14:paraId="1AB95FE4"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Germania</w:t>
            </w:r>
          </w:p>
        </w:tc>
      </w:tr>
      <w:tr w:rsidR="00231074" w:rsidRPr="00231074" w14:paraId="7E4ABF81" w14:textId="77777777" w:rsidTr="00C15AE1">
        <w:tc>
          <w:tcPr>
            <w:tcW w:w="2550" w:type="dxa"/>
          </w:tcPr>
          <w:p w14:paraId="287F7679"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49. MDAX </w:t>
            </w:r>
          </w:p>
        </w:tc>
        <w:tc>
          <w:tcPr>
            <w:tcW w:w="2551" w:type="dxa"/>
          </w:tcPr>
          <w:p w14:paraId="3CF0D5E6"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Germania</w:t>
            </w:r>
          </w:p>
        </w:tc>
      </w:tr>
      <w:tr w:rsidR="00231074" w:rsidRPr="00231074" w14:paraId="2F6E52EE" w14:textId="77777777" w:rsidTr="00C15AE1">
        <w:tc>
          <w:tcPr>
            <w:tcW w:w="2550" w:type="dxa"/>
          </w:tcPr>
          <w:p w14:paraId="14A1A7BC"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50. SDAX </w:t>
            </w:r>
          </w:p>
        </w:tc>
        <w:tc>
          <w:tcPr>
            <w:tcW w:w="2551" w:type="dxa"/>
          </w:tcPr>
          <w:p w14:paraId="18AC921E"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Germania</w:t>
            </w:r>
          </w:p>
        </w:tc>
      </w:tr>
      <w:tr w:rsidR="00231074" w:rsidRPr="00231074" w14:paraId="0659B683" w14:textId="77777777" w:rsidTr="00C15AE1">
        <w:tc>
          <w:tcPr>
            <w:tcW w:w="2550" w:type="dxa"/>
          </w:tcPr>
          <w:p w14:paraId="3670399F"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51. FTSE RAFI All World </w:t>
            </w:r>
          </w:p>
        </w:tc>
        <w:tc>
          <w:tcPr>
            <w:tcW w:w="2551" w:type="dxa"/>
          </w:tcPr>
          <w:p w14:paraId="0A5F5558"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La </w:t>
            </w:r>
            <w:proofErr w:type="spellStart"/>
            <w:r w:rsidRPr="00231074">
              <w:rPr>
                <w:rFonts w:ascii="Times New Roman" w:hAnsi="Times New Roman" w:cs="Times New Roman"/>
                <w:sz w:val="24"/>
                <w:szCs w:val="24"/>
                <w:lang w:val="en-US"/>
              </w:rPr>
              <w:t>nivel</w:t>
            </w:r>
            <w:proofErr w:type="spellEnd"/>
            <w:r w:rsidRPr="00231074">
              <w:rPr>
                <w:rFonts w:ascii="Times New Roman" w:hAnsi="Times New Roman" w:cs="Times New Roman"/>
                <w:sz w:val="24"/>
                <w:szCs w:val="24"/>
                <w:lang w:val="en-US"/>
              </w:rPr>
              <w:t xml:space="preserve"> </w:t>
            </w:r>
            <w:proofErr w:type="spellStart"/>
            <w:r w:rsidRPr="00231074">
              <w:rPr>
                <w:rFonts w:ascii="Times New Roman" w:hAnsi="Times New Roman" w:cs="Times New Roman"/>
                <w:sz w:val="24"/>
                <w:szCs w:val="24"/>
                <w:lang w:val="en-US"/>
              </w:rPr>
              <w:t>mondial</w:t>
            </w:r>
            <w:proofErr w:type="spellEnd"/>
          </w:p>
        </w:tc>
      </w:tr>
      <w:tr w:rsidR="00231074" w:rsidRPr="00231074" w14:paraId="73EADC1C" w14:textId="77777777" w:rsidTr="00C15AE1">
        <w:tc>
          <w:tcPr>
            <w:tcW w:w="2550" w:type="dxa"/>
          </w:tcPr>
          <w:p w14:paraId="3ABB7324"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52. MSCI World Index </w:t>
            </w:r>
          </w:p>
        </w:tc>
        <w:tc>
          <w:tcPr>
            <w:tcW w:w="2551" w:type="dxa"/>
          </w:tcPr>
          <w:p w14:paraId="443D04B8"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La </w:t>
            </w:r>
            <w:proofErr w:type="spellStart"/>
            <w:r w:rsidRPr="00231074">
              <w:rPr>
                <w:rFonts w:ascii="Times New Roman" w:hAnsi="Times New Roman" w:cs="Times New Roman"/>
                <w:sz w:val="24"/>
                <w:szCs w:val="24"/>
                <w:lang w:val="en-US"/>
              </w:rPr>
              <w:t>nivel</w:t>
            </w:r>
            <w:proofErr w:type="spellEnd"/>
            <w:r w:rsidRPr="00231074">
              <w:rPr>
                <w:rFonts w:ascii="Times New Roman" w:hAnsi="Times New Roman" w:cs="Times New Roman"/>
                <w:sz w:val="24"/>
                <w:szCs w:val="24"/>
                <w:lang w:val="en-US"/>
              </w:rPr>
              <w:t xml:space="preserve"> </w:t>
            </w:r>
            <w:proofErr w:type="spellStart"/>
            <w:r w:rsidRPr="00231074">
              <w:rPr>
                <w:rFonts w:ascii="Times New Roman" w:hAnsi="Times New Roman" w:cs="Times New Roman"/>
                <w:sz w:val="24"/>
                <w:szCs w:val="24"/>
                <w:lang w:val="en-US"/>
              </w:rPr>
              <w:t>mondial</w:t>
            </w:r>
            <w:proofErr w:type="spellEnd"/>
          </w:p>
        </w:tc>
      </w:tr>
      <w:tr w:rsidR="00231074" w:rsidRPr="00231074" w14:paraId="345D1A85" w14:textId="77777777" w:rsidTr="00C15AE1">
        <w:tc>
          <w:tcPr>
            <w:tcW w:w="2550" w:type="dxa"/>
          </w:tcPr>
          <w:p w14:paraId="140B1323"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53. Athens General </w:t>
            </w:r>
          </w:p>
        </w:tc>
        <w:tc>
          <w:tcPr>
            <w:tcW w:w="2551" w:type="dxa"/>
          </w:tcPr>
          <w:p w14:paraId="07E9EE06"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Grecia</w:t>
            </w:r>
          </w:p>
        </w:tc>
      </w:tr>
      <w:tr w:rsidR="00231074" w:rsidRPr="00231074" w14:paraId="35EB376F" w14:textId="77777777" w:rsidTr="00C15AE1">
        <w:tc>
          <w:tcPr>
            <w:tcW w:w="2550" w:type="dxa"/>
          </w:tcPr>
          <w:p w14:paraId="72CF3EF3"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54. FT ASE Large Cap </w:t>
            </w:r>
          </w:p>
        </w:tc>
        <w:tc>
          <w:tcPr>
            <w:tcW w:w="2551" w:type="dxa"/>
          </w:tcPr>
          <w:p w14:paraId="13AED9EE"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Grecia</w:t>
            </w:r>
          </w:p>
        </w:tc>
      </w:tr>
      <w:tr w:rsidR="00231074" w:rsidRPr="00231074" w14:paraId="25438675" w14:textId="77777777" w:rsidTr="00C15AE1">
        <w:tc>
          <w:tcPr>
            <w:tcW w:w="2550" w:type="dxa"/>
          </w:tcPr>
          <w:p w14:paraId="1BBA6B1A"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55. Hang Seng </w:t>
            </w:r>
          </w:p>
        </w:tc>
        <w:tc>
          <w:tcPr>
            <w:tcW w:w="2551" w:type="dxa"/>
          </w:tcPr>
          <w:p w14:paraId="59AB8CC0"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Hong Kong</w:t>
            </w:r>
          </w:p>
        </w:tc>
      </w:tr>
      <w:tr w:rsidR="00231074" w:rsidRPr="00231074" w14:paraId="18BB0AF4" w14:textId="77777777" w:rsidTr="00C15AE1">
        <w:tc>
          <w:tcPr>
            <w:tcW w:w="2550" w:type="dxa"/>
          </w:tcPr>
          <w:p w14:paraId="2A89EEC7"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56. Hang Seng China Enterprises </w:t>
            </w:r>
          </w:p>
        </w:tc>
        <w:tc>
          <w:tcPr>
            <w:tcW w:w="2551" w:type="dxa"/>
          </w:tcPr>
          <w:p w14:paraId="089A0B95"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Hong Kong</w:t>
            </w:r>
          </w:p>
        </w:tc>
      </w:tr>
      <w:tr w:rsidR="00231074" w:rsidRPr="00231074" w14:paraId="6408A063" w14:textId="77777777" w:rsidTr="00C15AE1">
        <w:tc>
          <w:tcPr>
            <w:tcW w:w="2550" w:type="dxa"/>
          </w:tcPr>
          <w:p w14:paraId="5A9FF27A"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57. NIFTY 50 </w:t>
            </w:r>
          </w:p>
        </w:tc>
        <w:tc>
          <w:tcPr>
            <w:tcW w:w="2551" w:type="dxa"/>
          </w:tcPr>
          <w:p w14:paraId="4526293B"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India</w:t>
            </w:r>
          </w:p>
        </w:tc>
      </w:tr>
      <w:tr w:rsidR="00231074" w:rsidRPr="00231074" w14:paraId="60AF2657" w14:textId="77777777" w:rsidTr="00C15AE1">
        <w:tc>
          <w:tcPr>
            <w:tcW w:w="2550" w:type="dxa"/>
          </w:tcPr>
          <w:p w14:paraId="39FDDBA5"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58. S&amp;P BSE 100 </w:t>
            </w:r>
          </w:p>
        </w:tc>
        <w:tc>
          <w:tcPr>
            <w:tcW w:w="2551" w:type="dxa"/>
          </w:tcPr>
          <w:p w14:paraId="5AE00F13"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India</w:t>
            </w:r>
          </w:p>
        </w:tc>
      </w:tr>
      <w:tr w:rsidR="00231074" w:rsidRPr="00231074" w14:paraId="2D11E9EF" w14:textId="77777777" w:rsidTr="00C15AE1">
        <w:tc>
          <w:tcPr>
            <w:tcW w:w="2550" w:type="dxa"/>
          </w:tcPr>
          <w:p w14:paraId="3A5EBAA9"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59. ISEQ 20 </w:t>
            </w:r>
          </w:p>
        </w:tc>
        <w:tc>
          <w:tcPr>
            <w:tcW w:w="2551" w:type="dxa"/>
          </w:tcPr>
          <w:p w14:paraId="5F2BC42D"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Irlanda</w:t>
            </w:r>
          </w:p>
        </w:tc>
      </w:tr>
      <w:tr w:rsidR="00231074" w:rsidRPr="00231074" w14:paraId="47F41909" w14:textId="77777777" w:rsidTr="00C15AE1">
        <w:tc>
          <w:tcPr>
            <w:tcW w:w="2550" w:type="dxa"/>
          </w:tcPr>
          <w:p w14:paraId="23484BC5"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60. </w:t>
            </w:r>
            <w:proofErr w:type="spellStart"/>
            <w:r w:rsidRPr="00231074">
              <w:rPr>
                <w:rFonts w:ascii="Times New Roman" w:hAnsi="Times New Roman" w:cs="Times New Roman"/>
                <w:sz w:val="24"/>
                <w:szCs w:val="24"/>
                <w:lang w:val="en-US"/>
              </w:rPr>
              <w:t>Cboe</w:t>
            </w:r>
            <w:proofErr w:type="spellEnd"/>
            <w:r w:rsidRPr="00231074">
              <w:rPr>
                <w:rFonts w:ascii="Times New Roman" w:hAnsi="Times New Roman" w:cs="Times New Roman"/>
                <w:sz w:val="24"/>
                <w:szCs w:val="24"/>
                <w:lang w:val="en-US"/>
              </w:rPr>
              <w:t xml:space="preserve"> Italy 40 </w:t>
            </w:r>
          </w:p>
        </w:tc>
        <w:tc>
          <w:tcPr>
            <w:tcW w:w="2551" w:type="dxa"/>
          </w:tcPr>
          <w:p w14:paraId="278F8528"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Italia</w:t>
            </w:r>
          </w:p>
        </w:tc>
      </w:tr>
      <w:tr w:rsidR="00231074" w:rsidRPr="00231074" w14:paraId="3C94F654" w14:textId="77777777" w:rsidTr="00C15AE1">
        <w:tc>
          <w:tcPr>
            <w:tcW w:w="2550" w:type="dxa"/>
          </w:tcPr>
          <w:p w14:paraId="7A714F60"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61. FTSE MIB </w:t>
            </w:r>
          </w:p>
        </w:tc>
        <w:tc>
          <w:tcPr>
            <w:tcW w:w="2551" w:type="dxa"/>
          </w:tcPr>
          <w:p w14:paraId="67FEFF4C"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Italia</w:t>
            </w:r>
          </w:p>
        </w:tc>
      </w:tr>
      <w:tr w:rsidR="00231074" w:rsidRPr="00231074" w14:paraId="7A43F10D" w14:textId="77777777" w:rsidTr="00C15AE1">
        <w:tc>
          <w:tcPr>
            <w:tcW w:w="2550" w:type="dxa"/>
          </w:tcPr>
          <w:p w14:paraId="39BAC7B0"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62. Nikkei225 </w:t>
            </w:r>
          </w:p>
        </w:tc>
        <w:tc>
          <w:tcPr>
            <w:tcW w:w="2551" w:type="dxa"/>
          </w:tcPr>
          <w:p w14:paraId="4D8B763D"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Japonia</w:t>
            </w:r>
            <w:proofErr w:type="spellEnd"/>
          </w:p>
        </w:tc>
      </w:tr>
      <w:tr w:rsidR="00231074" w:rsidRPr="00231074" w14:paraId="30277073" w14:textId="77777777" w:rsidTr="00C15AE1">
        <w:tc>
          <w:tcPr>
            <w:tcW w:w="2550" w:type="dxa"/>
          </w:tcPr>
          <w:p w14:paraId="1B837955"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63. Nikkei300 </w:t>
            </w:r>
          </w:p>
        </w:tc>
        <w:tc>
          <w:tcPr>
            <w:tcW w:w="2551" w:type="dxa"/>
          </w:tcPr>
          <w:p w14:paraId="1DD2843A"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Japonia</w:t>
            </w:r>
            <w:proofErr w:type="spellEnd"/>
          </w:p>
        </w:tc>
      </w:tr>
      <w:tr w:rsidR="00231074" w:rsidRPr="00231074" w14:paraId="2B9B4705" w14:textId="77777777" w:rsidTr="00C15AE1">
        <w:tc>
          <w:tcPr>
            <w:tcW w:w="2550" w:type="dxa"/>
          </w:tcPr>
          <w:p w14:paraId="7411BB46"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64. TOPIX 400 </w:t>
            </w:r>
          </w:p>
        </w:tc>
        <w:tc>
          <w:tcPr>
            <w:tcW w:w="2551" w:type="dxa"/>
          </w:tcPr>
          <w:p w14:paraId="674A61EA"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Japonia</w:t>
            </w:r>
            <w:proofErr w:type="spellEnd"/>
          </w:p>
        </w:tc>
      </w:tr>
      <w:tr w:rsidR="00231074" w:rsidRPr="00231074" w14:paraId="4733DF44" w14:textId="77777777" w:rsidTr="00C15AE1">
        <w:tc>
          <w:tcPr>
            <w:tcW w:w="2550" w:type="dxa"/>
          </w:tcPr>
          <w:p w14:paraId="7F004BB3"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65. TOPIX Core 30 </w:t>
            </w:r>
          </w:p>
        </w:tc>
        <w:tc>
          <w:tcPr>
            <w:tcW w:w="2551" w:type="dxa"/>
          </w:tcPr>
          <w:p w14:paraId="49651DC5"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Japonia</w:t>
            </w:r>
            <w:proofErr w:type="spellEnd"/>
          </w:p>
        </w:tc>
      </w:tr>
      <w:tr w:rsidR="00231074" w:rsidRPr="00231074" w14:paraId="7C9040BC" w14:textId="77777777" w:rsidTr="00C15AE1">
        <w:tc>
          <w:tcPr>
            <w:tcW w:w="2550" w:type="dxa"/>
          </w:tcPr>
          <w:p w14:paraId="2C08FF3B" w14:textId="77777777" w:rsidR="00231074" w:rsidRPr="00231074" w:rsidRDefault="00231074" w:rsidP="00231074">
            <w:pPr>
              <w:spacing w:after="160" w:line="259" w:lineRule="auto"/>
              <w:rPr>
                <w:rFonts w:ascii="Times New Roman" w:hAnsi="Times New Roman" w:cs="Times New Roman"/>
                <w:sz w:val="24"/>
                <w:szCs w:val="24"/>
                <w:lang w:val="en-US"/>
              </w:rPr>
            </w:pPr>
            <w:r w:rsidRPr="00231074">
              <w:rPr>
                <w:rFonts w:ascii="Times New Roman" w:hAnsi="Times New Roman" w:cs="Times New Roman"/>
                <w:sz w:val="24"/>
                <w:szCs w:val="24"/>
                <w:lang w:val="en-US"/>
              </w:rPr>
              <w:t>66. S&amp;P Latin America 40</w:t>
            </w:r>
          </w:p>
          <w:p w14:paraId="703457DE"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 </w:t>
            </w:r>
          </w:p>
        </w:tc>
        <w:tc>
          <w:tcPr>
            <w:tcW w:w="2551" w:type="dxa"/>
          </w:tcPr>
          <w:p w14:paraId="231BCCE5"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America </w:t>
            </w:r>
            <w:proofErr w:type="spellStart"/>
            <w:r w:rsidRPr="00231074">
              <w:rPr>
                <w:rFonts w:ascii="Times New Roman" w:hAnsi="Times New Roman" w:cs="Times New Roman"/>
                <w:sz w:val="24"/>
                <w:szCs w:val="24"/>
                <w:lang w:val="en-US"/>
              </w:rPr>
              <w:t>Latină</w:t>
            </w:r>
            <w:proofErr w:type="spellEnd"/>
          </w:p>
        </w:tc>
      </w:tr>
      <w:tr w:rsidR="00231074" w:rsidRPr="00231074" w14:paraId="53104D77" w14:textId="77777777" w:rsidTr="00C15AE1">
        <w:tc>
          <w:tcPr>
            <w:tcW w:w="2550" w:type="dxa"/>
          </w:tcPr>
          <w:p w14:paraId="45105A71"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it-IT"/>
              </w:rPr>
              <w:t xml:space="preserve">67. FTSE Bursa Malaysia KLCI </w:t>
            </w:r>
          </w:p>
        </w:tc>
        <w:tc>
          <w:tcPr>
            <w:tcW w:w="2551" w:type="dxa"/>
          </w:tcPr>
          <w:p w14:paraId="1F6A7B7E"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it-IT"/>
              </w:rPr>
              <w:t>Malaysia</w:t>
            </w:r>
          </w:p>
        </w:tc>
      </w:tr>
      <w:tr w:rsidR="00231074" w:rsidRPr="00231074" w14:paraId="013B19CB" w14:textId="77777777" w:rsidTr="00C15AE1">
        <w:tc>
          <w:tcPr>
            <w:tcW w:w="2550" w:type="dxa"/>
          </w:tcPr>
          <w:p w14:paraId="3378AD04"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lastRenderedPageBreak/>
              <w:t xml:space="preserve">68. FTSE Bursa Malaysia Top100 </w:t>
            </w:r>
          </w:p>
        </w:tc>
        <w:tc>
          <w:tcPr>
            <w:tcW w:w="2551" w:type="dxa"/>
          </w:tcPr>
          <w:p w14:paraId="379243AD"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Malaysia</w:t>
            </w:r>
          </w:p>
        </w:tc>
      </w:tr>
      <w:tr w:rsidR="00231074" w:rsidRPr="00231074" w14:paraId="181610F6" w14:textId="77777777" w:rsidTr="00C15AE1">
        <w:tc>
          <w:tcPr>
            <w:tcW w:w="2550" w:type="dxa"/>
          </w:tcPr>
          <w:p w14:paraId="53594155"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69. MSE Share Index </w:t>
            </w:r>
          </w:p>
        </w:tc>
        <w:tc>
          <w:tcPr>
            <w:tcW w:w="2551" w:type="dxa"/>
          </w:tcPr>
          <w:p w14:paraId="222C49C0"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Malta</w:t>
            </w:r>
          </w:p>
        </w:tc>
      </w:tr>
      <w:tr w:rsidR="00231074" w:rsidRPr="00231074" w14:paraId="778CD56C" w14:textId="77777777" w:rsidTr="00C15AE1">
        <w:tc>
          <w:tcPr>
            <w:tcW w:w="2550" w:type="dxa"/>
          </w:tcPr>
          <w:p w14:paraId="2195686A"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70. INMEX Index </w:t>
            </w:r>
          </w:p>
        </w:tc>
        <w:tc>
          <w:tcPr>
            <w:tcW w:w="2551" w:type="dxa"/>
          </w:tcPr>
          <w:p w14:paraId="7BD36313"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Mexic</w:t>
            </w:r>
            <w:proofErr w:type="spellEnd"/>
          </w:p>
        </w:tc>
      </w:tr>
      <w:tr w:rsidR="00231074" w:rsidRPr="00231074" w14:paraId="3F7D5640" w14:textId="77777777" w:rsidTr="00C15AE1">
        <w:tc>
          <w:tcPr>
            <w:tcW w:w="2550" w:type="dxa"/>
          </w:tcPr>
          <w:p w14:paraId="70E48472"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71. IPC Index </w:t>
            </w:r>
          </w:p>
        </w:tc>
        <w:tc>
          <w:tcPr>
            <w:tcW w:w="2551" w:type="dxa"/>
          </w:tcPr>
          <w:p w14:paraId="09B9FF21"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Mexic</w:t>
            </w:r>
            <w:proofErr w:type="spellEnd"/>
          </w:p>
        </w:tc>
      </w:tr>
      <w:tr w:rsidR="00231074" w:rsidRPr="00231074" w14:paraId="212B433C" w14:textId="77777777" w:rsidTr="00C15AE1">
        <w:tc>
          <w:tcPr>
            <w:tcW w:w="2550" w:type="dxa"/>
          </w:tcPr>
          <w:p w14:paraId="4662B71B"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72. AEX </w:t>
            </w:r>
          </w:p>
        </w:tc>
        <w:tc>
          <w:tcPr>
            <w:tcW w:w="2551" w:type="dxa"/>
          </w:tcPr>
          <w:p w14:paraId="54176930"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Ţările</w:t>
            </w:r>
            <w:proofErr w:type="spellEnd"/>
            <w:r w:rsidRPr="00231074">
              <w:rPr>
                <w:rFonts w:ascii="Times New Roman" w:hAnsi="Times New Roman" w:cs="Times New Roman"/>
                <w:sz w:val="24"/>
                <w:szCs w:val="24"/>
                <w:lang w:val="en-US"/>
              </w:rPr>
              <w:t xml:space="preserve"> de Jos</w:t>
            </w:r>
          </w:p>
        </w:tc>
      </w:tr>
      <w:tr w:rsidR="00231074" w:rsidRPr="00231074" w14:paraId="1AACE84A" w14:textId="77777777" w:rsidTr="00C15AE1">
        <w:tc>
          <w:tcPr>
            <w:tcW w:w="2550" w:type="dxa"/>
          </w:tcPr>
          <w:p w14:paraId="13BF24C0"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73. AMX </w:t>
            </w:r>
          </w:p>
        </w:tc>
        <w:tc>
          <w:tcPr>
            <w:tcW w:w="2551" w:type="dxa"/>
          </w:tcPr>
          <w:p w14:paraId="26F185F6"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Ţările</w:t>
            </w:r>
            <w:proofErr w:type="spellEnd"/>
            <w:r w:rsidRPr="00231074">
              <w:rPr>
                <w:rFonts w:ascii="Times New Roman" w:hAnsi="Times New Roman" w:cs="Times New Roman"/>
                <w:sz w:val="24"/>
                <w:szCs w:val="24"/>
                <w:lang w:val="en-US"/>
              </w:rPr>
              <w:t xml:space="preserve"> de Jos</w:t>
            </w:r>
          </w:p>
        </w:tc>
      </w:tr>
      <w:tr w:rsidR="00231074" w:rsidRPr="00231074" w14:paraId="1761D1A6" w14:textId="77777777" w:rsidTr="00C15AE1">
        <w:tc>
          <w:tcPr>
            <w:tcW w:w="2550" w:type="dxa"/>
          </w:tcPr>
          <w:p w14:paraId="76582204" w14:textId="77777777" w:rsidR="00231074" w:rsidRPr="00231074" w:rsidRDefault="00231074" w:rsidP="00231074">
            <w:pPr>
              <w:spacing w:after="160" w:line="259" w:lineRule="auto"/>
              <w:rPr>
                <w:rFonts w:ascii="Times New Roman" w:hAnsi="Times New Roman" w:cs="Times New Roman"/>
                <w:sz w:val="24"/>
                <w:szCs w:val="24"/>
                <w:lang w:val="pt-BR"/>
              </w:rPr>
            </w:pPr>
            <w:r w:rsidRPr="00231074">
              <w:rPr>
                <w:rFonts w:ascii="Times New Roman" w:hAnsi="Times New Roman" w:cs="Times New Roman"/>
                <w:sz w:val="24"/>
                <w:szCs w:val="24"/>
                <w:lang w:val="pt-BR"/>
              </w:rPr>
              <w:t xml:space="preserve">74. Cboe Netherlands 25 </w:t>
            </w:r>
          </w:p>
          <w:p w14:paraId="2E1DEA11" w14:textId="77777777" w:rsidR="00231074" w:rsidRPr="00231074" w:rsidRDefault="00231074" w:rsidP="00231074">
            <w:pPr>
              <w:spacing w:after="160" w:line="259" w:lineRule="auto"/>
              <w:rPr>
                <w:rFonts w:ascii="Times New Roman" w:hAnsi="Times New Roman" w:cs="Times New Roman"/>
                <w:b/>
                <w:sz w:val="24"/>
                <w:szCs w:val="24"/>
              </w:rPr>
            </w:pPr>
          </w:p>
        </w:tc>
        <w:tc>
          <w:tcPr>
            <w:tcW w:w="2551" w:type="dxa"/>
          </w:tcPr>
          <w:p w14:paraId="4CA95655"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pt-BR"/>
              </w:rPr>
              <w:t>Ţările de Jos</w:t>
            </w:r>
          </w:p>
        </w:tc>
      </w:tr>
      <w:tr w:rsidR="00231074" w:rsidRPr="00231074" w14:paraId="25B54AE2" w14:textId="77777777" w:rsidTr="00C15AE1">
        <w:tc>
          <w:tcPr>
            <w:tcW w:w="2550" w:type="dxa"/>
          </w:tcPr>
          <w:p w14:paraId="1EB48DD2"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75. NZSE50 </w:t>
            </w:r>
          </w:p>
        </w:tc>
        <w:tc>
          <w:tcPr>
            <w:tcW w:w="2551" w:type="dxa"/>
          </w:tcPr>
          <w:p w14:paraId="0FB173D4"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Noua</w:t>
            </w:r>
            <w:proofErr w:type="spellEnd"/>
            <w:r w:rsidRPr="00231074">
              <w:rPr>
                <w:rFonts w:ascii="Times New Roman" w:hAnsi="Times New Roman" w:cs="Times New Roman"/>
                <w:sz w:val="24"/>
                <w:szCs w:val="24"/>
                <w:lang w:val="en-US"/>
              </w:rPr>
              <w:t xml:space="preserve"> </w:t>
            </w:r>
            <w:proofErr w:type="spellStart"/>
            <w:r w:rsidRPr="00231074">
              <w:rPr>
                <w:rFonts w:ascii="Times New Roman" w:hAnsi="Times New Roman" w:cs="Times New Roman"/>
                <w:sz w:val="24"/>
                <w:szCs w:val="24"/>
                <w:lang w:val="en-US"/>
              </w:rPr>
              <w:t>Zeelandă</w:t>
            </w:r>
            <w:proofErr w:type="spellEnd"/>
          </w:p>
        </w:tc>
      </w:tr>
      <w:tr w:rsidR="00231074" w:rsidRPr="00231074" w14:paraId="5E7B87E1" w14:textId="77777777" w:rsidTr="00C15AE1">
        <w:tc>
          <w:tcPr>
            <w:tcW w:w="2550" w:type="dxa"/>
          </w:tcPr>
          <w:p w14:paraId="370682CA"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76. </w:t>
            </w:r>
            <w:proofErr w:type="spellStart"/>
            <w:r w:rsidRPr="00231074">
              <w:rPr>
                <w:rFonts w:ascii="Times New Roman" w:hAnsi="Times New Roman" w:cs="Times New Roman"/>
                <w:sz w:val="24"/>
                <w:szCs w:val="24"/>
                <w:lang w:val="en-US"/>
              </w:rPr>
              <w:t>Cboe</w:t>
            </w:r>
            <w:proofErr w:type="spellEnd"/>
            <w:r w:rsidRPr="00231074">
              <w:rPr>
                <w:rFonts w:ascii="Times New Roman" w:hAnsi="Times New Roman" w:cs="Times New Roman"/>
                <w:sz w:val="24"/>
                <w:szCs w:val="24"/>
                <w:lang w:val="en-US"/>
              </w:rPr>
              <w:t xml:space="preserve"> Norway 25 </w:t>
            </w:r>
          </w:p>
        </w:tc>
        <w:tc>
          <w:tcPr>
            <w:tcW w:w="2551" w:type="dxa"/>
          </w:tcPr>
          <w:p w14:paraId="0FD44C30"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Norvegia</w:t>
            </w:r>
            <w:proofErr w:type="spellEnd"/>
          </w:p>
        </w:tc>
      </w:tr>
      <w:tr w:rsidR="00231074" w:rsidRPr="00231074" w14:paraId="16E4B308" w14:textId="77777777" w:rsidTr="00C15AE1">
        <w:tc>
          <w:tcPr>
            <w:tcW w:w="2550" w:type="dxa"/>
          </w:tcPr>
          <w:p w14:paraId="4418B6A7"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77. OBX </w:t>
            </w:r>
          </w:p>
        </w:tc>
        <w:tc>
          <w:tcPr>
            <w:tcW w:w="2551" w:type="dxa"/>
          </w:tcPr>
          <w:p w14:paraId="0323FE70"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Norvegia</w:t>
            </w:r>
            <w:proofErr w:type="spellEnd"/>
          </w:p>
        </w:tc>
      </w:tr>
      <w:tr w:rsidR="00231074" w:rsidRPr="00231074" w14:paraId="6A2F05C2" w14:textId="77777777" w:rsidTr="00C15AE1">
        <w:tc>
          <w:tcPr>
            <w:tcW w:w="2550" w:type="dxa"/>
          </w:tcPr>
          <w:p w14:paraId="5EB4F10E"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78. OBXP </w:t>
            </w:r>
          </w:p>
        </w:tc>
        <w:tc>
          <w:tcPr>
            <w:tcW w:w="2551" w:type="dxa"/>
          </w:tcPr>
          <w:p w14:paraId="5E908AF0"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Norvegia</w:t>
            </w:r>
            <w:proofErr w:type="spellEnd"/>
          </w:p>
        </w:tc>
      </w:tr>
      <w:tr w:rsidR="00231074" w:rsidRPr="00231074" w14:paraId="7240C56D" w14:textId="77777777" w:rsidTr="00C15AE1">
        <w:tc>
          <w:tcPr>
            <w:tcW w:w="2550" w:type="dxa"/>
          </w:tcPr>
          <w:p w14:paraId="28FCC4E3"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79. mWIG40 </w:t>
            </w:r>
          </w:p>
        </w:tc>
        <w:tc>
          <w:tcPr>
            <w:tcW w:w="2551" w:type="dxa"/>
          </w:tcPr>
          <w:p w14:paraId="0419F10A"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Polonia</w:t>
            </w:r>
          </w:p>
        </w:tc>
      </w:tr>
      <w:tr w:rsidR="00231074" w:rsidRPr="00231074" w14:paraId="38C7FA6A" w14:textId="77777777" w:rsidTr="00C15AE1">
        <w:tc>
          <w:tcPr>
            <w:tcW w:w="2550" w:type="dxa"/>
          </w:tcPr>
          <w:p w14:paraId="39E2DAAA"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80. WIG20 </w:t>
            </w:r>
          </w:p>
        </w:tc>
        <w:tc>
          <w:tcPr>
            <w:tcW w:w="2551" w:type="dxa"/>
          </w:tcPr>
          <w:p w14:paraId="4EEB6D2B"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Polonia</w:t>
            </w:r>
          </w:p>
        </w:tc>
      </w:tr>
      <w:tr w:rsidR="00231074" w:rsidRPr="00231074" w14:paraId="382AAD77" w14:textId="77777777" w:rsidTr="00C15AE1">
        <w:tc>
          <w:tcPr>
            <w:tcW w:w="2550" w:type="dxa"/>
          </w:tcPr>
          <w:p w14:paraId="6ADE8EA5"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it-IT"/>
              </w:rPr>
              <w:t xml:space="preserve">81. MSCI Singapore Free Index </w:t>
            </w:r>
          </w:p>
        </w:tc>
        <w:tc>
          <w:tcPr>
            <w:tcW w:w="2551" w:type="dxa"/>
          </w:tcPr>
          <w:p w14:paraId="77133D7C"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it-IT"/>
              </w:rPr>
              <w:t>Singapore</w:t>
            </w:r>
          </w:p>
        </w:tc>
      </w:tr>
      <w:tr w:rsidR="00231074" w:rsidRPr="00231074" w14:paraId="2DE52F53" w14:textId="77777777" w:rsidTr="00C15AE1">
        <w:tc>
          <w:tcPr>
            <w:tcW w:w="2550" w:type="dxa"/>
          </w:tcPr>
          <w:p w14:paraId="584D8BF7"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82. Straits Times Index </w:t>
            </w:r>
          </w:p>
        </w:tc>
        <w:tc>
          <w:tcPr>
            <w:tcW w:w="2551" w:type="dxa"/>
          </w:tcPr>
          <w:p w14:paraId="31FF657D"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Singapore</w:t>
            </w:r>
          </w:p>
        </w:tc>
      </w:tr>
      <w:tr w:rsidR="00231074" w:rsidRPr="00231074" w14:paraId="5011BCCE" w14:textId="77777777" w:rsidTr="00C15AE1">
        <w:tc>
          <w:tcPr>
            <w:tcW w:w="2550" w:type="dxa"/>
          </w:tcPr>
          <w:p w14:paraId="4C553E7F"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pt-BR"/>
              </w:rPr>
              <w:t xml:space="preserve">83. FTSE JSE Top 40 </w:t>
            </w:r>
          </w:p>
        </w:tc>
        <w:tc>
          <w:tcPr>
            <w:tcW w:w="2551" w:type="dxa"/>
          </w:tcPr>
          <w:p w14:paraId="7D4B6294"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pt-BR"/>
              </w:rPr>
              <w:t>Africa de Sud</w:t>
            </w:r>
          </w:p>
        </w:tc>
      </w:tr>
      <w:tr w:rsidR="00231074" w:rsidRPr="00231074" w14:paraId="2D4A0904" w14:textId="77777777" w:rsidTr="00C15AE1">
        <w:tc>
          <w:tcPr>
            <w:tcW w:w="2550" w:type="dxa"/>
          </w:tcPr>
          <w:p w14:paraId="5384FA2F"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84. </w:t>
            </w:r>
            <w:proofErr w:type="spellStart"/>
            <w:r w:rsidRPr="00231074">
              <w:rPr>
                <w:rFonts w:ascii="Times New Roman" w:hAnsi="Times New Roman" w:cs="Times New Roman"/>
                <w:sz w:val="24"/>
                <w:szCs w:val="24"/>
                <w:lang w:val="en-US"/>
              </w:rPr>
              <w:t>Cboe</w:t>
            </w:r>
            <w:proofErr w:type="spellEnd"/>
            <w:r w:rsidRPr="00231074">
              <w:rPr>
                <w:rFonts w:ascii="Times New Roman" w:hAnsi="Times New Roman" w:cs="Times New Roman"/>
                <w:sz w:val="24"/>
                <w:szCs w:val="24"/>
                <w:lang w:val="en-US"/>
              </w:rPr>
              <w:t xml:space="preserve"> Spain 35 </w:t>
            </w:r>
          </w:p>
        </w:tc>
        <w:tc>
          <w:tcPr>
            <w:tcW w:w="2551" w:type="dxa"/>
          </w:tcPr>
          <w:p w14:paraId="2F7EC4A0"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Spania</w:t>
            </w:r>
          </w:p>
        </w:tc>
      </w:tr>
      <w:tr w:rsidR="00231074" w:rsidRPr="00231074" w14:paraId="6199BE43" w14:textId="77777777" w:rsidTr="00C15AE1">
        <w:tc>
          <w:tcPr>
            <w:tcW w:w="2550" w:type="dxa"/>
          </w:tcPr>
          <w:p w14:paraId="0C489E98"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85. IBEX35 </w:t>
            </w:r>
          </w:p>
        </w:tc>
        <w:tc>
          <w:tcPr>
            <w:tcW w:w="2551" w:type="dxa"/>
          </w:tcPr>
          <w:p w14:paraId="58F8F347"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Spania</w:t>
            </w:r>
          </w:p>
        </w:tc>
      </w:tr>
      <w:tr w:rsidR="00231074" w:rsidRPr="00231074" w14:paraId="70FC0187" w14:textId="77777777" w:rsidTr="00C15AE1">
        <w:tc>
          <w:tcPr>
            <w:tcW w:w="2550" w:type="dxa"/>
          </w:tcPr>
          <w:p w14:paraId="6224F784"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86. </w:t>
            </w:r>
            <w:proofErr w:type="spellStart"/>
            <w:r w:rsidRPr="00231074">
              <w:rPr>
                <w:rFonts w:ascii="Times New Roman" w:hAnsi="Times New Roman" w:cs="Times New Roman"/>
                <w:sz w:val="24"/>
                <w:szCs w:val="24"/>
                <w:lang w:val="en-US"/>
              </w:rPr>
              <w:t>Cboe</w:t>
            </w:r>
            <w:proofErr w:type="spellEnd"/>
            <w:r w:rsidRPr="00231074">
              <w:rPr>
                <w:rFonts w:ascii="Times New Roman" w:hAnsi="Times New Roman" w:cs="Times New Roman"/>
                <w:sz w:val="24"/>
                <w:szCs w:val="24"/>
                <w:lang w:val="en-US"/>
              </w:rPr>
              <w:t xml:space="preserve"> Sweden 30 </w:t>
            </w:r>
          </w:p>
        </w:tc>
        <w:tc>
          <w:tcPr>
            <w:tcW w:w="2551" w:type="dxa"/>
          </w:tcPr>
          <w:p w14:paraId="3F38615D"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Suedia</w:t>
            </w:r>
            <w:proofErr w:type="spellEnd"/>
          </w:p>
        </w:tc>
      </w:tr>
      <w:tr w:rsidR="00231074" w:rsidRPr="00231074" w14:paraId="05E6CEAF" w14:textId="77777777" w:rsidTr="00C15AE1">
        <w:tc>
          <w:tcPr>
            <w:tcW w:w="2550" w:type="dxa"/>
          </w:tcPr>
          <w:p w14:paraId="0ED38298"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87. OMX Stockholm 30 </w:t>
            </w:r>
          </w:p>
        </w:tc>
        <w:tc>
          <w:tcPr>
            <w:tcW w:w="2551" w:type="dxa"/>
          </w:tcPr>
          <w:p w14:paraId="6345C015"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Suedia</w:t>
            </w:r>
            <w:proofErr w:type="spellEnd"/>
          </w:p>
        </w:tc>
      </w:tr>
      <w:tr w:rsidR="00231074" w:rsidRPr="00231074" w14:paraId="46B0521C" w14:textId="77777777" w:rsidTr="00C15AE1">
        <w:tc>
          <w:tcPr>
            <w:tcW w:w="2550" w:type="dxa"/>
          </w:tcPr>
          <w:p w14:paraId="0293B604"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88. </w:t>
            </w:r>
            <w:proofErr w:type="spellStart"/>
            <w:r w:rsidRPr="00231074">
              <w:rPr>
                <w:rFonts w:ascii="Times New Roman" w:hAnsi="Times New Roman" w:cs="Times New Roman"/>
                <w:sz w:val="24"/>
                <w:szCs w:val="24"/>
                <w:lang w:val="en-US"/>
              </w:rPr>
              <w:t>Cboe</w:t>
            </w:r>
            <w:proofErr w:type="spellEnd"/>
            <w:r w:rsidRPr="00231074">
              <w:rPr>
                <w:rFonts w:ascii="Times New Roman" w:hAnsi="Times New Roman" w:cs="Times New Roman"/>
                <w:sz w:val="24"/>
                <w:szCs w:val="24"/>
                <w:lang w:val="en-US"/>
              </w:rPr>
              <w:t xml:space="preserve"> Switzerland 20 </w:t>
            </w:r>
          </w:p>
        </w:tc>
        <w:tc>
          <w:tcPr>
            <w:tcW w:w="2551" w:type="dxa"/>
          </w:tcPr>
          <w:p w14:paraId="77BA71E5"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Elveţia</w:t>
            </w:r>
            <w:proofErr w:type="spellEnd"/>
          </w:p>
        </w:tc>
      </w:tr>
      <w:tr w:rsidR="00231074" w:rsidRPr="00231074" w14:paraId="2C2A96C1" w14:textId="77777777" w:rsidTr="00C15AE1">
        <w:tc>
          <w:tcPr>
            <w:tcW w:w="2550" w:type="dxa"/>
          </w:tcPr>
          <w:p w14:paraId="754AC693"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89. SMI </w:t>
            </w:r>
          </w:p>
        </w:tc>
        <w:tc>
          <w:tcPr>
            <w:tcW w:w="2551" w:type="dxa"/>
          </w:tcPr>
          <w:p w14:paraId="50B0DD67"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Elveţia</w:t>
            </w:r>
            <w:proofErr w:type="spellEnd"/>
          </w:p>
        </w:tc>
      </w:tr>
      <w:tr w:rsidR="00231074" w:rsidRPr="00231074" w14:paraId="5F8E7321" w14:textId="77777777" w:rsidTr="00C15AE1">
        <w:tc>
          <w:tcPr>
            <w:tcW w:w="2550" w:type="dxa"/>
          </w:tcPr>
          <w:p w14:paraId="78E637E3"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90. SMI MID </w:t>
            </w:r>
          </w:p>
        </w:tc>
        <w:tc>
          <w:tcPr>
            <w:tcW w:w="2551" w:type="dxa"/>
          </w:tcPr>
          <w:p w14:paraId="32FAEE23"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Elveţia</w:t>
            </w:r>
            <w:proofErr w:type="spellEnd"/>
          </w:p>
        </w:tc>
      </w:tr>
      <w:tr w:rsidR="00231074" w:rsidRPr="00231074" w14:paraId="03444A3D" w14:textId="77777777" w:rsidTr="00C15AE1">
        <w:tc>
          <w:tcPr>
            <w:tcW w:w="2550" w:type="dxa"/>
          </w:tcPr>
          <w:p w14:paraId="76E39E97"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91. SET 50 </w:t>
            </w:r>
          </w:p>
        </w:tc>
        <w:tc>
          <w:tcPr>
            <w:tcW w:w="2551" w:type="dxa"/>
          </w:tcPr>
          <w:p w14:paraId="1547EC63"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Thailanda</w:t>
            </w:r>
            <w:proofErr w:type="spellEnd"/>
          </w:p>
        </w:tc>
      </w:tr>
      <w:tr w:rsidR="00231074" w:rsidRPr="00231074" w14:paraId="17FA02CA" w14:textId="77777777" w:rsidTr="00C15AE1">
        <w:tc>
          <w:tcPr>
            <w:tcW w:w="2550" w:type="dxa"/>
          </w:tcPr>
          <w:p w14:paraId="6DE0C971"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92. </w:t>
            </w:r>
            <w:proofErr w:type="spellStart"/>
            <w:r w:rsidRPr="00231074">
              <w:rPr>
                <w:rFonts w:ascii="Times New Roman" w:hAnsi="Times New Roman" w:cs="Times New Roman"/>
                <w:sz w:val="24"/>
                <w:szCs w:val="24"/>
                <w:lang w:val="en-US"/>
              </w:rPr>
              <w:t>Cboe</w:t>
            </w:r>
            <w:proofErr w:type="spellEnd"/>
            <w:r w:rsidRPr="00231074">
              <w:rPr>
                <w:rFonts w:ascii="Times New Roman" w:hAnsi="Times New Roman" w:cs="Times New Roman"/>
                <w:sz w:val="24"/>
                <w:szCs w:val="24"/>
                <w:lang w:val="en-US"/>
              </w:rPr>
              <w:t xml:space="preserve"> UK 100 </w:t>
            </w:r>
          </w:p>
        </w:tc>
        <w:tc>
          <w:tcPr>
            <w:tcW w:w="2551" w:type="dxa"/>
          </w:tcPr>
          <w:p w14:paraId="639CF899"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Regatul</w:t>
            </w:r>
            <w:proofErr w:type="spellEnd"/>
            <w:r w:rsidRPr="00231074">
              <w:rPr>
                <w:rFonts w:ascii="Times New Roman" w:hAnsi="Times New Roman" w:cs="Times New Roman"/>
                <w:sz w:val="24"/>
                <w:szCs w:val="24"/>
                <w:lang w:val="en-US"/>
              </w:rPr>
              <w:t xml:space="preserve"> Unit</w:t>
            </w:r>
          </w:p>
        </w:tc>
      </w:tr>
      <w:tr w:rsidR="00231074" w:rsidRPr="00231074" w14:paraId="4F52D87D" w14:textId="77777777" w:rsidTr="00C15AE1">
        <w:tc>
          <w:tcPr>
            <w:tcW w:w="2550" w:type="dxa"/>
          </w:tcPr>
          <w:p w14:paraId="6D49C6DD"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93. FTSE 100 </w:t>
            </w:r>
          </w:p>
        </w:tc>
        <w:tc>
          <w:tcPr>
            <w:tcW w:w="2551" w:type="dxa"/>
          </w:tcPr>
          <w:p w14:paraId="425EF110"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Regatul</w:t>
            </w:r>
            <w:proofErr w:type="spellEnd"/>
            <w:r w:rsidRPr="00231074">
              <w:rPr>
                <w:rFonts w:ascii="Times New Roman" w:hAnsi="Times New Roman" w:cs="Times New Roman"/>
                <w:sz w:val="24"/>
                <w:szCs w:val="24"/>
                <w:lang w:val="en-US"/>
              </w:rPr>
              <w:t xml:space="preserve"> Unit</w:t>
            </w:r>
          </w:p>
        </w:tc>
      </w:tr>
      <w:tr w:rsidR="00231074" w:rsidRPr="00231074" w14:paraId="1D6C32E7" w14:textId="77777777" w:rsidTr="00C15AE1">
        <w:tc>
          <w:tcPr>
            <w:tcW w:w="2550" w:type="dxa"/>
          </w:tcPr>
          <w:p w14:paraId="38481FE8"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94. FTSE AIM 100 </w:t>
            </w:r>
          </w:p>
        </w:tc>
        <w:tc>
          <w:tcPr>
            <w:tcW w:w="2551" w:type="dxa"/>
          </w:tcPr>
          <w:p w14:paraId="41FCE1B8"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Regatul</w:t>
            </w:r>
            <w:proofErr w:type="spellEnd"/>
            <w:r w:rsidRPr="00231074">
              <w:rPr>
                <w:rFonts w:ascii="Times New Roman" w:hAnsi="Times New Roman" w:cs="Times New Roman"/>
                <w:sz w:val="24"/>
                <w:szCs w:val="24"/>
                <w:lang w:val="en-US"/>
              </w:rPr>
              <w:t xml:space="preserve"> Unit</w:t>
            </w:r>
          </w:p>
        </w:tc>
      </w:tr>
      <w:tr w:rsidR="00231074" w:rsidRPr="00231074" w14:paraId="0EC24CF6" w14:textId="77777777" w:rsidTr="00C15AE1">
        <w:tc>
          <w:tcPr>
            <w:tcW w:w="2550" w:type="dxa"/>
          </w:tcPr>
          <w:p w14:paraId="5AE98056"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95. FTSE AIM UK 50 </w:t>
            </w:r>
          </w:p>
        </w:tc>
        <w:tc>
          <w:tcPr>
            <w:tcW w:w="2551" w:type="dxa"/>
          </w:tcPr>
          <w:p w14:paraId="4AED5AD4"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Regatul</w:t>
            </w:r>
            <w:proofErr w:type="spellEnd"/>
            <w:r w:rsidRPr="00231074">
              <w:rPr>
                <w:rFonts w:ascii="Times New Roman" w:hAnsi="Times New Roman" w:cs="Times New Roman"/>
                <w:sz w:val="24"/>
                <w:szCs w:val="24"/>
                <w:lang w:val="en-US"/>
              </w:rPr>
              <w:t xml:space="preserve"> Unit</w:t>
            </w:r>
          </w:p>
        </w:tc>
      </w:tr>
      <w:tr w:rsidR="00231074" w:rsidRPr="00231074" w14:paraId="2C249D56" w14:textId="77777777" w:rsidTr="00C15AE1">
        <w:tc>
          <w:tcPr>
            <w:tcW w:w="2550" w:type="dxa"/>
          </w:tcPr>
          <w:p w14:paraId="4F0F39F4"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lastRenderedPageBreak/>
              <w:t xml:space="preserve">96. FTSE Fledgling </w:t>
            </w:r>
          </w:p>
        </w:tc>
        <w:tc>
          <w:tcPr>
            <w:tcW w:w="2551" w:type="dxa"/>
          </w:tcPr>
          <w:p w14:paraId="162F3583"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Regatul</w:t>
            </w:r>
            <w:proofErr w:type="spellEnd"/>
            <w:r w:rsidRPr="00231074">
              <w:rPr>
                <w:rFonts w:ascii="Times New Roman" w:hAnsi="Times New Roman" w:cs="Times New Roman"/>
                <w:sz w:val="24"/>
                <w:szCs w:val="24"/>
                <w:lang w:val="en-US"/>
              </w:rPr>
              <w:t xml:space="preserve"> Unit</w:t>
            </w:r>
          </w:p>
        </w:tc>
      </w:tr>
      <w:tr w:rsidR="00231074" w:rsidRPr="00231074" w14:paraId="040ED59B" w14:textId="77777777" w:rsidTr="00C15AE1">
        <w:tc>
          <w:tcPr>
            <w:tcW w:w="2550" w:type="dxa"/>
          </w:tcPr>
          <w:p w14:paraId="13B4AF4E"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97. FTSE mid-250 </w:t>
            </w:r>
          </w:p>
        </w:tc>
        <w:tc>
          <w:tcPr>
            <w:tcW w:w="2551" w:type="dxa"/>
          </w:tcPr>
          <w:p w14:paraId="15B60C9E"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Regatul</w:t>
            </w:r>
            <w:proofErr w:type="spellEnd"/>
            <w:r w:rsidRPr="00231074">
              <w:rPr>
                <w:rFonts w:ascii="Times New Roman" w:hAnsi="Times New Roman" w:cs="Times New Roman"/>
                <w:sz w:val="24"/>
                <w:szCs w:val="24"/>
                <w:lang w:val="en-US"/>
              </w:rPr>
              <w:t xml:space="preserve"> Unit</w:t>
            </w:r>
          </w:p>
        </w:tc>
      </w:tr>
      <w:tr w:rsidR="00231074" w:rsidRPr="00231074" w14:paraId="5B054EE3" w14:textId="77777777" w:rsidTr="00C15AE1">
        <w:tc>
          <w:tcPr>
            <w:tcW w:w="2550" w:type="dxa"/>
          </w:tcPr>
          <w:p w14:paraId="4825445E"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98. FTSE Small Cap </w:t>
            </w:r>
          </w:p>
        </w:tc>
        <w:tc>
          <w:tcPr>
            <w:tcW w:w="2551" w:type="dxa"/>
          </w:tcPr>
          <w:p w14:paraId="58BCB8AB" w14:textId="77777777" w:rsidR="00231074" w:rsidRPr="00231074" w:rsidRDefault="00231074" w:rsidP="00231074">
            <w:pPr>
              <w:spacing w:after="160" w:line="259" w:lineRule="auto"/>
              <w:rPr>
                <w:rFonts w:ascii="Times New Roman" w:hAnsi="Times New Roman" w:cs="Times New Roman"/>
                <w:b/>
                <w:sz w:val="24"/>
                <w:szCs w:val="24"/>
              </w:rPr>
            </w:pPr>
            <w:proofErr w:type="spellStart"/>
            <w:r w:rsidRPr="00231074">
              <w:rPr>
                <w:rFonts w:ascii="Times New Roman" w:hAnsi="Times New Roman" w:cs="Times New Roman"/>
                <w:sz w:val="24"/>
                <w:szCs w:val="24"/>
                <w:lang w:val="en-US"/>
              </w:rPr>
              <w:t>Regatul</w:t>
            </w:r>
            <w:proofErr w:type="spellEnd"/>
            <w:r w:rsidRPr="00231074">
              <w:rPr>
                <w:rFonts w:ascii="Times New Roman" w:hAnsi="Times New Roman" w:cs="Times New Roman"/>
                <w:sz w:val="24"/>
                <w:szCs w:val="24"/>
                <w:lang w:val="en-US"/>
              </w:rPr>
              <w:t xml:space="preserve"> Unit</w:t>
            </w:r>
          </w:p>
        </w:tc>
      </w:tr>
      <w:tr w:rsidR="00231074" w:rsidRPr="00231074" w14:paraId="53D92D17" w14:textId="77777777" w:rsidTr="00C15AE1">
        <w:tc>
          <w:tcPr>
            <w:tcW w:w="2550" w:type="dxa"/>
          </w:tcPr>
          <w:p w14:paraId="75B04157"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99. Dow Jones Ind. Av. </w:t>
            </w:r>
          </w:p>
        </w:tc>
        <w:tc>
          <w:tcPr>
            <w:tcW w:w="2551" w:type="dxa"/>
          </w:tcPr>
          <w:p w14:paraId="05C78F82"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SUA</w:t>
            </w:r>
          </w:p>
        </w:tc>
      </w:tr>
      <w:tr w:rsidR="00231074" w:rsidRPr="00231074" w14:paraId="486B22F0" w14:textId="77777777" w:rsidTr="00C15AE1">
        <w:tc>
          <w:tcPr>
            <w:tcW w:w="2550" w:type="dxa"/>
          </w:tcPr>
          <w:p w14:paraId="4DA3B468"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100. NASDAQ 100 </w:t>
            </w:r>
          </w:p>
        </w:tc>
        <w:tc>
          <w:tcPr>
            <w:tcW w:w="2551" w:type="dxa"/>
          </w:tcPr>
          <w:p w14:paraId="1C4CC696"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SUA</w:t>
            </w:r>
          </w:p>
        </w:tc>
      </w:tr>
      <w:tr w:rsidR="00231074" w:rsidRPr="00231074" w14:paraId="4E3FAA4D" w14:textId="77777777" w:rsidTr="00C15AE1">
        <w:tc>
          <w:tcPr>
            <w:tcW w:w="2550" w:type="dxa"/>
          </w:tcPr>
          <w:p w14:paraId="51281EBD"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 xml:space="preserve">101. S&amp;P 500 </w:t>
            </w:r>
          </w:p>
        </w:tc>
        <w:tc>
          <w:tcPr>
            <w:tcW w:w="2551" w:type="dxa"/>
          </w:tcPr>
          <w:p w14:paraId="0B30126E" w14:textId="77777777" w:rsidR="00231074" w:rsidRPr="00231074" w:rsidRDefault="00231074" w:rsidP="00231074">
            <w:pPr>
              <w:spacing w:after="160" w:line="259" w:lineRule="auto"/>
              <w:rPr>
                <w:rFonts w:ascii="Times New Roman" w:hAnsi="Times New Roman" w:cs="Times New Roman"/>
                <w:b/>
                <w:sz w:val="24"/>
                <w:szCs w:val="24"/>
              </w:rPr>
            </w:pPr>
            <w:r w:rsidRPr="00231074">
              <w:rPr>
                <w:rFonts w:ascii="Times New Roman" w:hAnsi="Times New Roman" w:cs="Times New Roman"/>
                <w:sz w:val="24"/>
                <w:szCs w:val="24"/>
                <w:lang w:val="en-US"/>
              </w:rPr>
              <w:t>SUA</w:t>
            </w:r>
          </w:p>
        </w:tc>
      </w:tr>
    </w:tbl>
    <w:p w14:paraId="58BBF2FE" w14:textId="77777777" w:rsidR="00231074" w:rsidRDefault="00231074" w:rsidP="00231074">
      <w:pPr>
        <w:rPr>
          <w:rFonts w:ascii="Times New Roman" w:hAnsi="Times New Roman" w:cs="Times New Roman"/>
          <w:sz w:val="24"/>
          <w:szCs w:val="24"/>
        </w:rPr>
      </w:pPr>
    </w:p>
    <w:p w14:paraId="5EE36AB8" w14:textId="77777777" w:rsidR="00143035" w:rsidRDefault="00143035" w:rsidP="00231074">
      <w:pPr>
        <w:rPr>
          <w:rFonts w:ascii="Times New Roman" w:hAnsi="Times New Roman" w:cs="Times New Roman"/>
          <w:sz w:val="24"/>
          <w:szCs w:val="24"/>
        </w:rPr>
      </w:pPr>
    </w:p>
    <w:p w14:paraId="3A57181B" w14:textId="77777777" w:rsidR="00B3637B" w:rsidRDefault="00B3637B" w:rsidP="00143035">
      <w:pPr>
        <w:ind w:left="4253"/>
        <w:rPr>
          <w:rFonts w:ascii="Times New Roman" w:hAnsi="Times New Roman" w:cs="Times New Roman"/>
          <w:sz w:val="24"/>
          <w:szCs w:val="24"/>
        </w:rPr>
      </w:pPr>
    </w:p>
    <w:p w14:paraId="203691C1" w14:textId="77777777" w:rsidR="00B3637B" w:rsidRDefault="00B3637B" w:rsidP="00143035">
      <w:pPr>
        <w:ind w:left="4253"/>
        <w:rPr>
          <w:rFonts w:ascii="Times New Roman" w:hAnsi="Times New Roman" w:cs="Times New Roman"/>
          <w:sz w:val="24"/>
          <w:szCs w:val="24"/>
        </w:rPr>
      </w:pPr>
    </w:p>
    <w:p w14:paraId="75CB5004" w14:textId="77777777" w:rsidR="00B3637B" w:rsidRDefault="00B3637B" w:rsidP="00143035">
      <w:pPr>
        <w:ind w:left="4253"/>
        <w:rPr>
          <w:rFonts w:ascii="Times New Roman" w:hAnsi="Times New Roman" w:cs="Times New Roman"/>
          <w:sz w:val="24"/>
          <w:szCs w:val="24"/>
        </w:rPr>
      </w:pPr>
    </w:p>
    <w:p w14:paraId="09C06F85" w14:textId="77777777" w:rsidR="00B3637B" w:rsidRDefault="00B3637B" w:rsidP="00143035">
      <w:pPr>
        <w:ind w:left="4253"/>
        <w:rPr>
          <w:rFonts w:ascii="Times New Roman" w:hAnsi="Times New Roman" w:cs="Times New Roman"/>
          <w:sz w:val="24"/>
          <w:szCs w:val="24"/>
        </w:rPr>
      </w:pPr>
    </w:p>
    <w:p w14:paraId="3043CAC5" w14:textId="77777777" w:rsidR="00B3637B" w:rsidRDefault="00B3637B" w:rsidP="00143035">
      <w:pPr>
        <w:ind w:left="4253"/>
        <w:rPr>
          <w:rFonts w:ascii="Times New Roman" w:hAnsi="Times New Roman" w:cs="Times New Roman"/>
          <w:sz w:val="24"/>
          <w:szCs w:val="24"/>
        </w:rPr>
      </w:pPr>
    </w:p>
    <w:p w14:paraId="4F53D6D0" w14:textId="77777777" w:rsidR="00B3637B" w:rsidRDefault="00B3637B" w:rsidP="00143035">
      <w:pPr>
        <w:ind w:left="4253"/>
        <w:rPr>
          <w:rFonts w:ascii="Times New Roman" w:hAnsi="Times New Roman" w:cs="Times New Roman"/>
          <w:sz w:val="24"/>
          <w:szCs w:val="24"/>
        </w:rPr>
      </w:pPr>
    </w:p>
    <w:p w14:paraId="03B3D32C" w14:textId="77777777" w:rsidR="00B3637B" w:rsidRDefault="00B3637B" w:rsidP="00143035">
      <w:pPr>
        <w:ind w:left="4253"/>
        <w:rPr>
          <w:rFonts w:ascii="Times New Roman" w:hAnsi="Times New Roman" w:cs="Times New Roman"/>
          <w:sz w:val="24"/>
          <w:szCs w:val="24"/>
        </w:rPr>
      </w:pPr>
    </w:p>
    <w:p w14:paraId="53932D43" w14:textId="77777777" w:rsidR="00B3637B" w:rsidRDefault="00B3637B" w:rsidP="00143035">
      <w:pPr>
        <w:ind w:left="4253"/>
        <w:rPr>
          <w:rFonts w:ascii="Times New Roman" w:hAnsi="Times New Roman" w:cs="Times New Roman"/>
          <w:sz w:val="24"/>
          <w:szCs w:val="24"/>
        </w:rPr>
      </w:pPr>
    </w:p>
    <w:p w14:paraId="41A2275E" w14:textId="77777777" w:rsidR="00B3637B" w:rsidRDefault="00B3637B" w:rsidP="00143035">
      <w:pPr>
        <w:ind w:left="4253"/>
        <w:rPr>
          <w:rFonts w:ascii="Times New Roman" w:hAnsi="Times New Roman" w:cs="Times New Roman"/>
          <w:sz w:val="24"/>
          <w:szCs w:val="24"/>
        </w:rPr>
      </w:pPr>
    </w:p>
    <w:p w14:paraId="1D2AB019" w14:textId="77777777" w:rsidR="00B3637B" w:rsidRDefault="00B3637B" w:rsidP="00143035">
      <w:pPr>
        <w:ind w:left="4253"/>
        <w:rPr>
          <w:rFonts w:ascii="Times New Roman" w:hAnsi="Times New Roman" w:cs="Times New Roman"/>
          <w:sz w:val="24"/>
          <w:szCs w:val="24"/>
        </w:rPr>
      </w:pPr>
    </w:p>
    <w:p w14:paraId="1F16901C" w14:textId="77777777" w:rsidR="00B3637B" w:rsidRDefault="00B3637B" w:rsidP="00143035">
      <w:pPr>
        <w:ind w:left="4253"/>
        <w:rPr>
          <w:rFonts w:ascii="Times New Roman" w:hAnsi="Times New Roman" w:cs="Times New Roman"/>
          <w:sz w:val="24"/>
          <w:szCs w:val="24"/>
        </w:rPr>
      </w:pPr>
    </w:p>
    <w:p w14:paraId="0071CFA5" w14:textId="77777777" w:rsidR="00B3637B" w:rsidRDefault="00B3637B" w:rsidP="00143035">
      <w:pPr>
        <w:ind w:left="4253"/>
        <w:rPr>
          <w:rFonts w:ascii="Times New Roman" w:hAnsi="Times New Roman" w:cs="Times New Roman"/>
          <w:sz w:val="24"/>
          <w:szCs w:val="24"/>
        </w:rPr>
      </w:pPr>
    </w:p>
    <w:p w14:paraId="7E6488C1" w14:textId="77777777" w:rsidR="00B3637B" w:rsidRDefault="00B3637B" w:rsidP="00143035">
      <w:pPr>
        <w:ind w:left="4253"/>
        <w:rPr>
          <w:rFonts w:ascii="Times New Roman" w:hAnsi="Times New Roman" w:cs="Times New Roman"/>
          <w:sz w:val="24"/>
          <w:szCs w:val="24"/>
        </w:rPr>
      </w:pPr>
    </w:p>
    <w:p w14:paraId="711861EA" w14:textId="77777777" w:rsidR="00B3637B" w:rsidRDefault="00B3637B" w:rsidP="00143035">
      <w:pPr>
        <w:ind w:left="4253"/>
        <w:rPr>
          <w:rFonts w:ascii="Times New Roman" w:hAnsi="Times New Roman" w:cs="Times New Roman"/>
          <w:sz w:val="24"/>
          <w:szCs w:val="24"/>
        </w:rPr>
      </w:pPr>
    </w:p>
    <w:p w14:paraId="451AEFE6" w14:textId="77777777" w:rsidR="00B3637B" w:rsidRDefault="00B3637B" w:rsidP="00143035">
      <w:pPr>
        <w:ind w:left="4253"/>
        <w:rPr>
          <w:rFonts w:ascii="Times New Roman" w:hAnsi="Times New Roman" w:cs="Times New Roman"/>
          <w:sz w:val="24"/>
          <w:szCs w:val="24"/>
        </w:rPr>
      </w:pPr>
    </w:p>
    <w:p w14:paraId="377BA3BB" w14:textId="77777777" w:rsidR="00B3637B" w:rsidRDefault="00B3637B" w:rsidP="00143035">
      <w:pPr>
        <w:ind w:left="4253"/>
        <w:rPr>
          <w:rFonts w:ascii="Times New Roman" w:hAnsi="Times New Roman" w:cs="Times New Roman"/>
          <w:sz w:val="24"/>
          <w:szCs w:val="24"/>
        </w:rPr>
      </w:pPr>
    </w:p>
    <w:p w14:paraId="58EE6753" w14:textId="77777777" w:rsidR="00B3637B" w:rsidRDefault="00B3637B" w:rsidP="00143035">
      <w:pPr>
        <w:ind w:left="4253"/>
        <w:rPr>
          <w:rFonts w:ascii="Times New Roman" w:hAnsi="Times New Roman" w:cs="Times New Roman"/>
          <w:sz w:val="24"/>
          <w:szCs w:val="24"/>
        </w:rPr>
      </w:pPr>
    </w:p>
    <w:p w14:paraId="41646133" w14:textId="77777777" w:rsidR="00B3637B" w:rsidRDefault="00B3637B" w:rsidP="00143035">
      <w:pPr>
        <w:ind w:left="4253"/>
        <w:rPr>
          <w:rFonts w:ascii="Times New Roman" w:hAnsi="Times New Roman" w:cs="Times New Roman"/>
          <w:sz w:val="24"/>
          <w:szCs w:val="24"/>
        </w:rPr>
      </w:pPr>
    </w:p>
    <w:p w14:paraId="6944AD2D" w14:textId="77777777" w:rsidR="00E44A8E" w:rsidRDefault="00E44A8E" w:rsidP="00143035">
      <w:pPr>
        <w:ind w:left="4253"/>
        <w:rPr>
          <w:rFonts w:ascii="Times New Roman" w:hAnsi="Times New Roman" w:cs="Times New Roman"/>
          <w:sz w:val="24"/>
          <w:szCs w:val="24"/>
        </w:rPr>
      </w:pPr>
    </w:p>
    <w:p w14:paraId="4C521777" w14:textId="77777777" w:rsidR="00E44A8E" w:rsidRDefault="00E44A8E" w:rsidP="00143035">
      <w:pPr>
        <w:ind w:left="4253"/>
        <w:rPr>
          <w:rFonts w:ascii="Times New Roman" w:hAnsi="Times New Roman" w:cs="Times New Roman"/>
          <w:sz w:val="24"/>
          <w:szCs w:val="24"/>
        </w:rPr>
      </w:pPr>
    </w:p>
    <w:p w14:paraId="33422A5A" w14:textId="77777777" w:rsidR="00E44A8E" w:rsidRDefault="00E44A8E" w:rsidP="00143035">
      <w:pPr>
        <w:ind w:left="4253"/>
        <w:rPr>
          <w:rFonts w:ascii="Times New Roman" w:hAnsi="Times New Roman" w:cs="Times New Roman"/>
          <w:sz w:val="24"/>
          <w:szCs w:val="24"/>
        </w:rPr>
      </w:pPr>
    </w:p>
    <w:p w14:paraId="471E7777" w14:textId="77777777" w:rsidR="00E44A8E" w:rsidRDefault="00E44A8E" w:rsidP="00143035">
      <w:pPr>
        <w:ind w:left="4253"/>
        <w:rPr>
          <w:rFonts w:ascii="Times New Roman" w:hAnsi="Times New Roman" w:cs="Times New Roman"/>
          <w:sz w:val="24"/>
          <w:szCs w:val="24"/>
        </w:rPr>
      </w:pPr>
    </w:p>
    <w:p w14:paraId="1E7D22AA" w14:textId="77777777" w:rsidR="00E44A8E" w:rsidRDefault="00E44A8E" w:rsidP="00143035">
      <w:pPr>
        <w:ind w:left="4253"/>
        <w:rPr>
          <w:rFonts w:ascii="Times New Roman" w:hAnsi="Times New Roman" w:cs="Times New Roman"/>
          <w:sz w:val="24"/>
          <w:szCs w:val="24"/>
        </w:rPr>
      </w:pPr>
    </w:p>
    <w:p w14:paraId="43D6A4E8" w14:textId="76D9D995" w:rsidR="00143035" w:rsidRPr="003C4E3F" w:rsidRDefault="00143035" w:rsidP="00143035">
      <w:pPr>
        <w:ind w:left="4253"/>
        <w:rPr>
          <w:rFonts w:ascii="Times New Roman" w:hAnsi="Times New Roman" w:cs="Times New Roman"/>
          <w:sz w:val="24"/>
          <w:szCs w:val="24"/>
        </w:rPr>
      </w:pPr>
      <w:r w:rsidRPr="003C4E3F">
        <w:rPr>
          <w:rFonts w:ascii="Times New Roman" w:hAnsi="Times New Roman" w:cs="Times New Roman"/>
          <w:sz w:val="24"/>
          <w:szCs w:val="24"/>
        </w:rPr>
        <w:lastRenderedPageBreak/>
        <w:t>Anexa nr.</w:t>
      </w:r>
      <w:r w:rsidR="00095BAA">
        <w:rPr>
          <w:rFonts w:ascii="Times New Roman" w:hAnsi="Times New Roman" w:cs="Times New Roman"/>
          <w:sz w:val="24"/>
          <w:szCs w:val="24"/>
        </w:rPr>
        <w:t>7</w:t>
      </w:r>
      <w:r w:rsidRPr="003C4E3F">
        <w:rPr>
          <w:rFonts w:ascii="Times New Roman" w:hAnsi="Times New Roman" w:cs="Times New Roman"/>
          <w:sz w:val="24"/>
          <w:szCs w:val="24"/>
        </w:rPr>
        <w:t xml:space="preserve"> la Regulamentul privind cerințe de fonduri proprii pentru riscul de piață, aprobat prin Hotărârea Comitetului executiv al Băncii Naționale a Moldovei  </w:t>
      </w:r>
      <w:proofErr w:type="spellStart"/>
      <w:r w:rsidRPr="003C4E3F">
        <w:rPr>
          <w:rFonts w:ascii="Times New Roman" w:hAnsi="Times New Roman" w:cs="Times New Roman"/>
          <w:sz w:val="24"/>
          <w:szCs w:val="24"/>
        </w:rPr>
        <w:t>nr.XX</w:t>
      </w:r>
      <w:proofErr w:type="spellEnd"/>
      <w:r w:rsidRPr="003C4E3F">
        <w:rPr>
          <w:rFonts w:ascii="Times New Roman" w:hAnsi="Times New Roman" w:cs="Times New Roman"/>
          <w:sz w:val="24"/>
          <w:szCs w:val="24"/>
        </w:rPr>
        <w:t>/2026</w:t>
      </w:r>
    </w:p>
    <w:p w14:paraId="76916B84" w14:textId="2560CA6F" w:rsidR="00143035" w:rsidRDefault="00143035" w:rsidP="00143035">
      <w:pPr>
        <w:jc w:val="center"/>
        <w:rPr>
          <w:rFonts w:ascii="Times New Roman" w:hAnsi="Times New Roman" w:cs="Times New Roman"/>
          <w:b/>
          <w:bCs/>
          <w:sz w:val="24"/>
          <w:szCs w:val="24"/>
        </w:rPr>
      </w:pPr>
      <w:bookmarkStart w:id="115" w:name="_Hlk225347964"/>
      <w:r w:rsidRPr="00143035">
        <w:rPr>
          <w:rFonts w:ascii="Times New Roman" w:hAnsi="Times New Roman" w:cs="Times New Roman"/>
          <w:b/>
          <w:bCs/>
          <w:sz w:val="24"/>
          <w:szCs w:val="24"/>
        </w:rPr>
        <w:t>Lista valutelor strâns corelate</w:t>
      </w:r>
    </w:p>
    <w:bookmarkEnd w:id="115"/>
    <w:p w14:paraId="22129F94"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1 – Lista valutelor strâns corelate cu euro (EUR)</w:t>
      </w:r>
    </w:p>
    <w:p w14:paraId="3F80C30A" w14:textId="77777777" w:rsidR="00143035" w:rsidRPr="00143035" w:rsidRDefault="00143035" w:rsidP="00143035">
      <w:pPr>
        <w:rPr>
          <w:rFonts w:ascii="Times New Roman" w:hAnsi="Times New Roman" w:cs="Times New Roman"/>
          <w:bCs/>
          <w:sz w:val="24"/>
          <w:szCs w:val="24"/>
        </w:rPr>
      </w:pPr>
      <w:proofErr w:type="spellStart"/>
      <w:r w:rsidRPr="00143035">
        <w:rPr>
          <w:rFonts w:ascii="Times New Roman" w:hAnsi="Times New Roman" w:cs="Times New Roman"/>
          <w:bCs/>
          <w:sz w:val="24"/>
          <w:szCs w:val="24"/>
        </w:rPr>
        <w:t>Lekul</w:t>
      </w:r>
      <w:proofErr w:type="spellEnd"/>
      <w:r w:rsidRPr="00143035">
        <w:rPr>
          <w:rFonts w:ascii="Times New Roman" w:hAnsi="Times New Roman" w:cs="Times New Roman"/>
          <w:bCs/>
          <w:sz w:val="24"/>
          <w:szCs w:val="24"/>
        </w:rPr>
        <w:t xml:space="preserve"> albanez (ALL), marca din Bosnia și Herțegovina (BAM), dolarul canadian (CAD), francul elvețian (CHF), coroana cehă (CZK), dirhamul marocan (MAD), denarul din Macedonia de Nord (MKD), leul românesc (RON), dinarul sârbesc (RSD), dolarul singaporez (SGD).</w:t>
      </w:r>
    </w:p>
    <w:p w14:paraId="49C71B0B"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2 – Lista valutelor strâns corelate cu dirhamul din Emiratele Arabe (AED)</w:t>
      </w:r>
    </w:p>
    <w:p w14:paraId="7665489D" w14:textId="77777777" w:rsidR="00143035" w:rsidRPr="00143035" w:rsidRDefault="00143035" w:rsidP="00143035">
      <w:pPr>
        <w:rPr>
          <w:rFonts w:ascii="Times New Roman" w:hAnsi="Times New Roman" w:cs="Times New Roman"/>
          <w:bCs/>
          <w:sz w:val="24"/>
          <w:szCs w:val="24"/>
        </w:rPr>
      </w:pPr>
      <w:r w:rsidRPr="00143035">
        <w:rPr>
          <w:rFonts w:ascii="Times New Roman" w:hAnsi="Times New Roman" w:cs="Times New Roman"/>
          <w:bCs/>
          <w:sz w:val="24"/>
          <w:szCs w:val="24"/>
        </w:rPr>
        <w:t>Yuanul chinezesc (CNY), dolarul din Hong Kong (HKD), lira libaneză (LBP), pataca din Macao (MOP), dolarul singaporez (SGD), dolarul taiwanez (TWD), dolarul american (USD).</w:t>
      </w:r>
    </w:p>
    <w:p w14:paraId="269FA426"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 xml:space="preserve">Partea 3 – Lista valutelor strâns corelate cu </w:t>
      </w:r>
      <w:proofErr w:type="spellStart"/>
      <w:r w:rsidRPr="00143035">
        <w:rPr>
          <w:rFonts w:ascii="Times New Roman" w:hAnsi="Times New Roman" w:cs="Times New Roman"/>
          <w:b/>
          <w:bCs/>
          <w:i/>
          <w:iCs/>
          <w:sz w:val="24"/>
          <w:szCs w:val="24"/>
        </w:rPr>
        <w:t>lekul</w:t>
      </w:r>
      <w:proofErr w:type="spellEnd"/>
      <w:r w:rsidRPr="00143035">
        <w:rPr>
          <w:rFonts w:ascii="Times New Roman" w:hAnsi="Times New Roman" w:cs="Times New Roman"/>
          <w:b/>
          <w:bCs/>
          <w:i/>
          <w:iCs/>
          <w:sz w:val="24"/>
          <w:szCs w:val="24"/>
        </w:rPr>
        <w:t xml:space="preserve"> albanez (ALL)</w:t>
      </w:r>
    </w:p>
    <w:p w14:paraId="55691C0C" w14:textId="77777777" w:rsidR="00143035" w:rsidRPr="00143035" w:rsidRDefault="00143035" w:rsidP="00143035">
      <w:pPr>
        <w:rPr>
          <w:rFonts w:ascii="Times New Roman" w:hAnsi="Times New Roman" w:cs="Times New Roman"/>
          <w:bCs/>
          <w:sz w:val="24"/>
          <w:szCs w:val="24"/>
        </w:rPr>
      </w:pPr>
      <w:r w:rsidRPr="00143035">
        <w:rPr>
          <w:rFonts w:ascii="Times New Roman" w:hAnsi="Times New Roman" w:cs="Times New Roman"/>
          <w:bCs/>
          <w:sz w:val="24"/>
          <w:szCs w:val="24"/>
        </w:rPr>
        <w:t>Marca din Bosnia și Herțegovina (BAM), leva bulgărească (BGN), coroana daneză (DKK), denarul din Macedonia de Nord (MKD), leul românesc (RON), dinarul sârbesc (RSD), dolarul singaporez (SGD), euro (EUR).</w:t>
      </w:r>
    </w:p>
    <w:p w14:paraId="3C65D4D2"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4 – Lista valutelor strâns corelate cu dolarul australian (AUD)</w:t>
      </w:r>
    </w:p>
    <w:p w14:paraId="29A25BAD" w14:textId="77777777" w:rsidR="00143035" w:rsidRPr="00143035" w:rsidRDefault="00143035" w:rsidP="00143035">
      <w:pPr>
        <w:rPr>
          <w:rFonts w:ascii="Times New Roman" w:hAnsi="Times New Roman" w:cs="Times New Roman"/>
          <w:bCs/>
          <w:sz w:val="24"/>
          <w:szCs w:val="24"/>
        </w:rPr>
      </w:pPr>
      <w:r w:rsidRPr="00143035">
        <w:rPr>
          <w:rFonts w:ascii="Times New Roman" w:hAnsi="Times New Roman" w:cs="Times New Roman"/>
          <w:bCs/>
          <w:sz w:val="24"/>
          <w:szCs w:val="24"/>
        </w:rPr>
        <w:t>Dolarul neozeelandez (NZD).</w:t>
      </w:r>
    </w:p>
    <w:p w14:paraId="54A3B817"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5 – Lista valutelor strâns corelate cu marca din Bosnia și Herțegovina (BAM)</w:t>
      </w:r>
    </w:p>
    <w:p w14:paraId="27DA25B2" w14:textId="77777777" w:rsidR="00143035" w:rsidRPr="00143035" w:rsidRDefault="00143035" w:rsidP="00143035">
      <w:pPr>
        <w:rPr>
          <w:rFonts w:ascii="Times New Roman" w:hAnsi="Times New Roman" w:cs="Times New Roman"/>
          <w:bCs/>
          <w:sz w:val="24"/>
          <w:szCs w:val="24"/>
        </w:rPr>
      </w:pPr>
      <w:proofErr w:type="spellStart"/>
      <w:r w:rsidRPr="00143035">
        <w:rPr>
          <w:rFonts w:ascii="Times New Roman" w:hAnsi="Times New Roman" w:cs="Times New Roman"/>
          <w:bCs/>
          <w:sz w:val="24"/>
          <w:szCs w:val="24"/>
        </w:rPr>
        <w:t>Lekul</w:t>
      </w:r>
      <w:proofErr w:type="spellEnd"/>
      <w:r w:rsidRPr="00143035">
        <w:rPr>
          <w:rFonts w:ascii="Times New Roman" w:hAnsi="Times New Roman" w:cs="Times New Roman"/>
          <w:bCs/>
          <w:sz w:val="24"/>
          <w:szCs w:val="24"/>
        </w:rPr>
        <w:t xml:space="preserve"> albanez (ALL), leva bulgărească (BGN), dolarul canadian (CAD), francul elvețian (CHF), coroana cehă (CZK), coroana daneză (DKK), dirhamul marocan (MAD), denarul din Macedonia de Nord (MKD), leul românesc (RON), dinarul sârbesc (RSD), dolarul singaporez (SGD), euro (EUR).</w:t>
      </w:r>
    </w:p>
    <w:p w14:paraId="76E4E13F"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6 – Lista valutelor strâns corelate cu leva bulgărească (BGN)</w:t>
      </w:r>
    </w:p>
    <w:p w14:paraId="45A227F2" w14:textId="77777777" w:rsidR="00143035" w:rsidRPr="00143035" w:rsidRDefault="00143035" w:rsidP="00143035">
      <w:pPr>
        <w:rPr>
          <w:rFonts w:ascii="Times New Roman" w:hAnsi="Times New Roman" w:cs="Times New Roman"/>
          <w:bCs/>
          <w:sz w:val="24"/>
          <w:szCs w:val="24"/>
        </w:rPr>
      </w:pPr>
      <w:proofErr w:type="spellStart"/>
      <w:r w:rsidRPr="00143035">
        <w:rPr>
          <w:rFonts w:ascii="Times New Roman" w:hAnsi="Times New Roman" w:cs="Times New Roman"/>
          <w:bCs/>
          <w:sz w:val="24"/>
          <w:szCs w:val="24"/>
        </w:rPr>
        <w:t>Lekul</w:t>
      </w:r>
      <w:proofErr w:type="spellEnd"/>
      <w:r w:rsidRPr="00143035">
        <w:rPr>
          <w:rFonts w:ascii="Times New Roman" w:hAnsi="Times New Roman" w:cs="Times New Roman"/>
          <w:bCs/>
          <w:sz w:val="24"/>
          <w:szCs w:val="24"/>
        </w:rPr>
        <w:t xml:space="preserve"> albanez (ALL), marca din Bosnia și Herțegovina (BAM), francul elvețian (CHF), yuanul chinezesc (CNY), coroana cehă (CZK), lira sterlină britanică (GBP), dirhamul marocan (MAD), denarul din Macedonia de Nord (MKD), zlotul polonez (PLN), leul românesc (RON), dinarul sârbesc (RSD), dolarul singaporez (SGD).</w:t>
      </w:r>
    </w:p>
    <w:p w14:paraId="78E344B4"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7 – Lista valutelor strâns corelate cu dolarul canadian (CAD)</w:t>
      </w:r>
    </w:p>
    <w:p w14:paraId="41CFACC5" w14:textId="77777777" w:rsidR="00143035" w:rsidRPr="00143035" w:rsidRDefault="00143035" w:rsidP="00143035">
      <w:pPr>
        <w:rPr>
          <w:rFonts w:ascii="Times New Roman" w:hAnsi="Times New Roman" w:cs="Times New Roman"/>
          <w:bCs/>
          <w:sz w:val="24"/>
          <w:szCs w:val="24"/>
        </w:rPr>
      </w:pPr>
      <w:r w:rsidRPr="00143035">
        <w:rPr>
          <w:rFonts w:ascii="Times New Roman" w:hAnsi="Times New Roman" w:cs="Times New Roman"/>
          <w:bCs/>
          <w:sz w:val="24"/>
          <w:szCs w:val="24"/>
        </w:rPr>
        <w:t>Marca din Bosnia și Herțegovina (BAM), dinarul sârbesc (RSD), dolarul singaporez (SGD), bahtul thailandez (THB), euro (EUR).</w:t>
      </w:r>
    </w:p>
    <w:p w14:paraId="5723D350"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8 – Lista valutelor strâns corelate cu francul elvețian (CHF)</w:t>
      </w:r>
    </w:p>
    <w:p w14:paraId="146E846C" w14:textId="77777777" w:rsidR="00143035" w:rsidRPr="00143035" w:rsidRDefault="00143035" w:rsidP="00143035">
      <w:pPr>
        <w:rPr>
          <w:rFonts w:ascii="Times New Roman" w:hAnsi="Times New Roman" w:cs="Times New Roman"/>
          <w:bCs/>
          <w:sz w:val="24"/>
          <w:szCs w:val="24"/>
        </w:rPr>
      </w:pPr>
      <w:r w:rsidRPr="00143035">
        <w:rPr>
          <w:rFonts w:ascii="Times New Roman" w:hAnsi="Times New Roman" w:cs="Times New Roman"/>
          <w:bCs/>
          <w:sz w:val="24"/>
          <w:szCs w:val="24"/>
        </w:rPr>
        <w:t>Marca din Bosnia și Herțegovina (BAM), leva bulgărească (BGN), coroana daneză (DKK), denarul din Macedonia de Nord (MKD), leul românesc (RON), dinarul sârbesc (RSD), euro (EUR).</w:t>
      </w:r>
    </w:p>
    <w:p w14:paraId="6EDAED56"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9 – Lista valutelor strâns corelate cu yuanul chinezesc (CNY)</w:t>
      </w:r>
    </w:p>
    <w:p w14:paraId="5FCFEEBB" w14:textId="77777777" w:rsidR="00143035" w:rsidRPr="00143035" w:rsidRDefault="00143035" w:rsidP="00143035">
      <w:pPr>
        <w:rPr>
          <w:rFonts w:ascii="Times New Roman" w:hAnsi="Times New Roman" w:cs="Times New Roman"/>
          <w:bCs/>
          <w:sz w:val="24"/>
          <w:szCs w:val="24"/>
        </w:rPr>
      </w:pPr>
      <w:r w:rsidRPr="00143035">
        <w:rPr>
          <w:rFonts w:ascii="Times New Roman" w:hAnsi="Times New Roman" w:cs="Times New Roman"/>
          <w:bCs/>
          <w:sz w:val="24"/>
          <w:szCs w:val="24"/>
        </w:rPr>
        <w:t>Dirhamul din Emiratele Arabe (AED), leva bulgărească (BGN), dolarul din Hong Kong (HKD), dirhamul marocan (MAD), pataca din Macao (MOP), dolarul singaporez (SGD), bahtul thailandez (THB), dolarul taiwanez (TWD), dolarul american (USD).</w:t>
      </w:r>
    </w:p>
    <w:p w14:paraId="47066AC1"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10 – Lista valutelor strâns corelate cu coroana cehă (CZK)</w:t>
      </w:r>
    </w:p>
    <w:p w14:paraId="5C3A3A64" w14:textId="77777777" w:rsidR="00143035" w:rsidRPr="00143035" w:rsidRDefault="00143035" w:rsidP="00143035">
      <w:pPr>
        <w:rPr>
          <w:rFonts w:ascii="Times New Roman" w:hAnsi="Times New Roman" w:cs="Times New Roman"/>
          <w:bCs/>
          <w:sz w:val="24"/>
          <w:szCs w:val="24"/>
        </w:rPr>
      </w:pPr>
      <w:r w:rsidRPr="00143035">
        <w:rPr>
          <w:rFonts w:ascii="Times New Roman" w:hAnsi="Times New Roman" w:cs="Times New Roman"/>
          <w:bCs/>
          <w:sz w:val="24"/>
          <w:szCs w:val="24"/>
        </w:rPr>
        <w:lastRenderedPageBreak/>
        <w:t>Marca din Bosnia și Herțegovina (BAM), leva bulgărească (BGN), coroana daneză (DKK), leul românesc (RON), dinarul sârbesc (RSD), euro (EUR).</w:t>
      </w:r>
    </w:p>
    <w:p w14:paraId="40DEE4B9"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11 – Lista valutelor strâns corelate cu coroana daneză (DKK)</w:t>
      </w:r>
    </w:p>
    <w:p w14:paraId="41F9513E" w14:textId="77777777" w:rsidR="00143035" w:rsidRPr="00143035" w:rsidRDefault="00143035" w:rsidP="00143035">
      <w:pPr>
        <w:rPr>
          <w:rFonts w:ascii="Times New Roman" w:hAnsi="Times New Roman" w:cs="Times New Roman"/>
          <w:bCs/>
          <w:sz w:val="24"/>
          <w:szCs w:val="24"/>
        </w:rPr>
      </w:pPr>
      <w:proofErr w:type="spellStart"/>
      <w:r w:rsidRPr="00143035">
        <w:rPr>
          <w:rFonts w:ascii="Times New Roman" w:hAnsi="Times New Roman" w:cs="Times New Roman"/>
          <w:bCs/>
          <w:sz w:val="24"/>
          <w:szCs w:val="24"/>
        </w:rPr>
        <w:t>Lekul</w:t>
      </w:r>
      <w:proofErr w:type="spellEnd"/>
      <w:r w:rsidRPr="00143035">
        <w:rPr>
          <w:rFonts w:ascii="Times New Roman" w:hAnsi="Times New Roman" w:cs="Times New Roman"/>
          <w:bCs/>
          <w:sz w:val="24"/>
          <w:szCs w:val="24"/>
        </w:rPr>
        <w:t xml:space="preserve"> albanez (ALL), marca din Bosnia și Herțegovina (BAM), francul elvețian (CHF), coroana cehă (CZK), lira sterlină britanică (GBP), dirhamul marocan (MAD), denarul din Macedonia de Nord (MKD), leul românesc (RON), dinarul sârbesc (RSD), coroana suedeză (SEK), dolarul singaporez (SGD), bahtul thailandez (THB).</w:t>
      </w:r>
    </w:p>
    <w:p w14:paraId="14AE8EAB"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12 – Lista valutelor strâns corelate cu lira sterlină britanică (GBP)</w:t>
      </w:r>
    </w:p>
    <w:p w14:paraId="07A3F31E" w14:textId="77777777" w:rsidR="00143035" w:rsidRPr="00143035" w:rsidRDefault="00143035" w:rsidP="00143035">
      <w:pPr>
        <w:rPr>
          <w:rFonts w:ascii="Times New Roman" w:hAnsi="Times New Roman" w:cs="Times New Roman"/>
          <w:bCs/>
          <w:sz w:val="24"/>
          <w:szCs w:val="24"/>
        </w:rPr>
      </w:pPr>
      <w:r w:rsidRPr="00143035">
        <w:rPr>
          <w:rFonts w:ascii="Times New Roman" w:hAnsi="Times New Roman" w:cs="Times New Roman"/>
          <w:bCs/>
          <w:sz w:val="24"/>
          <w:szCs w:val="24"/>
        </w:rPr>
        <w:t>Leva bulgărească (BGN), coroana daneză (DKK).</w:t>
      </w:r>
    </w:p>
    <w:p w14:paraId="37B273D5"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13 – Lista valutelor strâns corelate cu dolarul din Hong Kong (HKD)</w:t>
      </w:r>
    </w:p>
    <w:p w14:paraId="5412731E" w14:textId="77777777" w:rsidR="00143035" w:rsidRPr="00143035" w:rsidRDefault="00143035" w:rsidP="00143035">
      <w:pPr>
        <w:rPr>
          <w:rFonts w:ascii="Times New Roman" w:hAnsi="Times New Roman" w:cs="Times New Roman"/>
          <w:bCs/>
          <w:sz w:val="24"/>
          <w:szCs w:val="24"/>
        </w:rPr>
      </w:pPr>
      <w:r w:rsidRPr="00143035">
        <w:rPr>
          <w:rFonts w:ascii="Times New Roman" w:hAnsi="Times New Roman" w:cs="Times New Roman"/>
          <w:bCs/>
          <w:sz w:val="24"/>
          <w:szCs w:val="24"/>
        </w:rPr>
        <w:t xml:space="preserve">Dirhamul din Emiratele Arabe (AED), yuanul chinezesc (CNY), lira libaneză (LBP), dirhamul marocan (MAD), pataca din Macao (MOP), </w:t>
      </w:r>
      <w:proofErr w:type="spellStart"/>
      <w:r w:rsidRPr="00143035">
        <w:rPr>
          <w:rFonts w:ascii="Times New Roman" w:hAnsi="Times New Roman" w:cs="Times New Roman"/>
          <w:bCs/>
          <w:sz w:val="24"/>
          <w:szCs w:val="24"/>
        </w:rPr>
        <w:t>ringgitul</w:t>
      </w:r>
      <w:proofErr w:type="spellEnd"/>
      <w:r w:rsidRPr="00143035">
        <w:rPr>
          <w:rFonts w:ascii="Times New Roman" w:hAnsi="Times New Roman" w:cs="Times New Roman"/>
          <w:bCs/>
          <w:sz w:val="24"/>
          <w:szCs w:val="24"/>
        </w:rPr>
        <w:t xml:space="preserve"> malaysian (MYR), dolarul singaporez (SGD), dolarul taiwanez (TWD), dolarul american (USD).</w:t>
      </w:r>
    </w:p>
    <w:p w14:paraId="62D71D57"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14 – Lista valutelor strâns corelate cu rupia indoneziană (IDR)</w:t>
      </w:r>
    </w:p>
    <w:p w14:paraId="718D6B78" w14:textId="77777777" w:rsidR="00143035" w:rsidRPr="00143035" w:rsidRDefault="00143035" w:rsidP="00143035">
      <w:pPr>
        <w:rPr>
          <w:rFonts w:ascii="Times New Roman" w:hAnsi="Times New Roman" w:cs="Times New Roman"/>
          <w:bCs/>
          <w:sz w:val="24"/>
          <w:szCs w:val="24"/>
        </w:rPr>
      </w:pPr>
      <w:r w:rsidRPr="00143035">
        <w:rPr>
          <w:rFonts w:ascii="Times New Roman" w:hAnsi="Times New Roman" w:cs="Times New Roman"/>
          <w:bCs/>
          <w:sz w:val="24"/>
          <w:szCs w:val="24"/>
        </w:rPr>
        <w:t>Dolarul singaporez (SGD).</w:t>
      </w:r>
    </w:p>
    <w:p w14:paraId="5960C4C4"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15 – Lista valutelor strâns corelate cu rupia indiană (INR)</w:t>
      </w:r>
    </w:p>
    <w:p w14:paraId="70697BE0" w14:textId="77777777" w:rsidR="00143035" w:rsidRPr="00143035" w:rsidRDefault="00143035" w:rsidP="00143035">
      <w:pPr>
        <w:rPr>
          <w:rFonts w:ascii="Times New Roman" w:hAnsi="Times New Roman" w:cs="Times New Roman"/>
          <w:bCs/>
          <w:sz w:val="24"/>
          <w:szCs w:val="24"/>
        </w:rPr>
      </w:pPr>
      <w:r w:rsidRPr="00143035">
        <w:rPr>
          <w:rFonts w:ascii="Times New Roman" w:hAnsi="Times New Roman" w:cs="Times New Roman"/>
          <w:bCs/>
          <w:sz w:val="24"/>
          <w:szCs w:val="24"/>
        </w:rPr>
        <w:t>Dolarul singaporez (SGD).</w:t>
      </w:r>
    </w:p>
    <w:p w14:paraId="19C23710"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16 – Lista valutelor strâns corelate cu wonul sud-coreean (KRW)</w:t>
      </w:r>
    </w:p>
    <w:p w14:paraId="4AC72FDD" w14:textId="77777777" w:rsidR="00143035" w:rsidRPr="00143035" w:rsidRDefault="00143035" w:rsidP="00143035">
      <w:pPr>
        <w:rPr>
          <w:rFonts w:ascii="Times New Roman" w:hAnsi="Times New Roman" w:cs="Times New Roman"/>
          <w:bCs/>
          <w:sz w:val="24"/>
          <w:szCs w:val="24"/>
        </w:rPr>
      </w:pPr>
      <w:r w:rsidRPr="00143035">
        <w:rPr>
          <w:rFonts w:ascii="Times New Roman" w:hAnsi="Times New Roman" w:cs="Times New Roman"/>
          <w:bCs/>
          <w:sz w:val="24"/>
          <w:szCs w:val="24"/>
        </w:rPr>
        <w:t>Dolarul taiwanez (TWD).</w:t>
      </w:r>
    </w:p>
    <w:p w14:paraId="5683FCF6"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17 – Lista valutelor strâns corelate cu lira libaneză (LBP)</w:t>
      </w:r>
    </w:p>
    <w:p w14:paraId="208C54BE" w14:textId="77777777" w:rsidR="00143035" w:rsidRPr="00143035" w:rsidRDefault="00143035" w:rsidP="00143035">
      <w:pPr>
        <w:rPr>
          <w:rFonts w:ascii="Times New Roman" w:hAnsi="Times New Roman" w:cs="Times New Roman"/>
          <w:bCs/>
          <w:sz w:val="24"/>
          <w:szCs w:val="24"/>
        </w:rPr>
      </w:pPr>
      <w:r w:rsidRPr="00143035">
        <w:rPr>
          <w:rFonts w:ascii="Times New Roman" w:hAnsi="Times New Roman" w:cs="Times New Roman"/>
          <w:bCs/>
          <w:sz w:val="24"/>
          <w:szCs w:val="24"/>
        </w:rPr>
        <w:t>Dirhamul din Emiratele Arabe (AED), dolarul din Hong Kong (HKD), pataca din Macao (MOP), dolarul singaporez (SGD), dolarul american (USD).</w:t>
      </w:r>
    </w:p>
    <w:p w14:paraId="429BBBAA"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18 – Lista valutelor strâns corelate cu dirhamul marocan (MAD)</w:t>
      </w:r>
    </w:p>
    <w:p w14:paraId="6B7B3CE6" w14:textId="77777777" w:rsidR="00143035" w:rsidRPr="00143035" w:rsidRDefault="00143035" w:rsidP="00143035">
      <w:pPr>
        <w:rPr>
          <w:rFonts w:ascii="Times New Roman" w:hAnsi="Times New Roman" w:cs="Times New Roman"/>
          <w:bCs/>
          <w:sz w:val="24"/>
          <w:szCs w:val="24"/>
        </w:rPr>
      </w:pPr>
      <w:r w:rsidRPr="00143035">
        <w:rPr>
          <w:rFonts w:ascii="Times New Roman" w:hAnsi="Times New Roman" w:cs="Times New Roman"/>
          <w:bCs/>
          <w:sz w:val="24"/>
          <w:szCs w:val="24"/>
        </w:rPr>
        <w:t>Marca din Bosnia și Herțegovina (BAM), leva bulgărească (BGN), yuanul chinezesc (CNY), coroana daneză (DKK), dolarul din Hong Kong (HKD), denarul din Macedonia de Nord (MKD), leul românesc (RON), dinarul sârbesc (RSD), dolarul singaporez (SGD), dolarul taiwanez (TWD), dolarul american (USD), euro (EUR).</w:t>
      </w:r>
    </w:p>
    <w:p w14:paraId="71DC4314"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19 – Lista valutelor strâns corelate cu denarul din Macedonia de Nord (MKD)</w:t>
      </w:r>
    </w:p>
    <w:p w14:paraId="2A065C77" w14:textId="77777777" w:rsidR="00143035" w:rsidRPr="00143035" w:rsidRDefault="00143035" w:rsidP="00143035">
      <w:pPr>
        <w:rPr>
          <w:rFonts w:ascii="Times New Roman" w:hAnsi="Times New Roman" w:cs="Times New Roman"/>
          <w:bCs/>
          <w:sz w:val="24"/>
          <w:szCs w:val="24"/>
        </w:rPr>
      </w:pPr>
      <w:proofErr w:type="spellStart"/>
      <w:r w:rsidRPr="00143035">
        <w:rPr>
          <w:rFonts w:ascii="Times New Roman" w:hAnsi="Times New Roman" w:cs="Times New Roman"/>
          <w:bCs/>
          <w:sz w:val="24"/>
          <w:szCs w:val="24"/>
        </w:rPr>
        <w:t>Lekul</w:t>
      </w:r>
      <w:proofErr w:type="spellEnd"/>
      <w:r w:rsidRPr="00143035">
        <w:rPr>
          <w:rFonts w:ascii="Times New Roman" w:hAnsi="Times New Roman" w:cs="Times New Roman"/>
          <w:bCs/>
          <w:sz w:val="24"/>
          <w:szCs w:val="24"/>
        </w:rPr>
        <w:t xml:space="preserve"> albanez (ALL), marca din Bosnia și Herțegovina (BAM), leva bulgărească (BGN), francul elvețian (CHF), coroana daneză (DKK), dirhamul marocan (MAD), leul românesc (RON), dinarul sârbesc (RSD), dolarul singaporez (SGD), euro (EUR).</w:t>
      </w:r>
    </w:p>
    <w:p w14:paraId="511600FE"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20 – Lista valutelor strâns corelate cu pataca din Macao (MOP)</w:t>
      </w:r>
    </w:p>
    <w:p w14:paraId="54310037" w14:textId="77777777" w:rsidR="00143035" w:rsidRPr="00143035" w:rsidRDefault="00143035" w:rsidP="00143035">
      <w:pPr>
        <w:rPr>
          <w:rFonts w:ascii="Times New Roman" w:hAnsi="Times New Roman" w:cs="Times New Roman"/>
          <w:bCs/>
          <w:sz w:val="24"/>
          <w:szCs w:val="24"/>
        </w:rPr>
      </w:pPr>
      <w:r w:rsidRPr="00143035">
        <w:rPr>
          <w:rFonts w:ascii="Times New Roman" w:hAnsi="Times New Roman" w:cs="Times New Roman"/>
          <w:bCs/>
          <w:sz w:val="24"/>
          <w:szCs w:val="24"/>
        </w:rPr>
        <w:t>Dirhamul din Emiratele Arabe (AED), yuanul chinezesc (CNY), dolarul din Hong Kong (HKD), lira libaneză (LBP), dolarul singaporez (SGD), dolarul taiwanez (TWD), dolarul american (USD).</w:t>
      </w:r>
    </w:p>
    <w:p w14:paraId="76E2260E"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 xml:space="preserve">Partea 21 – Lista valutelor strâns corelate cu </w:t>
      </w:r>
      <w:proofErr w:type="spellStart"/>
      <w:r w:rsidRPr="00143035">
        <w:rPr>
          <w:rFonts w:ascii="Times New Roman" w:hAnsi="Times New Roman" w:cs="Times New Roman"/>
          <w:b/>
          <w:bCs/>
          <w:i/>
          <w:iCs/>
          <w:sz w:val="24"/>
          <w:szCs w:val="24"/>
        </w:rPr>
        <w:t>ringgitul</w:t>
      </w:r>
      <w:proofErr w:type="spellEnd"/>
      <w:r w:rsidRPr="00143035">
        <w:rPr>
          <w:rFonts w:ascii="Times New Roman" w:hAnsi="Times New Roman" w:cs="Times New Roman"/>
          <w:b/>
          <w:bCs/>
          <w:i/>
          <w:iCs/>
          <w:sz w:val="24"/>
          <w:szCs w:val="24"/>
        </w:rPr>
        <w:t xml:space="preserve"> malaysian (MYR)</w:t>
      </w:r>
    </w:p>
    <w:p w14:paraId="5CDACC63" w14:textId="77777777" w:rsidR="00143035" w:rsidRPr="00143035" w:rsidRDefault="00143035" w:rsidP="00143035">
      <w:pPr>
        <w:rPr>
          <w:rFonts w:ascii="Times New Roman" w:hAnsi="Times New Roman" w:cs="Times New Roman"/>
          <w:bCs/>
          <w:sz w:val="24"/>
          <w:szCs w:val="24"/>
        </w:rPr>
      </w:pPr>
      <w:r w:rsidRPr="00143035">
        <w:rPr>
          <w:rFonts w:ascii="Times New Roman" w:hAnsi="Times New Roman" w:cs="Times New Roman"/>
          <w:bCs/>
          <w:sz w:val="24"/>
          <w:szCs w:val="24"/>
        </w:rPr>
        <w:t>Dolarul din Hong Kong (HKD), dolarul singaporez (SGD).</w:t>
      </w:r>
    </w:p>
    <w:p w14:paraId="50DFE1FB"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22 – Lista valutelor strâns corelate cu dolarul neozeelandez (NZD)</w:t>
      </w:r>
    </w:p>
    <w:p w14:paraId="37ED493A" w14:textId="77777777" w:rsidR="00143035" w:rsidRPr="00143035" w:rsidRDefault="00143035" w:rsidP="00143035">
      <w:pPr>
        <w:rPr>
          <w:rFonts w:ascii="Times New Roman" w:hAnsi="Times New Roman" w:cs="Times New Roman"/>
          <w:bCs/>
          <w:sz w:val="24"/>
          <w:szCs w:val="24"/>
        </w:rPr>
      </w:pPr>
      <w:r w:rsidRPr="00143035">
        <w:rPr>
          <w:rFonts w:ascii="Times New Roman" w:hAnsi="Times New Roman" w:cs="Times New Roman"/>
          <w:bCs/>
          <w:sz w:val="24"/>
          <w:szCs w:val="24"/>
        </w:rPr>
        <w:lastRenderedPageBreak/>
        <w:t>Dolarul australian (AUD).</w:t>
      </w:r>
    </w:p>
    <w:p w14:paraId="251F1741"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23 – Lista valutelor strâns corelate cu zlotul polonez (PLN)</w:t>
      </w:r>
    </w:p>
    <w:p w14:paraId="34CBE2A5" w14:textId="77777777" w:rsidR="00143035" w:rsidRPr="00143035" w:rsidRDefault="00143035" w:rsidP="00143035">
      <w:pPr>
        <w:rPr>
          <w:rFonts w:ascii="Times New Roman" w:hAnsi="Times New Roman" w:cs="Times New Roman"/>
          <w:bCs/>
          <w:sz w:val="24"/>
          <w:szCs w:val="24"/>
        </w:rPr>
      </w:pPr>
      <w:r w:rsidRPr="00143035">
        <w:rPr>
          <w:rFonts w:ascii="Times New Roman" w:hAnsi="Times New Roman" w:cs="Times New Roman"/>
          <w:bCs/>
          <w:sz w:val="24"/>
          <w:szCs w:val="24"/>
        </w:rPr>
        <w:t>Leva bulgărească (BGN), leul românesc (RON).</w:t>
      </w:r>
    </w:p>
    <w:p w14:paraId="0CC2991B"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24 – Lista valutelor strâns corelate cu leul românesc (RON)</w:t>
      </w:r>
    </w:p>
    <w:p w14:paraId="20784706" w14:textId="77777777" w:rsidR="00143035" w:rsidRPr="00143035" w:rsidRDefault="00143035" w:rsidP="00143035">
      <w:pPr>
        <w:rPr>
          <w:rFonts w:ascii="Times New Roman" w:hAnsi="Times New Roman" w:cs="Times New Roman"/>
          <w:bCs/>
          <w:sz w:val="24"/>
          <w:szCs w:val="24"/>
        </w:rPr>
      </w:pPr>
      <w:proofErr w:type="spellStart"/>
      <w:r w:rsidRPr="00143035">
        <w:rPr>
          <w:rFonts w:ascii="Times New Roman" w:hAnsi="Times New Roman" w:cs="Times New Roman"/>
          <w:bCs/>
          <w:sz w:val="24"/>
          <w:szCs w:val="24"/>
        </w:rPr>
        <w:t>Lekul</w:t>
      </w:r>
      <w:proofErr w:type="spellEnd"/>
      <w:r w:rsidRPr="00143035">
        <w:rPr>
          <w:rFonts w:ascii="Times New Roman" w:hAnsi="Times New Roman" w:cs="Times New Roman"/>
          <w:bCs/>
          <w:sz w:val="24"/>
          <w:szCs w:val="24"/>
        </w:rPr>
        <w:t xml:space="preserve"> albanez (ALL), marca din Bosnia și Herțegovina (BAM), leva bulgărească (BGN), francul elvețian (CHF), coroana cehă (CZK), coroana daneză (DKK), dirhamul marocan (MAD), denarul din Macedonia de Nord (MKD), zlotul polonez (PLN), dinarul sârbesc (RSD), dolarul singaporez (SGD), bahtul thailandez (THB), euro (EUR).</w:t>
      </w:r>
    </w:p>
    <w:p w14:paraId="41497D15"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25 – Lista valutelor strâns corelate cu dinarul sârbesc (RSD)</w:t>
      </w:r>
    </w:p>
    <w:p w14:paraId="3B50688B" w14:textId="77777777" w:rsidR="00143035" w:rsidRPr="00143035" w:rsidRDefault="00143035" w:rsidP="00143035">
      <w:pPr>
        <w:rPr>
          <w:rFonts w:ascii="Times New Roman" w:hAnsi="Times New Roman" w:cs="Times New Roman"/>
          <w:bCs/>
          <w:sz w:val="24"/>
          <w:szCs w:val="24"/>
        </w:rPr>
      </w:pPr>
      <w:proofErr w:type="spellStart"/>
      <w:r w:rsidRPr="00143035">
        <w:rPr>
          <w:rFonts w:ascii="Times New Roman" w:hAnsi="Times New Roman" w:cs="Times New Roman"/>
          <w:bCs/>
          <w:sz w:val="24"/>
          <w:szCs w:val="24"/>
        </w:rPr>
        <w:t>Lekul</w:t>
      </w:r>
      <w:proofErr w:type="spellEnd"/>
      <w:r w:rsidRPr="00143035">
        <w:rPr>
          <w:rFonts w:ascii="Times New Roman" w:hAnsi="Times New Roman" w:cs="Times New Roman"/>
          <w:bCs/>
          <w:sz w:val="24"/>
          <w:szCs w:val="24"/>
        </w:rPr>
        <w:t xml:space="preserve"> albanez (ALL), marca din Bosnia și Herțegovina (BAM), leva bulgărească (BGN), dolarul canadian (CAD), francul elvețian (CHF), coroana cehă (CZK), coroana daneză (DKK), dirhamul marocan (MAD), denarul din Macedonia de Nord (MKD), leul românesc (RON), dolarul singaporez (SGD), euro (EUR).</w:t>
      </w:r>
    </w:p>
    <w:p w14:paraId="16C77524"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26 – Lista valutelor strâns corelate cu coroana suedeză (SEK)</w:t>
      </w:r>
    </w:p>
    <w:p w14:paraId="7CE594FB" w14:textId="77777777" w:rsidR="00143035" w:rsidRPr="00143035" w:rsidRDefault="00143035" w:rsidP="00143035">
      <w:pPr>
        <w:rPr>
          <w:rFonts w:ascii="Times New Roman" w:hAnsi="Times New Roman" w:cs="Times New Roman"/>
          <w:bCs/>
          <w:sz w:val="24"/>
          <w:szCs w:val="24"/>
        </w:rPr>
      </w:pPr>
      <w:r w:rsidRPr="00143035">
        <w:rPr>
          <w:rFonts w:ascii="Times New Roman" w:hAnsi="Times New Roman" w:cs="Times New Roman"/>
          <w:bCs/>
          <w:sz w:val="24"/>
          <w:szCs w:val="24"/>
        </w:rPr>
        <w:t>Coroana daneză (DKK).</w:t>
      </w:r>
    </w:p>
    <w:p w14:paraId="0E915626"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27 – Lista valutelor strâns corelate cu dolarul singaporez (SGD)</w:t>
      </w:r>
    </w:p>
    <w:p w14:paraId="78A2B81B" w14:textId="77777777" w:rsidR="00143035" w:rsidRPr="00143035" w:rsidRDefault="00143035" w:rsidP="00143035">
      <w:pPr>
        <w:rPr>
          <w:rFonts w:ascii="Times New Roman" w:hAnsi="Times New Roman" w:cs="Times New Roman"/>
          <w:bCs/>
          <w:sz w:val="24"/>
          <w:szCs w:val="24"/>
        </w:rPr>
      </w:pPr>
      <w:r w:rsidRPr="00143035">
        <w:rPr>
          <w:rFonts w:ascii="Times New Roman" w:hAnsi="Times New Roman" w:cs="Times New Roman"/>
          <w:bCs/>
          <w:sz w:val="24"/>
          <w:szCs w:val="24"/>
        </w:rPr>
        <w:t xml:space="preserve">Dirhamul din Emiratele Arabe (AED), </w:t>
      </w:r>
      <w:proofErr w:type="spellStart"/>
      <w:r w:rsidRPr="00143035">
        <w:rPr>
          <w:rFonts w:ascii="Times New Roman" w:hAnsi="Times New Roman" w:cs="Times New Roman"/>
          <w:bCs/>
          <w:sz w:val="24"/>
          <w:szCs w:val="24"/>
        </w:rPr>
        <w:t>lekul</w:t>
      </w:r>
      <w:proofErr w:type="spellEnd"/>
      <w:r w:rsidRPr="00143035">
        <w:rPr>
          <w:rFonts w:ascii="Times New Roman" w:hAnsi="Times New Roman" w:cs="Times New Roman"/>
          <w:bCs/>
          <w:sz w:val="24"/>
          <w:szCs w:val="24"/>
        </w:rPr>
        <w:t xml:space="preserve"> albanez (ALL), marca din Bosnia și Herțegovina (BAM), leva bulgărească (BGN), dolarul canadian (CAD), yuanul chinezesc (CNY), coroana daneză (DKK), dolarul din Hong Kong (HKD), rupia indoneziană (IDR), rupia indiană (INR), lira libaneză (LBP), dirhamul marocan (MAD), denarul din Macedonia de Nord (MKD), pataca din Macao (MOP), </w:t>
      </w:r>
      <w:proofErr w:type="spellStart"/>
      <w:r w:rsidRPr="00143035">
        <w:rPr>
          <w:rFonts w:ascii="Times New Roman" w:hAnsi="Times New Roman" w:cs="Times New Roman"/>
          <w:bCs/>
          <w:sz w:val="24"/>
          <w:szCs w:val="24"/>
        </w:rPr>
        <w:t>ringgitul</w:t>
      </w:r>
      <w:proofErr w:type="spellEnd"/>
      <w:r w:rsidRPr="00143035">
        <w:rPr>
          <w:rFonts w:ascii="Times New Roman" w:hAnsi="Times New Roman" w:cs="Times New Roman"/>
          <w:bCs/>
          <w:sz w:val="24"/>
          <w:szCs w:val="24"/>
        </w:rPr>
        <w:t xml:space="preserve"> malaysian (MYR), leul românesc (RON), dinarul sârbesc (RSD), bahtul thailandez (THB), dolarul taiwanez (TWD), dolarul american (USD), euro (EUR).</w:t>
      </w:r>
    </w:p>
    <w:p w14:paraId="157DEEE1"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28 – Lista valutelor strâns corelate cu bahtul thailandez (THB)</w:t>
      </w:r>
    </w:p>
    <w:p w14:paraId="1B41E603" w14:textId="77777777" w:rsidR="00143035" w:rsidRPr="00143035" w:rsidRDefault="00143035" w:rsidP="00143035">
      <w:pPr>
        <w:rPr>
          <w:rFonts w:ascii="Times New Roman" w:hAnsi="Times New Roman" w:cs="Times New Roman"/>
          <w:bCs/>
          <w:sz w:val="24"/>
          <w:szCs w:val="24"/>
        </w:rPr>
      </w:pPr>
      <w:r w:rsidRPr="00143035">
        <w:rPr>
          <w:rFonts w:ascii="Times New Roman" w:hAnsi="Times New Roman" w:cs="Times New Roman"/>
          <w:bCs/>
          <w:sz w:val="24"/>
          <w:szCs w:val="24"/>
        </w:rPr>
        <w:t>Dolarul canadian (CAD), yuanul chinezesc (CNY), coroana daneză (DKK), leul românesc (RON), dolarul singaporez (SGD).</w:t>
      </w:r>
    </w:p>
    <w:p w14:paraId="4A21C460"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29 – Lista valutelor strâns corelate cu dolarul taiwanez (TWD)</w:t>
      </w:r>
    </w:p>
    <w:p w14:paraId="0C777510" w14:textId="77777777" w:rsidR="00143035" w:rsidRPr="00143035" w:rsidRDefault="00143035" w:rsidP="00143035">
      <w:pPr>
        <w:rPr>
          <w:rFonts w:ascii="Times New Roman" w:hAnsi="Times New Roman" w:cs="Times New Roman"/>
          <w:bCs/>
          <w:sz w:val="24"/>
          <w:szCs w:val="24"/>
        </w:rPr>
      </w:pPr>
      <w:r w:rsidRPr="00143035">
        <w:rPr>
          <w:rFonts w:ascii="Times New Roman" w:hAnsi="Times New Roman" w:cs="Times New Roman"/>
          <w:bCs/>
          <w:sz w:val="24"/>
          <w:szCs w:val="24"/>
        </w:rPr>
        <w:t>Dirhamul din Emiratele Arabe (AED), yuanul chinezesc (CNY), dolarul din Hong Kong (HKD), wonul sud-coreean (KRW), dirhamul marocan (MAD), pataca din Macao (MOP), dolarul singaporez (SGD), dolarul american (USD).</w:t>
      </w:r>
    </w:p>
    <w:p w14:paraId="5DD2A6A6" w14:textId="77777777" w:rsidR="00143035" w:rsidRPr="00143035" w:rsidRDefault="00143035" w:rsidP="00143035">
      <w:pPr>
        <w:rPr>
          <w:rFonts w:ascii="Times New Roman" w:hAnsi="Times New Roman" w:cs="Times New Roman"/>
          <w:b/>
          <w:bCs/>
          <w:sz w:val="24"/>
          <w:szCs w:val="24"/>
        </w:rPr>
      </w:pPr>
      <w:r w:rsidRPr="00143035">
        <w:rPr>
          <w:rFonts w:ascii="Times New Roman" w:hAnsi="Times New Roman" w:cs="Times New Roman"/>
          <w:b/>
          <w:bCs/>
          <w:i/>
          <w:iCs/>
          <w:sz w:val="24"/>
          <w:szCs w:val="24"/>
        </w:rPr>
        <w:t>Partea 30 – Lista valutelor strâns corelate cu dolarul american (USD)</w:t>
      </w:r>
    </w:p>
    <w:p w14:paraId="53CD4638" w14:textId="75502537" w:rsidR="00143035" w:rsidRPr="00143035" w:rsidRDefault="00143035" w:rsidP="00143035">
      <w:pPr>
        <w:rPr>
          <w:rFonts w:ascii="Times New Roman" w:hAnsi="Times New Roman" w:cs="Times New Roman"/>
          <w:sz w:val="24"/>
          <w:szCs w:val="24"/>
        </w:rPr>
      </w:pPr>
      <w:r w:rsidRPr="00143035">
        <w:rPr>
          <w:rFonts w:ascii="Times New Roman" w:hAnsi="Times New Roman" w:cs="Times New Roman"/>
          <w:bCs/>
          <w:sz w:val="24"/>
          <w:szCs w:val="24"/>
        </w:rPr>
        <w:t>Dirhamul din Emiratele Arabe (AED), yuanul chinezesc (CNY), dolarul din Hong Kong (HKD), lira libaneză (LBP), dirhamul marocan (MAD), pataca din Macao (MOP), dolarul singaporez (SGD), dolarul taiwanez (TWD).</w:t>
      </w:r>
    </w:p>
    <w:sectPr w:rsidR="00143035" w:rsidRPr="00143035" w:rsidSect="00E14364">
      <w:headerReference w:type="even" r:id="rId85"/>
      <w:footerReference w:type="even" r:id="rId86"/>
      <w:footerReference w:type="default" r:id="rId87"/>
      <w:headerReference w:type="first" r:id="rId88"/>
      <w:footerReference w:type="first" r:id="rId8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EE86" w14:textId="77777777" w:rsidR="00517F21" w:rsidRDefault="00517F21" w:rsidP="000806FE">
      <w:pPr>
        <w:spacing w:after="0" w:line="240" w:lineRule="auto"/>
      </w:pPr>
      <w:r>
        <w:separator/>
      </w:r>
    </w:p>
  </w:endnote>
  <w:endnote w:type="continuationSeparator" w:id="0">
    <w:p w14:paraId="3E2FA121" w14:textId="77777777" w:rsidR="00517F21" w:rsidRDefault="00517F21" w:rsidP="000806FE">
      <w:pPr>
        <w:spacing w:after="0" w:line="240" w:lineRule="auto"/>
      </w:pPr>
      <w:r>
        <w:continuationSeparator/>
      </w:r>
    </w:p>
  </w:endnote>
  <w:endnote w:type="continuationNotice" w:id="1">
    <w:p w14:paraId="2E80FBCA" w14:textId="77777777" w:rsidR="00517F21" w:rsidRDefault="00517F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6D88" w14:textId="3AD9C599" w:rsidR="000806FE" w:rsidRDefault="000806FE">
    <w:pPr>
      <w:pStyle w:val="Footer"/>
    </w:pPr>
    <w:r>
      <w:rPr>
        <w:noProof/>
      </w:rPr>
      <mc:AlternateContent>
        <mc:Choice Requires="wps">
          <w:drawing>
            <wp:anchor distT="0" distB="0" distL="0" distR="0" simplePos="0" relativeHeight="251658244" behindDoc="0" locked="0" layoutInCell="1" allowOverlap="1" wp14:anchorId="4F7E5A4B" wp14:editId="6D87C449">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312AC7" w14:textId="6542FB18" w:rsidR="000806FE" w:rsidRPr="000806FE" w:rsidRDefault="000806FE" w:rsidP="000806FE">
                          <w:pPr>
                            <w:spacing w:after="0"/>
                            <w:rPr>
                              <w:rFonts w:ascii="Calibri" w:eastAsia="Calibri" w:hAnsi="Calibri" w:cs="Calibri"/>
                              <w:noProof/>
                              <w:color w:val="000000"/>
                              <w:sz w:val="16"/>
                              <w:szCs w:val="16"/>
                            </w:rPr>
                          </w:pPr>
                          <w:r w:rsidRPr="000806FE">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7E5A4B" id="_x0000_t202" coordsize="21600,21600" o:spt="202" path="m,l,21600r21600,l21600,xe">
              <v:stroke joinstyle="miter"/>
              <v:path gradientshapeok="t" o:connecttype="rect"/>
            </v:shapetype>
            <v:shape id="Text Box 5" o:spid="_x0000_s1027" type="#_x0000_t202" alt="Atenţie! Se interzice deţinerea, sustragerea, alterarea, multiplicarea, distrugerea sau folosirea  acestui document fără a dispune de drept de acces autoriza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W4cCwIAABwEAAAOAAAAZHJzL2Uyb0RvYy54bWysU01v2zAMvQ/YfxB0X+xkbdEacYqsRYYB QVsgHXqWZSk2IImCpMTOfv0o2U62bqdhF/mZpPjx+LS877UiR+F8C6ak81lOiTAc6tbsS/r9dfPp lhIfmKmZAiNKehKe3q8+flh2thALaEDVwhFMYnzR2ZI2IdgiyzxvhGZ+BlYYdEpwmgX8dfusdqzD 7Fplizy/yTpwtXXAhfdofRycdJXySyl4eJbSi0BUSbG3kE6Xziqe2WrJir1jtmn52Ab7hy40aw0W Pad6ZIGRg2v/SKVb7sCDDDMOOgMpWy7SDDjNPH83za5hVqRZkBxvzzT5/5eWPx139sWR0H+BHhcY CemsLzwa4zy9dDp+sVOCfqTwdKZN9IFwNF5dfb69uaaEo2vEmCW7XLbOh68CNImgpA63kshix60P Q+gUEmsZ2LRKpc0o85sBc0ZLdukwotBXPWnrki6m7iuoTziUg2Hf3vJNi6W3zIcX5nDBOAeKNjzj IRV0JYURUdKA+/E3e4xH3tFLSYeCKalBRVOivhncR9TWBNwEqgTmd/l1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jdbhwLAgAAHAQAAA4A AAAAAAAAAAAAAAAALgIAAGRycy9lMm9Eb2MueG1sUEsBAi0AFAAGAAgAAAAhADft0fjZAAAAAwEA AA8AAAAAAAAAAAAAAAAAZQQAAGRycy9kb3ducmV2LnhtbFBLBQYAAAAABAAEAPMAAABrBQAAAAA= " filled="f" stroked="f">
              <v:textbox style="mso-fit-shape-to-text:t" inset="0,0,0,15pt">
                <w:txbxContent>
                  <w:p w14:paraId="5C312AC7" w14:textId="6542FB18" w:rsidR="000806FE" w:rsidRPr="000806FE" w:rsidRDefault="000806FE" w:rsidP="000806FE">
                    <w:pPr>
                      <w:spacing w:after="0"/>
                      <w:rPr>
                        <w:rFonts w:ascii="Calibri" w:eastAsia="Calibri" w:hAnsi="Calibri" w:cs="Calibri"/>
                        <w:noProof/>
                        <w:color w:val="000000"/>
                        <w:sz w:val="16"/>
                        <w:szCs w:val="16"/>
                      </w:rPr>
                    </w:pPr>
                    <w:r w:rsidRPr="000806FE">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624713"/>
      <w:docPartObj>
        <w:docPartGallery w:val="Page Numbers (Bottom of Page)"/>
        <w:docPartUnique/>
      </w:docPartObj>
    </w:sdtPr>
    <w:sdtEndPr>
      <w:rPr>
        <w:noProof/>
      </w:rPr>
    </w:sdtEndPr>
    <w:sdtContent>
      <w:p w14:paraId="13779430" w14:textId="77084DEC" w:rsidR="009323B5" w:rsidRDefault="009323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DD5623" w14:textId="6E176B2D" w:rsidR="000806FE" w:rsidRDefault="00080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E3A7" w14:textId="32C86295" w:rsidR="000806FE" w:rsidRDefault="000806FE">
    <w:pPr>
      <w:pStyle w:val="Footer"/>
    </w:pPr>
    <w:r>
      <w:rPr>
        <w:noProof/>
      </w:rPr>
      <mc:AlternateContent>
        <mc:Choice Requires="wps">
          <w:drawing>
            <wp:anchor distT="0" distB="0" distL="0" distR="0" simplePos="0" relativeHeight="251658243" behindDoc="0" locked="0" layoutInCell="1" allowOverlap="1" wp14:anchorId="4C7AC6FE" wp14:editId="478BD293">
              <wp:simplePos x="635" y="635"/>
              <wp:positionH relativeFrom="page">
                <wp:align>center</wp:align>
              </wp:positionH>
              <wp:positionV relativeFrom="page">
                <wp:align>bottom</wp:align>
              </wp:positionV>
              <wp:extent cx="443865" cy="443865"/>
              <wp:effectExtent l="0" t="0" r="3175"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54D0D0" w14:textId="5BDB6871" w:rsidR="000806FE" w:rsidRPr="000806FE" w:rsidRDefault="000806FE" w:rsidP="000806FE">
                          <w:pPr>
                            <w:spacing w:after="0"/>
                            <w:rPr>
                              <w:rFonts w:ascii="Calibri" w:eastAsia="Calibri" w:hAnsi="Calibri" w:cs="Calibri"/>
                              <w:noProof/>
                              <w:color w:val="000000"/>
                              <w:sz w:val="16"/>
                              <w:szCs w:val="16"/>
                            </w:rPr>
                          </w:pPr>
                          <w:r w:rsidRPr="000806FE">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7AC6FE" id="_x0000_t202" coordsize="21600,21600" o:spt="202" path="m,l,21600r21600,l21600,xe">
              <v:stroke joinstyle="miter"/>
              <v:path gradientshapeok="t" o:connecttype="rect"/>
            </v:shapetype>
            <v:shape id="Text Box 4" o:spid="_x0000_s1029" type="#_x0000_t202" alt="Atenţie! Se interzice deţinerea, sustragerea, alterarea, multiplicarea, distrugerea sau folosirea  acestui document fără a dispune de drept de acces autorizat."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XsGRCgIAABwEAAAOAAAAZHJzL2Uyb0RvYy54bWysU01v2zAMvQ/YfxB0X+x0bdEacYqsRYYB QVsgHXpWZCk2IIsCpcTOfv0o2W62bqdhF/mZpPjx+LS461vDjgp9A7bk81nOmbISqsbuS/79Zf3p hjMfhK2EAatKflKe3y0/flh0rlAXUIOpFDJKYn3RuZLXIbgiy7ysVSv8DJyy5NSArQj0i/usQtFR 9tZkF3l+nXWAlUOQynuyPgxOvkz5tVYyPGntVWCm5NRbSCemcxfPbLkQxR6Fqxs5tiH+oYtWNJaK vqV6EEGwAzZ/pGobieBBh5mENgOtG6nSDDTNPH83zbYWTqVZiBzv3mjy/y+tfDxu3TOy0H+BnhYY CemcLzwZ4zy9xjZ+qVNGfqLw9Eab6gOTZLy8/HxzfcWZJNeIKUt2vuzQh68KWhZByZG2ksgSx40P Q+gUEmtZWDfGpM0Y+5uBckZLdu4wotDvetZUVHzqfgfViYZCGPbtnVw3VHojfHgWSAumOUi04YkO baArOYyIsxrwx9/sMZ54Jy9nHQmm5JYUzZn5ZmkfUVsTwAnsEpjf5lc5+e2hvQeS4ZxehJMJkhWD maBGaF9JzqtYiFzCSipX8t0E78OgXHoOUq1WKYhk5ETY2K2TMXWkK3L50r8KdCPhgTb1CJOaRPGO 9yE23vRudQjEflpKpHYgcmScJJjWOj6XqPFf/1PU+VEvfwIAAP//AwBQSwMEFAAGAAgAAAAhADft 0fjZAAAAAwEAAA8AAABkcnMvZG93bnJldi54bWxMj0FPwzAMhe9I/IfISNxYyiYmVppOaBKnIaRt XLh5idcWGqdq3K379wQ4sIufrGe997lYjr5VR+pjE9jA/SQDRWyDa7gy8L57uXsEFQXZYRuYDJwp wrK8viowd+HEGzpupVIphGOOBmqRLtc62po8xknoiJN3CL1HSWtfadfjKYX7Vk+zbK49Npwaauxo VZP92g7ewMNGXoc33s0+xun5c92t7Oywtsbc3ozPT6CERvk/hh/8hA5lYtqHgV1UrYH0iPzO5M0X C1D7P9VloS/Zy28AAAD//wMAUEsBAi0AFAAGAAgAAAAhALaDOJL+AAAA4QEAABMAAAAAAAAAAAAA AAAAAAAAAFtDb250ZW50X1R5cGVzXS54bWxQSwECLQAUAAYACAAAACEAOP0h/9YAAACUAQAACwAA AAAAAAAAAAAAAAAvAQAAX3JlbHMvLnJlbHNQSwECLQAUAAYACAAAACEA1l7BkQoCAAAcBAAADgAA AAAAAAAAAAAAAAAuAgAAZHJzL2Uyb0RvYy54bWxQSwECLQAUAAYACAAAACEAN+3R+NkAAAADAQAA DwAAAAAAAAAAAAAAAABkBAAAZHJzL2Rvd25yZXYueG1sUEsFBgAAAAAEAAQA8wAAAGoFAAAAAA== " filled="f" stroked="f">
              <v:textbox style="mso-fit-shape-to-text:t" inset="0,0,0,15pt">
                <w:txbxContent>
                  <w:p w14:paraId="0754D0D0" w14:textId="5BDB6871" w:rsidR="000806FE" w:rsidRPr="000806FE" w:rsidRDefault="000806FE" w:rsidP="000806FE">
                    <w:pPr>
                      <w:spacing w:after="0"/>
                      <w:rPr>
                        <w:rFonts w:ascii="Calibri" w:eastAsia="Calibri" w:hAnsi="Calibri" w:cs="Calibri"/>
                        <w:noProof/>
                        <w:color w:val="000000"/>
                        <w:sz w:val="16"/>
                        <w:szCs w:val="16"/>
                      </w:rPr>
                    </w:pPr>
                    <w:r w:rsidRPr="000806FE">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5A8B" w14:textId="77777777" w:rsidR="00517F21" w:rsidRDefault="00517F21" w:rsidP="000806FE">
      <w:pPr>
        <w:spacing w:after="0" w:line="240" w:lineRule="auto"/>
      </w:pPr>
      <w:r>
        <w:separator/>
      </w:r>
    </w:p>
  </w:footnote>
  <w:footnote w:type="continuationSeparator" w:id="0">
    <w:p w14:paraId="31846026" w14:textId="77777777" w:rsidR="00517F21" w:rsidRDefault="00517F21" w:rsidP="000806FE">
      <w:pPr>
        <w:spacing w:after="0" w:line="240" w:lineRule="auto"/>
      </w:pPr>
      <w:r>
        <w:continuationSeparator/>
      </w:r>
    </w:p>
  </w:footnote>
  <w:footnote w:type="continuationNotice" w:id="1">
    <w:p w14:paraId="6E3F2002" w14:textId="77777777" w:rsidR="00517F21" w:rsidRDefault="00517F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8DD1" w14:textId="29359E14" w:rsidR="000806FE" w:rsidRDefault="000806FE">
    <w:pPr>
      <w:pStyle w:val="Header"/>
    </w:pPr>
    <w:r>
      <w:rPr>
        <w:noProof/>
      </w:rPr>
      <mc:AlternateContent>
        <mc:Choice Requires="wps">
          <w:drawing>
            <wp:anchor distT="0" distB="0" distL="0" distR="0" simplePos="0" relativeHeight="251658241" behindDoc="0" locked="0" layoutInCell="1" allowOverlap="1" wp14:anchorId="08FE2BDA" wp14:editId="7844B992">
              <wp:simplePos x="635" y="635"/>
              <wp:positionH relativeFrom="page">
                <wp:align>right</wp:align>
              </wp:positionH>
              <wp:positionV relativeFrom="page">
                <wp:align>top</wp:align>
              </wp:positionV>
              <wp:extent cx="443865" cy="443865"/>
              <wp:effectExtent l="0" t="0" r="0" b="8890"/>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160B05" w14:textId="14B17AEA" w:rsidR="000806FE" w:rsidRPr="000806FE" w:rsidRDefault="000806FE" w:rsidP="000806FE">
                          <w:pPr>
                            <w:spacing w:after="0"/>
                            <w:rPr>
                              <w:rFonts w:ascii="Calibri" w:eastAsia="Calibri" w:hAnsi="Calibri" w:cs="Calibri"/>
                              <w:noProof/>
                              <w:color w:val="000000"/>
                              <w:sz w:val="24"/>
                              <w:szCs w:val="24"/>
                            </w:rPr>
                          </w:pPr>
                          <w:r w:rsidRPr="000806FE">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FE2BDA" id="_x0000_t202" coordsize="21600,21600" o:spt="202" path="m,l,21600r21600,l21600,xe">
              <v:stroke joinstyle="miter"/>
              <v:path gradientshapeok="t" o:connecttype="rect"/>
            </v:shapetype>
            <v:shape id="Text Box 2" o:spid="_x0000_s1026" type="#_x0000_t202" alt="SP-2"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1C160B05" w14:textId="14B17AEA" w:rsidR="000806FE" w:rsidRPr="000806FE" w:rsidRDefault="000806FE" w:rsidP="000806FE">
                    <w:pPr>
                      <w:spacing w:after="0"/>
                      <w:rPr>
                        <w:rFonts w:ascii="Calibri" w:eastAsia="Calibri" w:hAnsi="Calibri" w:cs="Calibri"/>
                        <w:noProof/>
                        <w:color w:val="000000"/>
                        <w:sz w:val="24"/>
                        <w:szCs w:val="24"/>
                      </w:rPr>
                    </w:pPr>
                    <w:r w:rsidRPr="000806FE">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8C2E" w14:textId="1B664F67" w:rsidR="000806FE" w:rsidRDefault="000806FE">
    <w:pPr>
      <w:pStyle w:val="Header"/>
    </w:pPr>
    <w:r>
      <w:rPr>
        <w:noProof/>
      </w:rPr>
      <mc:AlternateContent>
        <mc:Choice Requires="wps">
          <w:drawing>
            <wp:anchor distT="0" distB="0" distL="0" distR="0" simplePos="0" relativeHeight="251658240" behindDoc="0" locked="0" layoutInCell="1" allowOverlap="1" wp14:anchorId="3F00D24C" wp14:editId="585AB477">
              <wp:simplePos x="635" y="635"/>
              <wp:positionH relativeFrom="page">
                <wp:align>right</wp:align>
              </wp:positionH>
              <wp:positionV relativeFrom="page">
                <wp:align>top</wp:align>
              </wp:positionV>
              <wp:extent cx="443865" cy="443865"/>
              <wp:effectExtent l="0" t="0" r="0" b="8890"/>
              <wp:wrapNone/>
              <wp:docPr id="1"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BC4758" w14:textId="4F09AFF1" w:rsidR="000806FE" w:rsidRPr="000806FE" w:rsidRDefault="000806FE" w:rsidP="000806FE">
                          <w:pPr>
                            <w:spacing w:after="0"/>
                            <w:rPr>
                              <w:rFonts w:ascii="Calibri" w:eastAsia="Calibri" w:hAnsi="Calibri" w:cs="Calibri"/>
                              <w:noProof/>
                              <w:color w:val="000000"/>
                              <w:sz w:val="24"/>
                              <w:szCs w:val="24"/>
                            </w:rPr>
                          </w:pPr>
                          <w:r w:rsidRPr="000806FE">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F00D24C" id="_x0000_t202" coordsize="21600,21600" o:spt="202" path="m,l,21600r21600,l21600,xe">
              <v:stroke joinstyle="miter"/>
              <v:path gradientshapeok="t" o:connecttype="rect"/>
            </v:shapetype>
            <v:shape id="Text Box 1" o:spid="_x0000_s1028"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AKnDwIAACEEAAAOAAAAZHJzL2Uyb0RvYy54bWysU11v2yAUfZ+0/4B4X+ykSdVZcaqsVaZJ UVspnfpMMMSWgIuAxM5+/S7YTrZuT9Ne8P3y5d5zDsv7TityEs43YEo6neSUCMOhasyhpN9fN5/u KPGBmYopMKKkZ+Hp/erjh2VrCzGDGlQlHMEmxhetLWkdgi2yzPNaaOYnYIXBpASnWUDXHbLKsRa7 a5XN8vw2a8FV1gEX3mP0sU/SVeovpeDhWUovAlElxdlCOl069/HMVktWHByzdcOHMdg/TKFZY/DS S6tHFhg5uuaPVrrhDjzIMOGgM5Cy4SLtgNtM83fb7GpmRdoFwfH2ApP/f23502lnXxwJ3RfokMAI SGt94TEY9+mk0/GLkxLMI4TnC2yiC4RjcD6/ubtdUMIxNdjYJbv+bJ0PXwVoEo2SOmQlgcVOWx/6 0rEk3mVg0yiVmFHmtwD2jJHsOmG0QrfvSFOV9Gacfg/VGZdy0PPtLd80ePWW+fDCHBKMe6BowzMe UkFbUhgsSmpwP/4Wj/WIO2YpaVEwJTWoaErUN4N8RG0lY/o5X+ToueTNFvM8evuxyBz1A6AWp/gs LE9mLA5qNKUD/YaaXsfbMMUMxztLGkbzIfTyxTfBxXqdilBLloWt2VkeW0fMIqCv3RtzdkA9IF1P MEqKFe/A72vjn96ujwEpSMxEfHs0B9hRh4nb4c1Eof/qp6rry179BA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vjQCpw8CAAAh BAAADgAAAAAAAAAAAAAAAAAuAgAAZHJzL2Uyb0RvYy54bWxQSwECLQAUAAYACAAAACEAd1eEQtoA AAADAQAADwAAAAAAAAAAAAAAAABpBAAAZHJzL2Rvd25yZXYueG1sUEsFBgAAAAAEAAQA8wAAAHAF AAAAAA== " filled="f" stroked="f">
              <v:textbox style="mso-fit-shape-to-text:t" inset="0,15pt,20pt,0">
                <w:txbxContent>
                  <w:p w14:paraId="21BC4758" w14:textId="4F09AFF1" w:rsidR="000806FE" w:rsidRPr="000806FE" w:rsidRDefault="000806FE" w:rsidP="000806FE">
                    <w:pPr>
                      <w:spacing w:after="0"/>
                      <w:rPr>
                        <w:rFonts w:ascii="Calibri" w:eastAsia="Calibri" w:hAnsi="Calibri" w:cs="Calibri"/>
                        <w:noProof/>
                        <w:color w:val="000000"/>
                        <w:sz w:val="24"/>
                        <w:szCs w:val="24"/>
                      </w:rPr>
                    </w:pPr>
                    <w:r w:rsidRPr="000806FE">
                      <w:rPr>
                        <w:rFonts w:ascii="Calibri" w:eastAsia="Calibri" w:hAnsi="Calibri" w:cs="Calibri"/>
                        <w:noProof/>
                        <w:color w:val="000000"/>
                        <w:sz w:val="24"/>
                        <w:szCs w:val="24"/>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B35"/>
    <w:multiLevelType w:val="hybridMultilevel"/>
    <w:tmpl w:val="BBEAA346"/>
    <w:lvl w:ilvl="0" w:tplc="E6B8BEEC">
      <w:start w:val="1"/>
      <w:numFmt w:val="bullet"/>
      <w:lvlText w:val=""/>
      <w:lvlJc w:val="left"/>
      <w:pPr>
        <w:ind w:left="1120" w:hanging="360"/>
      </w:pPr>
      <w:rPr>
        <w:rFonts w:ascii="Symbol" w:hAnsi="Symbol"/>
      </w:rPr>
    </w:lvl>
    <w:lvl w:ilvl="1" w:tplc="61A8FE24">
      <w:start w:val="1"/>
      <w:numFmt w:val="bullet"/>
      <w:lvlText w:val=""/>
      <w:lvlJc w:val="left"/>
      <w:pPr>
        <w:ind w:left="1480" w:hanging="360"/>
      </w:pPr>
      <w:rPr>
        <w:rFonts w:ascii="Symbol" w:hAnsi="Symbol"/>
      </w:rPr>
    </w:lvl>
    <w:lvl w:ilvl="2" w:tplc="8D00DC44">
      <w:start w:val="1"/>
      <w:numFmt w:val="bullet"/>
      <w:lvlText w:val=""/>
      <w:lvlJc w:val="left"/>
      <w:pPr>
        <w:ind w:left="1120" w:hanging="360"/>
      </w:pPr>
      <w:rPr>
        <w:rFonts w:ascii="Symbol" w:hAnsi="Symbol"/>
      </w:rPr>
    </w:lvl>
    <w:lvl w:ilvl="3" w:tplc="AD1EEDC8">
      <w:start w:val="1"/>
      <w:numFmt w:val="bullet"/>
      <w:lvlText w:val=""/>
      <w:lvlJc w:val="left"/>
      <w:pPr>
        <w:ind w:left="1120" w:hanging="360"/>
      </w:pPr>
      <w:rPr>
        <w:rFonts w:ascii="Symbol" w:hAnsi="Symbol"/>
      </w:rPr>
    </w:lvl>
    <w:lvl w:ilvl="4" w:tplc="C0CC09A8">
      <w:start w:val="1"/>
      <w:numFmt w:val="bullet"/>
      <w:lvlText w:val=""/>
      <w:lvlJc w:val="left"/>
      <w:pPr>
        <w:ind w:left="1120" w:hanging="360"/>
      </w:pPr>
      <w:rPr>
        <w:rFonts w:ascii="Symbol" w:hAnsi="Symbol"/>
      </w:rPr>
    </w:lvl>
    <w:lvl w:ilvl="5" w:tplc="F362BEBC">
      <w:start w:val="1"/>
      <w:numFmt w:val="bullet"/>
      <w:lvlText w:val=""/>
      <w:lvlJc w:val="left"/>
      <w:pPr>
        <w:ind w:left="1120" w:hanging="360"/>
      </w:pPr>
      <w:rPr>
        <w:rFonts w:ascii="Symbol" w:hAnsi="Symbol"/>
      </w:rPr>
    </w:lvl>
    <w:lvl w:ilvl="6" w:tplc="C1D6B524">
      <w:start w:val="1"/>
      <w:numFmt w:val="bullet"/>
      <w:lvlText w:val=""/>
      <w:lvlJc w:val="left"/>
      <w:pPr>
        <w:ind w:left="1120" w:hanging="360"/>
      </w:pPr>
      <w:rPr>
        <w:rFonts w:ascii="Symbol" w:hAnsi="Symbol"/>
      </w:rPr>
    </w:lvl>
    <w:lvl w:ilvl="7" w:tplc="9E50F6C4">
      <w:start w:val="1"/>
      <w:numFmt w:val="bullet"/>
      <w:lvlText w:val=""/>
      <w:lvlJc w:val="left"/>
      <w:pPr>
        <w:ind w:left="1120" w:hanging="360"/>
      </w:pPr>
      <w:rPr>
        <w:rFonts w:ascii="Symbol" w:hAnsi="Symbol"/>
      </w:rPr>
    </w:lvl>
    <w:lvl w:ilvl="8" w:tplc="896C60E0">
      <w:start w:val="1"/>
      <w:numFmt w:val="bullet"/>
      <w:lvlText w:val=""/>
      <w:lvlJc w:val="left"/>
      <w:pPr>
        <w:ind w:left="1120" w:hanging="360"/>
      </w:pPr>
      <w:rPr>
        <w:rFonts w:ascii="Symbol" w:hAnsi="Symbol"/>
      </w:rPr>
    </w:lvl>
  </w:abstractNum>
  <w:abstractNum w:abstractNumId="1" w15:restartNumberingAfterBreak="0">
    <w:nsid w:val="0250765A"/>
    <w:multiLevelType w:val="hybridMultilevel"/>
    <w:tmpl w:val="67CA33D4"/>
    <w:lvl w:ilvl="0" w:tplc="957E9E64">
      <w:start w:val="1"/>
      <w:numFmt w:val="bullet"/>
      <w:lvlText w:val=""/>
      <w:lvlJc w:val="left"/>
      <w:pPr>
        <w:ind w:left="1120" w:hanging="360"/>
      </w:pPr>
      <w:rPr>
        <w:rFonts w:ascii="Symbol" w:hAnsi="Symbol"/>
      </w:rPr>
    </w:lvl>
    <w:lvl w:ilvl="1" w:tplc="E40C4F90">
      <w:start w:val="1"/>
      <w:numFmt w:val="bullet"/>
      <w:lvlText w:val=""/>
      <w:lvlJc w:val="left"/>
      <w:pPr>
        <w:ind w:left="1120" w:hanging="360"/>
      </w:pPr>
      <w:rPr>
        <w:rFonts w:ascii="Symbol" w:hAnsi="Symbol"/>
      </w:rPr>
    </w:lvl>
    <w:lvl w:ilvl="2" w:tplc="BEFEBE40">
      <w:start w:val="1"/>
      <w:numFmt w:val="bullet"/>
      <w:lvlText w:val=""/>
      <w:lvlJc w:val="left"/>
      <w:pPr>
        <w:ind w:left="1120" w:hanging="360"/>
      </w:pPr>
      <w:rPr>
        <w:rFonts w:ascii="Symbol" w:hAnsi="Symbol"/>
      </w:rPr>
    </w:lvl>
    <w:lvl w:ilvl="3" w:tplc="49FCC866">
      <w:start w:val="1"/>
      <w:numFmt w:val="bullet"/>
      <w:lvlText w:val=""/>
      <w:lvlJc w:val="left"/>
      <w:pPr>
        <w:ind w:left="1120" w:hanging="360"/>
      </w:pPr>
      <w:rPr>
        <w:rFonts w:ascii="Symbol" w:hAnsi="Symbol"/>
      </w:rPr>
    </w:lvl>
    <w:lvl w:ilvl="4" w:tplc="712C488E">
      <w:start w:val="1"/>
      <w:numFmt w:val="bullet"/>
      <w:lvlText w:val=""/>
      <w:lvlJc w:val="left"/>
      <w:pPr>
        <w:ind w:left="1120" w:hanging="360"/>
      </w:pPr>
      <w:rPr>
        <w:rFonts w:ascii="Symbol" w:hAnsi="Symbol"/>
      </w:rPr>
    </w:lvl>
    <w:lvl w:ilvl="5" w:tplc="F7D0A274">
      <w:start w:val="1"/>
      <w:numFmt w:val="bullet"/>
      <w:lvlText w:val=""/>
      <w:lvlJc w:val="left"/>
      <w:pPr>
        <w:ind w:left="1120" w:hanging="360"/>
      </w:pPr>
      <w:rPr>
        <w:rFonts w:ascii="Symbol" w:hAnsi="Symbol"/>
      </w:rPr>
    </w:lvl>
    <w:lvl w:ilvl="6" w:tplc="A734026C">
      <w:start w:val="1"/>
      <w:numFmt w:val="bullet"/>
      <w:lvlText w:val=""/>
      <w:lvlJc w:val="left"/>
      <w:pPr>
        <w:ind w:left="1120" w:hanging="360"/>
      </w:pPr>
      <w:rPr>
        <w:rFonts w:ascii="Symbol" w:hAnsi="Symbol"/>
      </w:rPr>
    </w:lvl>
    <w:lvl w:ilvl="7" w:tplc="50EA9EF0">
      <w:start w:val="1"/>
      <w:numFmt w:val="bullet"/>
      <w:lvlText w:val=""/>
      <w:lvlJc w:val="left"/>
      <w:pPr>
        <w:ind w:left="1120" w:hanging="360"/>
      </w:pPr>
      <w:rPr>
        <w:rFonts w:ascii="Symbol" w:hAnsi="Symbol"/>
      </w:rPr>
    </w:lvl>
    <w:lvl w:ilvl="8" w:tplc="E63084C2">
      <w:start w:val="1"/>
      <w:numFmt w:val="bullet"/>
      <w:lvlText w:val=""/>
      <w:lvlJc w:val="left"/>
      <w:pPr>
        <w:ind w:left="1120" w:hanging="360"/>
      </w:pPr>
      <w:rPr>
        <w:rFonts w:ascii="Symbol" w:hAnsi="Symbol"/>
      </w:rPr>
    </w:lvl>
  </w:abstractNum>
  <w:abstractNum w:abstractNumId="2" w15:restartNumberingAfterBreak="0">
    <w:nsid w:val="04D7534C"/>
    <w:multiLevelType w:val="hybridMultilevel"/>
    <w:tmpl w:val="9ED86AFE"/>
    <w:lvl w:ilvl="0" w:tplc="FF7248C2">
      <w:start w:val="1"/>
      <w:numFmt w:val="bullet"/>
      <w:lvlText w:val=""/>
      <w:lvlJc w:val="left"/>
      <w:pPr>
        <w:ind w:left="1120" w:hanging="360"/>
      </w:pPr>
      <w:rPr>
        <w:rFonts w:ascii="Symbol" w:hAnsi="Symbol"/>
      </w:rPr>
    </w:lvl>
    <w:lvl w:ilvl="1" w:tplc="C07E488E">
      <w:start w:val="1"/>
      <w:numFmt w:val="bullet"/>
      <w:lvlText w:val=""/>
      <w:lvlJc w:val="left"/>
      <w:pPr>
        <w:ind w:left="1120" w:hanging="360"/>
      </w:pPr>
      <w:rPr>
        <w:rFonts w:ascii="Symbol" w:hAnsi="Symbol"/>
      </w:rPr>
    </w:lvl>
    <w:lvl w:ilvl="2" w:tplc="C2386630">
      <w:start w:val="1"/>
      <w:numFmt w:val="bullet"/>
      <w:lvlText w:val=""/>
      <w:lvlJc w:val="left"/>
      <w:pPr>
        <w:ind w:left="1120" w:hanging="360"/>
      </w:pPr>
      <w:rPr>
        <w:rFonts w:ascii="Symbol" w:hAnsi="Symbol"/>
      </w:rPr>
    </w:lvl>
    <w:lvl w:ilvl="3" w:tplc="AA669DF4">
      <w:start w:val="1"/>
      <w:numFmt w:val="bullet"/>
      <w:lvlText w:val=""/>
      <w:lvlJc w:val="left"/>
      <w:pPr>
        <w:ind w:left="1120" w:hanging="360"/>
      </w:pPr>
      <w:rPr>
        <w:rFonts w:ascii="Symbol" w:hAnsi="Symbol"/>
      </w:rPr>
    </w:lvl>
    <w:lvl w:ilvl="4" w:tplc="3E4AF006">
      <w:start w:val="1"/>
      <w:numFmt w:val="bullet"/>
      <w:lvlText w:val=""/>
      <w:lvlJc w:val="left"/>
      <w:pPr>
        <w:ind w:left="1120" w:hanging="360"/>
      </w:pPr>
      <w:rPr>
        <w:rFonts w:ascii="Symbol" w:hAnsi="Symbol"/>
      </w:rPr>
    </w:lvl>
    <w:lvl w:ilvl="5" w:tplc="DC2E64E0">
      <w:start w:val="1"/>
      <w:numFmt w:val="bullet"/>
      <w:lvlText w:val=""/>
      <w:lvlJc w:val="left"/>
      <w:pPr>
        <w:ind w:left="1120" w:hanging="360"/>
      </w:pPr>
      <w:rPr>
        <w:rFonts w:ascii="Symbol" w:hAnsi="Symbol"/>
      </w:rPr>
    </w:lvl>
    <w:lvl w:ilvl="6" w:tplc="5FB4067A">
      <w:start w:val="1"/>
      <w:numFmt w:val="bullet"/>
      <w:lvlText w:val=""/>
      <w:lvlJc w:val="left"/>
      <w:pPr>
        <w:ind w:left="1120" w:hanging="360"/>
      </w:pPr>
      <w:rPr>
        <w:rFonts w:ascii="Symbol" w:hAnsi="Symbol"/>
      </w:rPr>
    </w:lvl>
    <w:lvl w:ilvl="7" w:tplc="B4966952">
      <w:start w:val="1"/>
      <w:numFmt w:val="bullet"/>
      <w:lvlText w:val=""/>
      <w:lvlJc w:val="left"/>
      <w:pPr>
        <w:ind w:left="1120" w:hanging="360"/>
      </w:pPr>
      <w:rPr>
        <w:rFonts w:ascii="Symbol" w:hAnsi="Symbol"/>
      </w:rPr>
    </w:lvl>
    <w:lvl w:ilvl="8" w:tplc="07FCCBF0">
      <w:start w:val="1"/>
      <w:numFmt w:val="bullet"/>
      <w:lvlText w:val=""/>
      <w:lvlJc w:val="left"/>
      <w:pPr>
        <w:ind w:left="1120" w:hanging="360"/>
      </w:pPr>
      <w:rPr>
        <w:rFonts w:ascii="Symbol" w:hAnsi="Symbol"/>
      </w:rPr>
    </w:lvl>
  </w:abstractNum>
  <w:abstractNum w:abstractNumId="3" w15:restartNumberingAfterBreak="0">
    <w:nsid w:val="060941FE"/>
    <w:multiLevelType w:val="hybridMultilevel"/>
    <w:tmpl w:val="FC68E366"/>
    <w:lvl w:ilvl="0" w:tplc="6514366C">
      <w:start w:val="1"/>
      <w:numFmt w:val="bullet"/>
      <w:lvlText w:val=""/>
      <w:lvlJc w:val="left"/>
      <w:pPr>
        <w:ind w:left="1120" w:hanging="360"/>
      </w:pPr>
      <w:rPr>
        <w:rFonts w:ascii="Symbol" w:hAnsi="Symbol"/>
      </w:rPr>
    </w:lvl>
    <w:lvl w:ilvl="1" w:tplc="208CF212">
      <w:start w:val="1"/>
      <w:numFmt w:val="bullet"/>
      <w:lvlText w:val=""/>
      <w:lvlJc w:val="left"/>
      <w:pPr>
        <w:ind w:left="1120" w:hanging="360"/>
      </w:pPr>
      <w:rPr>
        <w:rFonts w:ascii="Symbol" w:hAnsi="Symbol"/>
      </w:rPr>
    </w:lvl>
    <w:lvl w:ilvl="2" w:tplc="589E4198">
      <w:start w:val="1"/>
      <w:numFmt w:val="bullet"/>
      <w:lvlText w:val=""/>
      <w:lvlJc w:val="left"/>
      <w:pPr>
        <w:ind w:left="1120" w:hanging="360"/>
      </w:pPr>
      <w:rPr>
        <w:rFonts w:ascii="Symbol" w:hAnsi="Symbol"/>
      </w:rPr>
    </w:lvl>
    <w:lvl w:ilvl="3" w:tplc="B5041364">
      <w:start w:val="1"/>
      <w:numFmt w:val="bullet"/>
      <w:lvlText w:val=""/>
      <w:lvlJc w:val="left"/>
      <w:pPr>
        <w:ind w:left="1120" w:hanging="360"/>
      </w:pPr>
      <w:rPr>
        <w:rFonts w:ascii="Symbol" w:hAnsi="Symbol"/>
      </w:rPr>
    </w:lvl>
    <w:lvl w:ilvl="4" w:tplc="450C6AC4">
      <w:start w:val="1"/>
      <w:numFmt w:val="bullet"/>
      <w:lvlText w:val=""/>
      <w:lvlJc w:val="left"/>
      <w:pPr>
        <w:ind w:left="1120" w:hanging="360"/>
      </w:pPr>
      <w:rPr>
        <w:rFonts w:ascii="Symbol" w:hAnsi="Symbol"/>
      </w:rPr>
    </w:lvl>
    <w:lvl w:ilvl="5" w:tplc="54105954">
      <w:start w:val="1"/>
      <w:numFmt w:val="bullet"/>
      <w:lvlText w:val=""/>
      <w:lvlJc w:val="left"/>
      <w:pPr>
        <w:ind w:left="1120" w:hanging="360"/>
      </w:pPr>
      <w:rPr>
        <w:rFonts w:ascii="Symbol" w:hAnsi="Symbol"/>
      </w:rPr>
    </w:lvl>
    <w:lvl w:ilvl="6" w:tplc="3ED276D8">
      <w:start w:val="1"/>
      <w:numFmt w:val="bullet"/>
      <w:lvlText w:val=""/>
      <w:lvlJc w:val="left"/>
      <w:pPr>
        <w:ind w:left="1120" w:hanging="360"/>
      </w:pPr>
      <w:rPr>
        <w:rFonts w:ascii="Symbol" w:hAnsi="Symbol"/>
      </w:rPr>
    </w:lvl>
    <w:lvl w:ilvl="7" w:tplc="D0585124">
      <w:start w:val="1"/>
      <w:numFmt w:val="bullet"/>
      <w:lvlText w:val=""/>
      <w:lvlJc w:val="left"/>
      <w:pPr>
        <w:ind w:left="1120" w:hanging="360"/>
      </w:pPr>
      <w:rPr>
        <w:rFonts w:ascii="Symbol" w:hAnsi="Symbol"/>
      </w:rPr>
    </w:lvl>
    <w:lvl w:ilvl="8" w:tplc="5A107B70">
      <w:start w:val="1"/>
      <w:numFmt w:val="bullet"/>
      <w:lvlText w:val=""/>
      <w:lvlJc w:val="left"/>
      <w:pPr>
        <w:ind w:left="1120" w:hanging="360"/>
      </w:pPr>
      <w:rPr>
        <w:rFonts w:ascii="Symbol" w:hAnsi="Symbol"/>
      </w:rPr>
    </w:lvl>
  </w:abstractNum>
  <w:abstractNum w:abstractNumId="4" w15:restartNumberingAfterBreak="0">
    <w:nsid w:val="0C694E14"/>
    <w:multiLevelType w:val="hybridMultilevel"/>
    <w:tmpl w:val="5420BC92"/>
    <w:lvl w:ilvl="0" w:tplc="DF0EA5AA">
      <w:start w:val="1"/>
      <w:numFmt w:val="bullet"/>
      <w:lvlText w:val=""/>
      <w:lvlJc w:val="left"/>
      <w:pPr>
        <w:ind w:left="1080" w:hanging="360"/>
      </w:pPr>
      <w:rPr>
        <w:rFonts w:ascii="Symbol" w:hAnsi="Symbol"/>
      </w:rPr>
    </w:lvl>
    <w:lvl w:ilvl="1" w:tplc="F51CB2C2">
      <w:start w:val="1"/>
      <w:numFmt w:val="bullet"/>
      <w:lvlText w:val=""/>
      <w:lvlJc w:val="left"/>
      <w:pPr>
        <w:ind w:left="1080" w:hanging="360"/>
      </w:pPr>
      <w:rPr>
        <w:rFonts w:ascii="Symbol" w:hAnsi="Symbol"/>
      </w:rPr>
    </w:lvl>
    <w:lvl w:ilvl="2" w:tplc="31F634E8">
      <w:start w:val="1"/>
      <w:numFmt w:val="bullet"/>
      <w:lvlText w:val=""/>
      <w:lvlJc w:val="left"/>
      <w:pPr>
        <w:ind w:left="1080" w:hanging="360"/>
      </w:pPr>
      <w:rPr>
        <w:rFonts w:ascii="Symbol" w:hAnsi="Symbol"/>
      </w:rPr>
    </w:lvl>
    <w:lvl w:ilvl="3" w:tplc="EEBEB028">
      <w:start w:val="1"/>
      <w:numFmt w:val="bullet"/>
      <w:lvlText w:val=""/>
      <w:lvlJc w:val="left"/>
      <w:pPr>
        <w:ind w:left="1080" w:hanging="360"/>
      </w:pPr>
      <w:rPr>
        <w:rFonts w:ascii="Symbol" w:hAnsi="Symbol"/>
      </w:rPr>
    </w:lvl>
    <w:lvl w:ilvl="4" w:tplc="97C85CFA">
      <w:start w:val="1"/>
      <w:numFmt w:val="bullet"/>
      <w:lvlText w:val=""/>
      <w:lvlJc w:val="left"/>
      <w:pPr>
        <w:ind w:left="1080" w:hanging="360"/>
      </w:pPr>
      <w:rPr>
        <w:rFonts w:ascii="Symbol" w:hAnsi="Symbol"/>
      </w:rPr>
    </w:lvl>
    <w:lvl w:ilvl="5" w:tplc="7C540E48">
      <w:start w:val="1"/>
      <w:numFmt w:val="bullet"/>
      <w:lvlText w:val=""/>
      <w:lvlJc w:val="left"/>
      <w:pPr>
        <w:ind w:left="1080" w:hanging="360"/>
      </w:pPr>
      <w:rPr>
        <w:rFonts w:ascii="Symbol" w:hAnsi="Symbol"/>
      </w:rPr>
    </w:lvl>
    <w:lvl w:ilvl="6" w:tplc="439C429A">
      <w:start w:val="1"/>
      <w:numFmt w:val="bullet"/>
      <w:lvlText w:val=""/>
      <w:lvlJc w:val="left"/>
      <w:pPr>
        <w:ind w:left="1080" w:hanging="360"/>
      </w:pPr>
      <w:rPr>
        <w:rFonts w:ascii="Symbol" w:hAnsi="Symbol"/>
      </w:rPr>
    </w:lvl>
    <w:lvl w:ilvl="7" w:tplc="818C80D0">
      <w:start w:val="1"/>
      <w:numFmt w:val="bullet"/>
      <w:lvlText w:val=""/>
      <w:lvlJc w:val="left"/>
      <w:pPr>
        <w:ind w:left="1080" w:hanging="360"/>
      </w:pPr>
      <w:rPr>
        <w:rFonts w:ascii="Symbol" w:hAnsi="Symbol"/>
      </w:rPr>
    </w:lvl>
    <w:lvl w:ilvl="8" w:tplc="411ADDA8">
      <w:start w:val="1"/>
      <w:numFmt w:val="bullet"/>
      <w:lvlText w:val=""/>
      <w:lvlJc w:val="left"/>
      <w:pPr>
        <w:ind w:left="1080" w:hanging="360"/>
      </w:pPr>
      <w:rPr>
        <w:rFonts w:ascii="Symbol" w:hAnsi="Symbol"/>
      </w:rPr>
    </w:lvl>
  </w:abstractNum>
  <w:abstractNum w:abstractNumId="5" w15:restartNumberingAfterBreak="0">
    <w:nsid w:val="10B46C0F"/>
    <w:multiLevelType w:val="hybridMultilevel"/>
    <w:tmpl w:val="93B048C0"/>
    <w:lvl w:ilvl="0" w:tplc="6B007FDC">
      <w:start w:val="1"/>
      <w:numFmt w:val="bullet"/>
      <w:lvlText w:val=""/>
      <w:lvlJc w:val="left"/>
      <w:pPr>
        <w:ind w:left="1120" w:hanging="360"/>
      </w:pPr>
      <w:rPr>
        <w:rFonts w:ascii="Symbol" w:hAnsi="Symbol"/>
      </w:rPr>
    </w:lvl>
    <w:lvl w:ilvl="1" w:tplc="ACD63C66">
      <w:start w:val="1"/>
      <w:numFmt w:val="bullet"/>
      <w:lvlText w:val=""/>
      <w:lvlJc w:val="left"/>
      <w:pPr>
        <w:ind w:left="1120" w:hanging="360"/>
      </w:pPr>
      <w:rPr>
        <w:rFonts w:ascii="Symbol" w:hAnsi="Symbol"/>
      </w:rPr>
    </w:lvl>
    <w:lvl w:ilvl="2" w:tplc="683ADF20">
      <w:start w:val="1"/>
      <w:numFmt w:val="bullet"/>
      <w:lvlText w:val=""/>
      <w:lvlJc w:val="left"/>
      <w:pPr>
        <w:ind w:left="1120" w:hanging="360"/>
      </w:pPr>
      <w:rPr>
        <w:rFonts w:ascii="Symbol" w:hAnsi="Symbol"/>
      </w:rPr>
    </w:lvl>
    <w:lvl w:ilvl="3" w:tplc="6320253A">
      <w:start w:val="1"/>
      <w:numFmt w:val="bullet"/>
      <w:lvlText w:val=""/>
      <w:lvlJc w:val="left"/>
      <w:pPr>
        <w:ind w:left="1120" w:hanging="360"/>
      </w:pPr>
      <w:rPr>
        <w:rFonts w:ascii="Symbol" w:hAnsi="Symbol"/>
      </w:rPr>
    </w:lvl>
    <w:lvl w:ilvl="4" w:tplc="6E10D332">
      <w:start w:val="1"/>
      <w:numFmt w:val="bullet"/>
      <w:lvlText w:val=""/>
      <w:lvlJc w:val="left"/>
      <w:pPr>
        <w:ind w:left="1120" w:hanging="360"/>
      </w:pPr>
      <w:rPr>
        <w:rFonts w:ascii="Symbol" w:hAnsi="Symbol"/>
      </w:rPr>
    </w:lvl>
    <w:lvl w:ilvl="5" w:tplc="D0AAA3F8">
      <w:start w:val="1"/>
      <w:numFmt w:val="bullet"/>
      <w:lvlText w:val=""/>
      <w:lvlJc w:val="left"/>
      <w:pPr>
        <w:ind w:left="1120" w:hanging="360"/>
      </w:pPr>
      <w:rPr>
        <w:rFonts w:ascii="Symbol" w:hAnsi="Symbol"/>
      </w:rPr>
    </w:lvl>
    <w:lvl w:ilvl="6" w:tplc="F392B4E2">
      <w:start w:val="1"/>
      <w:numFmt w:val="bullet"/>
      <w:lvlText w:val=""/>
      <w:lvlJc w:val="left"/>
      <w:pPr>
        <w:ind w:left="1120" w:hanging="360"/>
      </w:pPr>
      <w:rPr>
        <w:rFonts w:ascii="Symbol" w:hAnsi="Symbol"/>
      </w:rPr>
    </w:lvl>
    <w:lvl w:ilvl="7" w:tplc="F4503E5C">
      <w:start w:val="1"/>
      <w:numFmt w:val="bullet"/>
      <w:lvlText w:val=""/>
      <w:lvlJc w:val="left"/>
      <w:pPr>
        <w:ind w:left="1120" w:hanging="360"/>
      </w:pPr>
      <w:rPr>
        <w:rFonts w:ascii="Symbol" w:hAnsi="Symbol"/>
      </w:rPr>
    </w:lvl>
    <w:lvl w:ilvl="8" w:tplc="C90411BA">
      <w:start w:val="1"/>
      <w:numFmt w:val="bullet"/>
      <w:lvlText w:val=""/>
      <w:lvlJc w:val="left"/>
      <w:pPr>
        <w:ind w:left="1120" w:hanging="360"/>
      </w:pPr>
      <w:rPr>
        <w:rFonts w:ascii="Symbol" w:hAnsi="Symbol"/>
      </w:rPr>
    </w:lvl>
  </w:abstractNum>
  <w:abstractNum w:abstractNumId="6" w15:restartNumberingAfterBreak="0">
    <w:nsid w:val="117900AB"/>
    <w:multiLevelType w:val="hybridMultilevel"/>
    <w:tmpl w:val="A9B87774"/>
    <w:lvl w:ilvl="0" w:tplc="41A2694E">
      <w:start w:val="1"/>
      <w:numFmt w:val="bullet"/>
      <w:lvlText w:val=""/>
      <w:lvlJc w:val="left"/>
      <w:pPr>
        <w:ind w:left="1080" w:hanging="360"/>
      </w:pPr>
      <w:rPr>
        <w:rFonts w:ascii="Symbol" w:hAnsi="Symbol"/>
      </w:rPr>
    </w:lvl>
    <w:lvl w:ilvl="1" w:tplc="460A827C">
      <w:start w:val="1"/>
      <w:numFmt w:val="bullet"/>
      <w:lvlText w:val=""/>
      <w:lvlJc w:val="left"/>
      <w:pPr>
        <w:ind w:left="1080" w:hanging="360"/>
      </w:pPr>
      <w:rPr>
        <w:rFonts w:ascii="Symbol" w:hAnsi="Symbol"/>
      </w:rPr>
    </w:lvl>
    <w:lvl w:ilvl="2" w:tplc="41CA6564">
      <w:start w:val="1"/>
      <w:numFmt w:val="bullet"/>
      <w:lvlText w:val=""/>
      <w:lvlJc w:val="left"/>
      <w:pPr>
        <w:ind w:left="1080" w:hanging="360"/>
      </w:pPr>
      <w:rPr>
        <w:rFonts w:ascii="Symbol" w:hAnsi="Symbol"/>
      </w:rPr>
    </w:lvl>
    <w:lvl w:ilvl="3" w:tplc="0680B908">
      <w:start w:val="1"/>
      <w:numFmt w:val="bullet"/>
      <w:lvlText w:val=""/>
      <w:lvlJc w:val="left"/>
      <w:pPr>
        <w:ind w:left="1080" w:hanging="360"/>
      </w:pPr>
      <w:rPr>
        <w:rFonts w:ascii="Symbol" w:hAnsi="Symbol"/>
      </w:rPr>
    </w:lvl>
    <w:lvl w:ilvl="4" w:tplc="FE4E97E2">
      <w:start w:val="1"/>
      <w:numFmt w:val="bullet"/>
      <w:lvlText w:val=""/>
      <w:lvlJc w:val="left"/>
      <w:pPr>
        <w:ind w:left="1080" w:hanging="360"/>
      </w:pPr>
      <w:rPr>
        <w:rFonts w:ascii="Symbol" w:hAnsi="Symbol"/>
      </w:rPr>
    </w:lvl>
    <w:lvl w:ilvl="5" w:tplc="3594EB2A">
      <w:start w:val="1"/>
      <w:numFmt w:val="bullet"/>
      <w:lvlText w:val=""/>
      <w:lvlJc w:val="left"/>
      <w:pPr>
        <w:ind w:left="1080" w:hanging="360"/>
      </w:pPr>
      <w:rPr>
        <w:rFonts w:ascii="Symbol" w:hAnsi="Symbol"/>
      </w:rPr>
    </w:lvl>
    <w:lvl w:ilvl="6" w:tplc="41745F44">
      <w:start w:val="1"/>
      <w:numFmt w:val="bullet"/>
      <w:lvlText w:val=""/>
      <w:lvlJc w:val="left"/>
      <w:pPr>
        <w:ind w:left="1080" w:hanging="360"/>
      </w:pPr>
      <w:rPr>
        <w:rFonts w:ascii="Symbol" w:hAnsi="Symbol"/>
      </w:rPr>
    </w:lvl>
    <w:lvl w:ilvl="7" w:tplc="2330408A">
      <w:start w:val="1"/>
      <w:numFmt w:val="bullet"/>
      <w:lvlText w:val=""/>
      <w:lvlJc w:val="left"/>
      <w:pPr>
        <w:ind w:left="1080" w:hanging="360"/>
      </w:pPr>
      <w:rPr>
        <w:rFonts w:ascii="Symbol" w:hAnsi="Symbol"/>
      </w:rPr>
    </w:lvl>
    <w:lvl w:ilvl="8" w:tplc="3A483F28">
      <w:start w:val="1"/>
      <w:numFmt w:val="bullet"/>
      <w:lvlText w:val=""/>
      <w:lvlJc w:val="left"/>
      <w:pPr>
        <w:ind w:left="1080" w:hanging="360"/>
      </w:pPr>
      <w:rPr>
        <w:rFonts w:ascii="Symbol" w:hAnsi="Symbol"/>
      </w:rPr>
    </w:lvl>
  </w:abstractNum>
  <w:abstractNum w:abstractNumId="7" w15:restartNumberingAfterBreak="0">
    <w:nsid w:val="149D0E41"/>
    <w:multiLevelType w:val="hybridMultilevel"/>
    <w:tmpl w:val="2258CB9C"/>
    <w:lvl w:ilvl="0" w:tplc="A538C752">
      <w:start w:val="1"/>
      <w:numFmt w:val="bullet"/>
      <w:lvlText w:val=""/>
      <w:lvlJc w:val="left"/>
      <w:pPr>
        <w:ind w:left="720" w:hanging="360"/>
      </w:pPr>
      <w:rPr>
        <w:rFonts w:ascii="Symbol" w:hAnsi="Symbol"/>
      </w:rPr>
    </w:lvl>
    <w:lvl w:ilvl="1" w:tplc="3D8A5A62">
      <w:start w:val="1"/>
      <w:numFmt w:val="bullet"/>
      <w:lvlText w:val=""/>
      <w:lvlJc w:val="left"/>
      <w:pPr>
        <w:ind w:left="720" w:hanging="360"/>
      </w:pPr>
      <w:rPr>
        <w:rFonts w:ascii="Symbol" w:hAnsi="Symbol"/>
      </w:rPr>
    </w:lvl>
    <w:lvl w:ilvl="2" w:tplc="BFACC03C">
      <w:start w:val="1"/>
      <w:numFmt w:val="bullet"/>
      <w:lvlText w:val=""/>
      <w:lvlJc w:val="left"/>
      <w:pPr>
        <w:ind w:left="720" w:hanging="360"/>
      </w:pPr>
      <w:rPr>
        <w:rFonts w:ascii="Symbol" w:hAnsi="Symbol"/>
      </w:rPr>
    </w:lvl>
    <w:lvl w:ilvl="3" w:tplc="704C9872">
      <w:start w:val="1"/>
      <w:numFmt w:val="bullet"/>
      <w:lvlText w:val=""/>
      <w:lvlJc w:val="left"/>
      <w:pPr>
        <w:ind w:left="720" w:hanging="360"/>
      </w:pPr>
      <w:rPr>
        <w:rFonts w:ascii="Symbol" w:hAnsi="Symbol"/>
      </w:rPr>
    </w:lvl>
    <w:lvl w:ilvl="4" w:tplc="CBDEB8AA">
      <w:start w:val="1"/>
      <w:numFmt w:val="bullet"/>
      <w:lvlText w:val=""/>
      <w:lvlJc w:val="left"/>
      <w:pPr>
        <w:ind w:left="720" w:hanging="360"/>
      </w:pPr>
      <w:rPr>
        <w:rFonts w:ascii="Symbol" w:hAnsi="Symbol"/>
      </w:rPr>
    </w:lvl>
    <w:lvl w:ilvl="5" w:tplc="E328330C">
      <w:start w:val="1"/>
      <w:numFmt w:val="bullet"/>
      <w:lvlText w:val=""/>
      <w:lvlJc w:val="left"/>
      <w:pPr>
        <w:ind w:left="720" w:hanging="360"/>
      </w:pPr>
      <w:rPr>
        <w:rFonts w:ascii="Symbol" w:hAnsi="Symbol"/>
      </w:rPr>
    </w:lvl>
    <w:lvl w:ilvl="6" w:tplc="9998F7D6">
      <w:start w:val="1"/>
      <w:numFmt w:val="bullet"/>
      <w:lvlText w:val=""/>
      <w:lvlJc w:val="left"/>
      <w:pPr>
        <w:ind w:left="720" w:hanging="360"/>
      </w:pPr>
      <w:rPr>
        <w:rFonts w:ascii="Symbol" w:hAnsi="Symbol"/>
      </w:rPr>
    </w:lvl>
    <w:lvl w:ilvl="7" w:tplc="6E285046">
      <w:start w:val="1"/>
      <w:numFmt w:val="bullet"/>
      <w:lvlText w:val=""/>
      <w:lvlJc w:val="left"/>
      <w:pPr>
        <w:ind w:left="720" w:hanging="360"/>
      </w:pPr>
      <w:rPr>
        <w:rFonts w:ascii="Symbol" w:hAnsi="Symbol"/>
      </w:rPr>
    </w:lvl>
    <w:lvl w:ilvl="8" w:tplc="E97A8FE0">
      <w:start w:val="1"/>
      <w:numFmt w:val="bullet"/>
      <w:lvlText w:val=""/>
      <w:lvlJc w:val="left"/>
      <w:pPr>
        <w:ind w:left="720" w:hanging="360"/>
      </w:pPr>
      <w:rPr>
        <w:rFonts w:ascii="Symbol" w:hAnsi="Symbol"/>
      </w:rPr>
    </w:lvl>
  </w:abstractNum>
  <w:abstractNum w:abstractNumId="8" w15:restartNumberingAfterBreak="0">
    <w:nsid w:val="1774750D"/>
    <w:multiLevelType w:val="hybridMultilevel"/>
    <w:tmpl w:val="9846344E"/>
    <w:lvl w:ilvl="0" w:tplc="FF643742">
      <w:start w:val="1"/>
      <w:numFmt w:val="bullet"/>
      <w:lvlText w:val=""/>
      <w:lvlJc w:val="left"/>
      <w:pPr>
        <w:ind w:left="1120" w:hanging="360"/>
      </w:pPr>
      <w:rPr>
        <w:rFonts w:ascii="Symbol" w:hAnsi="Symbol"/>
      </w:rPr>
    </w:lvl>
    <w:lvl w:ilvl="1" w:tplc="4DEA739A">
      <w:start w:val="1"/>
      <w:numFmt w:val="bullet"/>
      <w:lvlText w:val=""/>
      <w:lvlJc w:val="left"/>
      <w:pPr>
        <w:ind w:left="1120" w:hanging="360"/>
      </w:pPr>
      <w:rPr>
        <w:rFonts w:ascii="Symbol" w:hAnsi="Symbol"/>
      </w:rPr>
    </w:lvl>
    <w:lvl w:ilvl="2" w:tplc="3E328226">
      <w:start w:val="1"/>
      <w:numFmt w:val="bullet"/>
      <w:lvlText w:val=""/>
      <w:lvlJc w:val="left"/>
      <w:pPr>
        <w:ind w:left="1120" w:hanging="360"/>
      </w:pPr>
      <w:rPr>
        <w:rFonts w:ascii="Symbol" w:hAnsi="Symbol"/>
      </w:rPr>
    </w:lvl>
    <w:lvl w:ilvl="3" w:tplc="6C3A7DEC">
      <w:start w:val="1"/>
      <w:numFmt w:val="bullet"/>
      <w:lvlText w:val=""/>
      <w:lvlJc w:val="left"/>
      <w:pPr>
        <w:ind w:left="1120" w:hanging="360"/>
      </w:pPr>
      <w:rPr>
        <w:rFonts w:ascii="Symbol" w:hAnsi="Symbol"/>
      </w:rPr>
    </w:lvl>
    <w:lvl w:ilvl="4" w:tplc="6A605D1C">
      <w:start w:val="1"/>
      <w:numFmt w:val="bullet"/>
      <w:lvlText w:val=""/>
      <w:lvlJc w:val="left"/>
      <w:pPr>
        <w:ind w:left="1120" w:hanging="360"/>
      </w:pPr>
      <w:rPr>
        <w:rFonts w:ascii="Symbol" w:hAnsi="Symbol"/>
      </w:rPr>
    </w:lvl>
    <w:lvl w:ilvl="5" w:tplc="79C041F2">
      <w:start w:val="1"/>
      <w:numFmt w:val="bullet"/>
      <w:lvlText w:val=""/>
      <w:lvlJc w:val="left"/>
      <w:pPr>
        <w:ind w:left="1120" w:hanging="360"/>
      </w:pPr>
      <w:rPr>
        <w:rFonts w:ascii="Symbol" w:hAnsi="Symbol"/>
      </w:rPr>
    </w:lvl>
    <w:lvl w:ilvl="6" w:tplc="3BD81CBC">
      <w:start w:val="1"/>
      <w:numFmt w:val="bullet"/>
      <w:lvlText w:val=""/>
      <w:lvlJc w:val="left"/>
      <w:pPr>
        <w:ind w:left="1120" w:hanging="360"/>
      </w:pPr>
      <w:rPr>
        <w:rFonts w:ascii="Symbol" w:hAnsi="Symbol"/>
      </w:rPr>
    </w:lvl>
    <w:lvl w:ilvl="7" w:tplc="9E1C176C">
      <w:start w:val="1"/>
      <w:numFmt w:val="bullet"/>
      <w:lvlText w:val=""/>
      <w:lvlJc w:val="left"/>
      <w:pPr>
        <w:ind w:left="1120" w:hanging="360"/>
      </w:pPr>
      <w:rPr>
        <w:rFonts w:ascii="Symbol" w:hAnsi="Symbol"/>
      </w:rPr>
    </w:lvl>
    <w:lvl w:ilvl="8" w:tplc="D2CC8B4A">
      <w:start w:val="1"/>
      <w:numFmt w:val="bullet"/>
      <w:lvlText w:val=""/>
      <w:lvlJc w:val="left"/>
      <w:pPr>
        <w:ind w:left="1120" w:hanging="360"/>
      </w:pPr>
      <w:rPr>
        <w:rFonts w:ascii="Symbol" w:hAnsi="Symbol"/>
      </w:rPr>
    </w:lvl>
  </w:abstractNum>
  <w:abstractNum w:abstractNumId="9" w15:restartNumberingAfterBreak="0">
    <w:nsid w:val="1AD35591"/>
    <w:multiLevelType w:val="multilevel"/>
    <w:tmpl w:val="FE943D62"/>
    <w:lvl w:ilvl="0">
      <w:start w:val="1"/>
      <w:numFmt w:val="decimal"/>
      <w:lvlText w:val="%1."/>
      <w:lvlJc w:val="left"/>
      <w:pPr>
        <w:ind w:left="786"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1BA54B50"/>
    <w:multiLevelType w:val="hybridMultilevel"/>
    <w:tmpl w:val="41DCDF76"/>
    <w:lvl w:ilvl="0" w:tplc="EE302E0C">
      <w:start w:val="1"/>
      <w:numFmt w:val="bullet"/>
      <w:lvlText w:val=""/>
      <w:lvlJc w:val="left"/>
      <w:pPr>
        <w:ind w:left="1120" w:hanging="360"/>
      </w:pPr>
      <w:rPr>
        <w:rFonts w:ascii="Symbol" w:hAnsi="Symbol"/>
      </w:rPr>
    </w:lvl>
    <w:lvl w:ilvl="1" w:tplc="47B417AE">
      <w:start w:val="1"/>
      <w:numFmt w:val="bullet"/>
      <w:lvlText w:val=""/>
      <w:lvlJc w:val="left"/>
      <w:pPr>
        <w:ind w:left="1480" w:hanging="360"/>
      </w:pPr>
      <w:rPr>
        <w:rFonts w:ascii="Symbol" w:hAnsi="Symbol"/>
      </w:rPr>
    </w:lvl>
    <w:lvl w:ilvl="2" w:tplc="7D92DE3A">
      <w:start w:val="1"/>
      <w:numFmt w:val="bullet"/>
      <w:lvlText w:val=""/>
      <w:lvlJc w:val="left"/>
      <w:pPr>
        <w:ind w:left="1120" w:hanging="360"/>
      </w:pPr>
      <w:rPr>
        <w:rFonts w:ascii="Symbol" w:hAnsi="Symbol"/>
      </w:rPr>
    </w:lvl>
    <w:lvl w:ilvl="3" w:tplc="1BACFB30">
      <w:start w:val="1"/>
      <w:numFmt w:val="bullet"/>
      <w:lvlText w:val=""/>
      <w:lvlJc w:val="left"/>
      <w:pPr>
        <w:ind w:left="1120" w:hanging="360"/>
      </w:pPr>
      <w:rPr>
        <w:rFonts w:ascii="Symbol" w:hAnsi="Symbol"/>
      </w:rPr>
    </w:lvl>
    <w:lvl w:ilvl="4" w:tplc="275A2036">
      <w:start w:val="1"/>
      <w:numFmt w:val="bullet"/>
      <w:lvlText w:val=""/>
      <w:lvlJc w:val="left"/>
      <w:pPr>
        <w:ind w:left="1120" w:hanging="360"/>
      </w:pPr>
      <w:rPr>
        <w:rFonts w:ascii="Symbol" w:hAnsi="Symbol"/>
      </w:rPr>
    </w:lvl>
    <w:lvl w:ilvl="5" w:tplc="230E1796">
      <w:start w:val="1"/>
      <w:numFmt w:val="bullet"/>
      <w:lvlText w:val=""/>
      <w:lvlJc w:val="left"/>
      <w:pPr>
        <w:ind w:left="1120" w:hanging="360"/>
      </w:pPr>
      <w:rPr>
        <w:rFonts w:ascii="Symbol" w:hAnsi="Symbol"/>
      </w:rPr>
    </w:lvl>
    <w:lvl w:ilvl="6" w:tplc="5680C03A">
      <w:start w:val="1"/>
      <w:numFmt w:val="bullet"/>
      <w:lvlText w:val=""/>
      <w:lvlJc w:val="left"/>
      <w:pPr>
        <w:ind w:left="1120" w:hanging="360"/>
      </w:pPr>
      <w:rPr>
        <w:rFonts w:ascii="Symbol" w:hAnsi="Symbol"/>
      </w:rPr>
    </w:lvl>
    <w:lvl w:ilvl="7" w:tplc="F238CD58">
      <w:start w:val="1"/>
      <w:numFmt w:val="bullet"/>
      <w:lvlText w:val=""/>
      <w:lvlJc w:val="left"/>
      <w:pPr>
        <w:ind w:left="1120" w:hanging="360"/>
      </w:pPr>
      <w:rPr>
        <w:rFonts w:ascii="Symbol" w:hAnsi="Symbol"/>
      </w:rPr>
    </w:lvl>
    <w:lvl w:ilvl="8" w:tplc="607AB9B0">
      <w:start w:val="1"/>
      <w:numFmt w:val="bullet"/>
      <w:lvlText w:val=""/>
      <w:lvlJc w:val="left"/>
      <w:pPr>
        <w:ind w:left="1120" w:hanging="360"/>
      </w:pPr>
      <w:rPr>
        <w:rFonts w:ascii="Symbol" w:hAnsi="Symbol"/>
      </w:rPr>
    </w:lvl>
  </w:abstractNum>
  <w:abstractNum w:abstractNumId="11" w15:restartNumberingAfterBreak="0">
    <w:nsid w:val="1DA21337"/>
    <w:multiLevelType w:val="hybridMultilevel"/>
    <w:tmpl w:val="A0E8954C"/>
    <w:lvl w:ilvl="0" w:tplc="253A9BDC">
      <w:start w:val="1"/>
      <w:numFmt w:val="bullet"/>
      <w:lvlText w:val=""/>
      <w:lvlJc w:val="left"/>
      <w:pPr>
        <w:ind w:left="720" w:hanging="360"/>
      </w:pPr>
      <w:rPr>
        <w:rFonts w:ascii="Symbol" w:hAnsi="Symbol"/>
      </w:rPr>
    </w:lvl>
    <w:lvl w:ilvl="1" w:tplc="DC88CBB0">
      <w:start w:val="1"/>
      <w:numFmt w:val="bullet"/>
      <w:lvlText w:val=""/>
      <w:lvlJc w:val="left"/>
      <w:pPr>
        <w:ind w:left="720" w:hanging="360"/>
      </w:pPr>
      <w:rPr>
        <w:rFonts w:ascii="Symbol" w:hAnsi="Symbol"/>
      </w:rPr>
    </w:lvl>
    <w:lvl w:ilvl="2" w:tplc="940C1142">
      <w:start w:val="1"/>
      <w:numFmt w:val="bullet"/>
      <w:lvlText w:val=""/>
      <w:lvlJc w:val="left"/>
      <w:pPr>
        <w:ind w:left="720" w:hanging="360"/>
      </w:pPr>
      <w:rPr>
        <w:rFonts w:ascii="Symbol" w:hAnsi="Symbol"/>
      </w:rPr>
    </w:lvl>
    <w:lvl w:ilvl="3" w:tplc="6F942216">
      <w:start w:val="1"/>
      <w:numFmt w:val="bullet"/>
      <w:lvlText w:val=""/>
      <w:lvlJc w:val="left"/>
      <w:pPr>
        <w:ind w:left="720" w:hanging="360"/>
      </w:pPr>
      <w:rPr>
        <w:rFonts w:ascii="Symbol" w:hAnsi="Symbol"/>
      </w:rPr>
    </w:lvl>
    <w:lvl w:ilvl="4" w:tplc="E6EC6986">
      <w:start w:val="1"/>
      <w:numFmt w:val="bullet"/>
      <w:lvlText w:val=""/>
      <w:lvlJc w:val="left"/>
      <w:pPr>
        <w:ind w:left="720" w:hanging="360"/>
      </w:pPr>
      <w:rPr>
        <w:rFonts w:ascii="Symbol" w:hAnsi="Symbol"/>
      </w:rPr>
    </w:lvl>
    <w:lvl w:ilvl="5" w:tplc="BE148794">
      <w:start w:val="1"/>
      <w:numFmt w:val="bullet"/>
      <w:lvlText w:val=""/>
      <w:lvlJc w:val="left"/>
      <w:pPr>
        <w:ind w:left="720" w:hanging="360"/>
      </w:pPr>
      <w:rPr>
        <w:rFonts w:ascii="Symbol" w:hAnsi="Symbol"/>
      </w:rPr>
    </w:lvl>
    <w:lvl w:ilvl="6" w:tplc="B9883D94">
      <w:start w:val="1"/>
      <w:numFmt w:val="bullet"/>
      <w:lvlText w:val=""/>
      <w:lvlJc w:val="left"/>
      <w:pPr>
        <w:ind w:left="720" w:hanging="360"/>
      </w:pPr>
      <w:rPr>
        <w:rFonts w:ascii="Symbol" w:hAnsi="Symbol"/>
      </w:rPr>
    </w:lvl>
    <w:lvl w:ilvl="7" w:tplc="B1D820EC">
      <w:start w:val="1"/>
      <w:numFmt w:val="bullet"/>
      <w:lvlText w:val=""/>
      <w:lvlJc w:val="left"/>
      <w:pPr>
        <w:ind w:left="720" w:hanging="360"/>
      </w:pPr>
      <w:rPr>
        <w:rFonts w:ascii="Symbol" w:hAnsi="Symbol"/>
      </w:rPr>
    </w:lvl>
    <w:lvl w:ilvl="8" w:tplc="5E2C28FA">
      <w:start w:val="1"/>
      <w:numFmt w:val="bullet"/>
      <w:lvlText w:val=""/>
      <w:lvlJc w:val="left"/>
      <w:pPr>
        <w:ind w:left="720" w:hanging="360"/>
      </w:pPr>
      <w:rPr>
        <w:rFonts w:ascii="Symbol" w:hAnsi="Symbol"/>
      </w:rPr>
    </w:lvl>
  </w:abstractNum>
  <w:abstractNum w:abstractNumId="12" w15:restartNumberingAfterBreak="0">
    <w:nsid w:val="23176FAF"/>
    <w:multiLevelType w:val="hybridMultilevel"/>
    <w:tmpl w:val="CC3E1934"/>
    <w:lvl w:ilvl="0" w:tplc="5816D2AC">
      <w:start w:val="1"/>
      <w:numFmt w:val="bullet"/>
      <w:lvlText w:val=""/>
      <w:lvlJc w:val="left"/>
      <w:pPr>
        <w:ind w:left="1120" w:hanging="360"/>
      </w:pPr>
      <w:rPr>
        <w:rFonts w:ascii="Symbol" w:hAnsi="Symbol"/>
      </w:rPr>
    </w:lvl>
    <w:lvl w:ilvl="1" w:tplc="990A918C">
      <w:start w:val="1"/>
      <w:numFmt w:val="bullet"/>
      <w:lvlText w:val=""/>
      <w:lvlJc w:val="left"/>
      <w:pPr>
        <w:ind w:left="1120" w:hanging="360"/>
      </w:pPr>
      <w:rPr>
        <w:rFonts w:ascii="Symbol" w:hAnsi="Symbol"/>
      </w:rPr>
    </w:lvl>
    <w:lvl w:ilvl="2" w:tplc="29EEFDBC">
      <w:start w:val="1"/>
      <w:numFmt w:val="bullet"/>
      <w:lvlText w:val=""/>
      <w:lvlJc w:val="left"/>
      <w:pPr>
        <w:ind w:left="1120" w:hanging="360"/>
      </w:pPr>
      <w:rPr>
        <w:rFonts w:ascii="Symbol" w:hAnsi="Symbol"/>
      </w:rPr>
    </w:lvl>
    <w:lvl w:ilvl="3" w:tplc="C9A65DE0">
      <w:start w:val="1"/>
      <w:numFmt w:val="bullet"/>
      <w:lvlText w:val=""/>
      <w:lvlJc w:val="left"/>
      <w:pPr>
        <w:ind w:left="1120" w:hanging="360"/>
      </w:pPr>
      <w:rPr>
        <w:rFonts w:ascii="Symbol" w:hAnsi="Symbol"/>
      </w:rPr>
    </w:lvl>
    <w:lvl w:ilvl="4" w:tplc="C3040336">
      <w:start w:val="1"/>
      <w:numFmt w:val="bullet"/>
      <w:lvlText w:val=""/>
      <w:lvlJc w:val="left"/>
      <w:pPr>
        <w:ind w:left="1120" w:hanging="360"/>
      </w:pPr>
      <w:rPr>
        <w:rFonts w:ascii="Symbol" w:hAnsi="Symbol"/>
      </w:rPr>
    </w:lvl>
    <w:lvl w:ilvl="5" w:tplc="7346D8F4">
      <w:start w:val="1"/>
      <w:numFmt w:val="bullet"/>
      <w:lvlText w:val=""/>
      <w:lvlJc w:val="left"/>
      <w:pPr>
        <w:ind w:left="1120" w:hanging="360"/>
      </w:pPr>
      <w:rPr>
        <w:rFonts w:ascii="Symbol" w:hAnsi="Symbol"/>
      </w:rPr>
    </w:lvl>
    <w:lvl w:ilvl="6" w:tplc="CB78460A">
      <w:start w:val="1"/>
      <w:numFmt w:val="bullet"/>
      <w:lvlText w:val=""/>
      <w:lvlJc w:val="left"/>
      <w:pPr>
        <w:ind w:left="1120" w:hanging="360"/>
      </w:pPr>
      <w:rPr>
        <w:rFonts w:ascii="Symbol" w:hAnsi="Symbol"/>
      </w:rPr>
    </w:lvl>
    <w:lvl w:ilvl="7" w:tplc="642459E6">
      <w:start w:val="1"/>
      <w:numFmt w:val="bullet"/>
      <w:lvlText w:val=""/>
      <w:lvlJc w:val="left"/>
      <w:pPr>
        <w:ind w:left="1120" w:hanging="360"/>
      </w:pPr>
      <w:rPr>
        <w:rFonts w:ascii="Symbol" w:hAnsi="Symbol"/>
      </w:rPr>
    </w:lvl>
    <w:lvl w:ilvl="8" w:tplc="3ACADA82">
      <w:start w:val="1"/>
      <w:numFmt w:val="bullet"/>
      <w:lvlText w:val=""/>
      <w:lvlJc w:val="left"/>
      <w:pPr>
        <w:ind w:left="1120" w:hanging="360"/>
      </w:pPr>
      <w:rPr>
        <w:rFonts w:ascii="Symbol" w:hAnsi="Symbol"/>
      </w:rPr>
    </w:lvl>
  </w:abstractNum>
  <w:abstractNum w:abstractNumId="13" w15:restartNumberingAfterBreak="0">
    <w:nsid w:val="24AF0962"/>
    <w:multiLevelType w:val="hybridMultilevel"/>
    <w:tmpl w:val="50F41DA4"/>
    <w:lvl w:ilvl="0" w:tplc="A4967D32">
      <w:start w:val="1"/>
      <w:numFmt w:val="bullet"/>
      <w:lvlText w:val=""/>
      <w:lvlJc w:val="left"/>
      <w:pPr>
        <w:ind w:left="1120" w:hanging="360"/>
      </w:pPr>
      <w:rPr>
        <w:rFonts w:ascii="Symbol" w:hAnsi="Symbol"/>
      </w:rPr>
    </w:lvl>
    <w:lvl w:ilvl="1" w:tplc="43FA5302">
      <w:start w:val="1"/>
      <w:numFmt w:val="bullet"/>
      <w:lvlText w:val=""/>
      <w:lvlJc w:val="left"/>
      <w:pPr>
        <w:ind w:left="1120" w:hanging="360"/>
      </w:pPr>
      <w:rPr>
        <w:rFonts w:ascii="Symbol" w:hAnsi="Symbol"/>
      </w:rPr>
    </w:lvl>
    <w:lvl w:ilvl="2" w:tplc="E56E27D6">
      <w:start w:val="1"/>
      <w:numFmt w:val="bullet"/>
      <w:lvlText w:val=""/>
      <w:lvlJc w:val="left"/>
      <w:pPr>
        <w:ind w:left="1120" w:hanging="360"/>
      </w:pPr>
      <w:rPr>
        <w:rFonts w:ascii="Symbol" w:hAnsi="Symbol"/>
      </w:rPr>
    </w:lvl>
    <w:lvl w:ilvl="3" w:tplc="952A17B4">
      <w:start w:val="1"/>
      <w:numFmt w:val="bullet"/>
      <w:lvlText w:val=""/>
      <w:lvlJc w:val="left"/>
      <w:pPr>
        <w:ind w:left="1120" w:hanging="360"/>
      </w:pPr>
      <w:rPr>
        <w:rFonts w:ascii="Symbol" w:hAnsi="Symbol"/>
      </w:rPr>
    </w:lvl>
    <w:lvl w:ilvl="4" w:tplc="97F886C2">
      <w:start w:val="1"/>
      <w:numFmt w:val="bullet"/>
      <w:lvlText w:val=""/>
      <w:lvlJc w:val="left"/>
      <w:pPr>
        <w:ind w:left="1120" w:hanging="360"/>
      </w:pPr>
      <w:rPr>
        <w:rFonts w:ascii="Symbol" w:hAnsi="Symbol"/>
      </w:rPr>
    </w:lvl>
    <w:lvl w:ilvl="5" w:tplc="35926ADE">
      <w:start w:val="1"/>
      <w:numFmt w:val="bullet"/>
      <w:lvlText w:val=""/>
      <w:lvlJc w:val="left"/>
      <w:pPr>
        <w:ind w:left="1120" w:hanging="360"/>
      </w:pPr>
      <w:rPr>
        <w:rFonts w:ascii="Symbol" w:hAnsi="Symbol"/>
      </w:rPr>
    </w:lvl>
    <w:lvl w:ilvl="6" w:tplc="2272B340">
      <w:start w:val="1"/>
      <w:numFmt w:val="bullet"/>
      <w:lvlText w:val=""/>
      <w:lvlJc w:val="left"/>
      <w:pPr>
        <w:ind w:left="1120" w:hanging="360"/>
      </w:pPr>
      <w:rPr>
        <w:rFonts w:ascii="Symbol" w:hAnsi="Symbol"/>
      </w:rPr>
    </w:lvl>
    <w:lvl w:ilvl="7" w:tplc="2AC41064">
      <w:start w:val="1"/>
      <w:numFmt w:val="bullet"/>
      <w:lvlText w:val=""/>
      <w:lvlJc w:val="left"/>
      <w:pPr>
        <w:ind w:left="1120" w:hanging="360"/>
      </w:pPr>
      <w:rPr>
        <w:rFonts w:ascii="Symbol" w:hAnsi="Symbol"/>
      </w:rPr>
    </w:lvl>
    <w:lvl w:ilvl="8" w:tplc="30081B4E">
      <w:start w:val="1"/>
      <w:numFmt w:val="bullet"/>
      <w:lvlText w:val=""/>
      <w:lvlJc w:val="left"/>
      <w:pPr>
        <w:ind w:left="1120" w:hanging="360"/>
      </w:pPr>
      <w:rPr>
        <w:rFonts w:ascii="Symbol" w:hAnsi="Symbol"/>
      </w:rPr>
    </w:lvl>
  </w:abstractNum>
  <w:abstractNum w:abstractNumId="14" w15:restartNumberingAfterBreak="0">
    <w:nsid w:val="26553B30"/>
    <w:multiLevelType w:val="hybridMultilevel"/>
    <w:tmpl w:val="E17E3C74"/>
    <w:lvl w:ilvl="0" w:tplc="98FEC5C2">
      <w:start w:val="1"/>
      <w:numFmt w:val="bullet"/>
      <w:lvlText w:val=""/>
      <w:lvlJc w:val="left"/>
      <w:pPr>
        <w:ind w:left="1120" w:hanging="360"/>
      </w:pPr>
      <w:rPr>
        <w:rFonts w:ascii="Symbol" w:hAnsi="Symbol"/>
      </w:rPr>
    </w:lvl>
    <w:lvl w:ilvl="1" w:tplc="401E2F74">
      <w:start w:val="1"/>
      <w:numFmt w:val="bullet"/>
      <w:lvlText w:val=""/>
      <w:lvlJc w:val="left"/>
      <w:pPr>
        <w:ind w:left="1120" w:hanging="360"/>
      </w:pPr>
      <w:rPr>
        <w:rFonts w:ascii="Symbol" w:hAnsi="Symbol"/>
      </w:rPr>
    </w:lvl>
    <w:lvl w:ilvl="2" w:tplc="D9FC3190">
      <w:start w:val="1"/>
      <w:numFmt w:val="bullet"/>
      <w:lvlText w:val=""/>
      <w:lvlJc w:val="left"/>
      <w:pPr>
        <w:ind w:left="1120" w:hanging="360"/>
      </w:pPr>
      <w:rPr>
        <w:rFonts w:ascii="Symbol" w:hAnsi="Symbol"/>
      </w:rPr>
    </w:lvl>
    <w:lvl w:ilvl="3" w:tplc="BE5C681A">
      <w:start w:val="1"/>
      <w:numFmt w:val="bullet"/>
      <w:lvlText w:val=""/>
      <w:lvlJc w:val="left"/>
      <w:pPr>
        <w:ind w:left="1120" w:hanging="360"/>
      </w:pPr>
      <w:rPr>
        <w:rFonts w:ascii="Symbol" w:hAnsi="Symbol"/>
      </w:rPr>
    </w:lvl>
    <w:lvl w:ilvl="4" w:tplc="21949922">
      <w:start w:val="1"/>
      <w:numFmt w:val="bullet"/>
      <w:lvlText w:val=""/>
      <w:lvlJc w:val="left"/>
      <w:pPr>
        <w:ind w:left="1120" w:hanging="360"/>
      </w:pPr>
      <w:rPr>
        <w:rFonts w:ascii="Symbol" w:hAnsi="Symbol"/>
      </w:rPr>
    </w:lvl>
    <w:lvl w:ilvl="5" w:tplc="3F1209AC">
      <w:start w:val="1"/>
      <w:numFmt w:val="bullet"/>
      <w:lvlText w:val=""/>
      <w:lvlJc w:val="left"/>
      <w:pPr>
        <w:ind w:left="1120" w:hanging="360"/>
      </w:pPr>
      <w:rPr>
        <w:rFonts w:ascii="Symbol" w:hAnsi="Symbol"/>
      </w:rPr>
    </w:lvl>
    <w:lvl w:ilvl="6" w:tplc="65AAAF5E">
      <w:start w:val="1"/>
      <w:numFmt w:val="bullet"/>
      <w:lvlText w:val=""/>
      <w:lvlJc w:val="left"/>
      <w:pPr>
        <w:ind w:left="1120" w:hanging="360"/>
      </w:pPr>
      <w:rPr>
        <w:rFonts w:ascii="Symbol" w:hAnsi="Symbol"/>
      </w:rPr>
    </w:lvl>
    <w:lvl w:ilvl="7" w:tplc="2828FB98">
      <w:start w:val="1"/>
      <w:numFmt w:val="bullet"/>
      <w:lvlText w:val=""/>
      <w:lvlJc w:val="left"/>
      <w:pPr>
        <w:ind w:left="1120" w:hanging="360"/>
      </w:pPr>
      <w:rPr>
        <w:rFonts w:ascii="Symbol" w:hAnsi="Symbol"/>
      </w:rPr>
    </w:lvl>
    <w:lvl w:ilvl="8" w:tplc="AF5CDEC2">
      <w:start w:val="1"/>
      <w:numFmt w:val="bullet"/>
      <w:lvlText w:val=""/>
      <w:lvlJc w:val="left"/>
      <w:pPr>
        <w:ind w:left="1120" w:hanging="360"/>
      </w:pPr>
      <w:rPr>
        <w:rFonts w:ascii="Symbol" w:hAnsi="Symbol"/>
      </w:rPr>
    </w:lvl>
  </w:abstractNum>
  <w:abstractNum w:abstractNumId="15" w15:restartNumberingAfterBreak="0">
    <w:nsid w:val="27396618"/>
    <w:multiLevelType w:val="hybridMultilevel"/>
    <w:tmpl w:val="F4DC35EC"/>
    <w:lvl w:ilvl="0" w:tplc="FF4A74C0">
      <w:start w:val="1"/>
      <w:numFmt w:val="bullet"/>
      <w:lvlText w:val=""/>
      <w:lvlJc w:val="left"/>
      <w:pPr>
        <w:ind w:left="1120" w:hanging="360"/>
      </w:pPr>
      <w:rPr>
        <w:rFonts w:ascii="Symbol" w:hAnsi="Symbol"/>
      </w:rPr>
    </w:lvl>
    <w:lvl w:ilvl="1" w:tplc="71C06F02">
      <w:start w:val="1"/>
      <w:numFmt w:val="bullet"/>
      <w:lvlText w:val=""/>
      <w:lvlJc w:val="left"/>
      <w:pPr>
        <w:ind w:left="1120" w:hanging="360"/>
      </w:pPr>
      <w:rPr>
        <w:rFonts w:ascii="Symbol" w:hAnsi="Symbol"/>
      </w:rPr>
    </w:lvl>
    <w:lvl w:ilvl="2" w:tplc="0BFAF156">
      <w:start w:val="1"/>
      <w:numFmt w:val="bullet"/>
      <w:lvlText w:val=""/>
      <w:lvlJc w:val="left"/>
      <w:pPr>
        <w:ind w:left="1120" w:hanging="360"/>
      </w:pPr>
      <w:rPr>
        <w:rFonts w:ascii="Symbol" w:hAnsi="Symbol"/>
      </w:rPr>
    </w:lvl>
    <w:lvl w:ilvl="3" w:tplc="3A3A54AC">
      <w:start w:val="1"/>
      <w:numFmt w:val="bullet"/>
      <w:lvlText w:val=""/>
      <w:lvlJc w:val="left"/>
      <w:pPr>
        <w:ind w:left="1120" w:hanging="360"/>
      </w:pPr>
      <w:rPr>
        <w:rFonts w:ascii="Symbol" w:hAnsi="Symbol"/>
      </w:rPr>
    </w:lvl>
    <w:lvl w:ilvl="4" w:tplc="B5786AD4">
      <w:start w:val="1"/>
      <w:numFmt w:val="bullet"/>
      <w:lvlText w:val=""/>
      <w:lvlJc w:val="left"/>
      <w:pPr>
        <w:ind w:left="1120" w:hanging="360"/>
      </w:pPr>
      <w:rPr>
        <w:rFonts w:ascii="Symbol" w:hAnsi="Symbol"/>
      </w:rPr>
    </w:lvl>
    <w:lvl w:ilvl="5" w:tplc="DEC6FDDC">
      <w:start w:val="1"/>
      <w:numFmt w:val="bullet"/>
      <w:lvlText w:val=""/>
      <w:lvlJc w:val="left"/>
      <w:pPr>
        <w:ind w:left="1120" w:hanging="360"/>
      </w:pPr>
      <w:rPr>
        <w:rFonts w:ascii="Symbol" w:hAnsi="Symbol"/>
      </w:rPr>
    </w:lvl>
    <w:lvl w:ilvl="6" w:tplc="82186830">
      <w:start w:val="1"/>
      <w:numFmt w:val="bullet"/>
      <w:lvlText w:val=""/>
      <w:lvlJc w:val="left"/>
      <w:pPr>
        <w:ind w:left="1120" w:hanging="360"/>
      </w:pPr>
      <w:rPr>
        <w:rFonts w:ascii="Symbol" w:hAnsi="Symbol"/>
      </w:rPr>
    </w:lvl>
    <w:lvl w:ilvl="7" w:tplc="65641756">
      <w:start w:val="1"/>
      <w:numFmt w:val="bullet"/>
      <w:lvlText w:val=""/>
      <w:lvlJc w:val="left"/>
      <w:pPr>
        <w:ind w:left="1120" w:hanging="360"/>
      </w:pPr>
      <w:rPr>
        <w:rFonts w:ascii="Symbol" w:hAnsi="Symbol"/>
      </w:rPr>
    </w:lvl>
    <w:lvl w:ilvl="8" w:tplc="8A2AE542">
      <w:start w:val="1"/>
      <w:numFmt w:val="bullet"/>
      <w:lvlText w:val=""/>
      <w:lvlJc w:val="left"/>
      <w:pPr>
        <w:ind w:left="1120" w:hanging="360"/>
      </w:pPr>
      <w:rPr>
        <w:rFonts w:ascii="Symbol" w:hAnsi="Symbol"/>
      </w:rPr>
    </w:lvl>
  </w:abstractNum>
  <w:abstractNum w:abstractNumId="16" w15:restartNumberingAfterBreak="0">
    <w:nsid w:val="27A80CFA"/>
    <w:multiLevelType w:val="hybridMultilevel"/>
    <w:tmpl w:val="47C0FCC6"/>
    <w:lvl w:ilvl="0" w:tplc="3940C1A6">
      <w:start w:val="1"/>
      <w:numFmt w:val="bullet"/>
      <w:lvlText w:val=""/>
      <w:lvlJc w:val="left"/>
      <w:pPr>
        <w:ind w:left="1080" w:hanging="360"/>
      </w:pPr>
      <w:rPr>
        <w:rFonts w:ascii="Symbol" w:hAnsi="Symbol"/>
      </w:rPr>
    </w:lvl>
    <w:lvl w:ilvl="1" w:tplc="FC6C5822">
      <w:start w:val="1"/>
      <w:numFmt w:val="bullet"/>
      <w:lvlText w:val=""/>
      <w:lvlJc w:val="left"/>
      <w:pPr>
        <w:ind w:left="1440" w:hanging="360"/>
      </w:pPr>
      <w:rPr>
        <w:rFonts w:ascii="Symbol" w:hAnsi="Symbol"/>
      </w:rPr>
    </w:lvl>
    <w:lvl w:ilvl="2" w:tplc="6F54419C">
      <w:start w:val="1"/>
      <w:numFmt w:val="bullet"/>
      <w:lvlText w:val=""/>
      <w:lvlJc w:val="left"/>
      <w:pPr>
        <w:ind w:left="1080" w:hanging="360"/>
      </w:pPr>
      <w:rPr>
        <w:rFonts w:ascii="Symbol" w:hAnsi="Symbol"/>
      </w:rPr>
    </w:lvl>
    <w:lvl w:ilvl="3" w:tplc="5274B7EE">
      <w:start w:val="1"/>
      <w:numFmt w:val="bullet"/>
      <w:lvlText w:val=""/>
      <w:lvlJc w:val="left"/>
      <w:pPr>
        <w:ind w:left="1080" w:hanging="360"/>
      </w:pPr>
      <w:rPr>
        <w:rFonts w:ascii="Symbol" w:hAnsi="Symbol"/>
      </w:rPr>
    </w:lvl>
    <w:lvl w:ilvl="4" w:tplc="C15451B6">
      <w:start w:val="1"/>
      <w:numFmt w:val="bullet"/>
      <w:lvlText w:val=""/>
      <w:lvlJc w:val="left"/>
      <w:pPr>
        <w:ind w:left="1080" w:hanging="360"/>
      </w:pPr>
      <w:rPr>
        <w:rFonts w:ascii="Symbol" w:hAnsi="Symbol"/>
      </w:rPr>
    </w:lvl>
    <w:lvl w:ilvl="5" w:tplc="28FCA94A">
      <w:start w:val="1"/>
      <w:numFmt w:val="bullet"/>
      <w:lvlText w:val=""/>
      <w:lvlJc w:val="left"/>
      <w:pPr>
        <w:ind w:left="1080" w:hanging="360"/>
      </w:pPr>
      <w:rPr>
        <w:rFonts w:ascii="Symbol" w:hAnsi="Symbol"/>
      </w:rPr>
    </w:lvl>
    <w:lvl w:ilvl="6" w:tplc="1396E1C6">
      <w:start w:val="1"/>
      <w:numFmt w:val="bullet"/>
      <w:lvlText w:val=""/>
      <w:lvlJc w:val="left"/>
      <w:pPr>
        <w:ind w:left="1080" w:hanging="360"/>
      </w:pPr>
      <w:rPr>
        <w:rFonts w:ascii="Symbol" w:hAnsi="Symbol"/>
      </w:rPr>
    </w:lvl>
    <w:lvl w:ilvl="7" w:tplc="E8A48ED4">
      <w:start w:val="1"/>
      <w:numFmt w:val="bullet"/>
      <w:lvlText w:val=""/>
      <w:lvlJc w:val="left"/>
      <w:pPr>
        <w:ind w:left="1080" w:hanging="360"/>
      </w:pPr>
      <w:rPr>
        <w:rFonts w:ascii="Symbol" w:hAnsi="Symbol"/>
      </w:rPr>
    </w:lvl>
    <w:lvl w:ilvl="8" w:tplc="E522F2D6">
      <w:start w:val="1"/>
      <w:numFmt w:val="bullet"/>
      <w:lvlText w:val=""/>
      <w:lvlJc w:val="left"/>
      <w:pPr>
        <w:ind w:left="1080" w:hanging="360"/>
      </w:pPr>
      <w:rPr>
        <w:rFonts w:ascii="Symbol" w:hAnsi="Symbol"/>
      </w:rPr>
    </w:lvl>
  </w:abstractNum>
  <w:abstractNum w:abstractNumId="17" w15:restartNumberingAfterBreak="0">
    <w:nsid w:val="2D1A7276"/>
    <w:multiLevelType w:val="hybridMultilevel"/>
    <w:tmpl w:val="CF322A20"/>
    <w:lvl w:ilvl="0" w:tplc="90B87DAA">
      <w:start w:val="1"/>
      <w:numFmt w:val="bullet"/>
      <w:lvlText w:val=""/>
      <w:lvlJc w:val="left"/>
      <w:pPr>
        <w:ind w:left="1080" w:hanging="360"/>
      </w:pPr>
      <w:rPr>
        <w:rFonts w:ascii="Symbol" w:hAnsi="Symbol"/>
      </w:rPr>
    </w:lvl>
    <w:lvl w:ilvl="1" w:tplc="5554F818">
      <w:start w:val="1"/>
      <w:numFmt w:val="bullet"/>
      <w:lvlText w:val=""/>
      <w:lvlJc w:val="left"/>
      <w:pPr>
        <w:ind w:left="1080" w:hanging="360"/>
      </w:pPr>
      <w:rPr>
        <w:rFonts w:ascii="Symbol" w:hAnsi="Symbol"/>
      </w:rPr>
    </w:lvl>
    <w:lvl w:ilvl="2" w:tplc="623AC802">
      <w:start w:val="1"/>
      <w:numFmt w:val="bullet"/>
      <w:lvlText w:val=""/>
      <w:lvlJc w:val="left"/>
      <w:pPr>
        <w:ind w:left="1080" w:hanging="360"/>
      </w:pPr>
      <w:rPr>
        <w:rFonts w:ascii="Symbol" w:hAnsi="Symbol"/>
      </w:rPr>
    </w:lvl>
    <w:lvl w:ilvl="3" w:tplc="69F43F9C">
      <w:start w:val="1"/>
      <w:numFmt w:val="bullet"/>
      <w:lvlText w:val=""/>
      <w:lvlJc w:val="left"/>
      <w:pPr>
        <w:ind w:left="1080" w:hanging="360"/>
      </w:pPr>
      <w:rPr>
        <w:rFonts w:ascii="Symbol" w:hAnsi="Symbol"/>
      </w:rPr>
    </w:lvl>
    <w:lvl w:ilvl="4" w:tplc="B7D6086C">
      <w:start w:val="1"/>
      <w:numFmt w:val="bullet"/>
      <w:lvlText w:val=""/>
      <w:lvlJc w:val="left"/>
      <w:pPr>
        <w:ind w:left="1080" w:hanging="360"/>
      </w:pPr>
      <w:rPr>
        <w:rFonts w:ascii="Symbol" w:hAnsi="Symbol"/>
      </w:rPr>
    </w:lvl>
    <w:lvl w:ilvl="5" w:tplc="7C94AFFC">
      <w:start w:val="1"/>
      <w:numFmt w:val="bullet"/>
      <w:lvlText w:val=""/>
      <w:lvlJc w:val="left"/>
      <w:pPr>
        <w:ind w:left="1080" w:hanging="360"/>
      </w:pPr>
      <w:rPr>
        <w:rFonts w:ascii="Symbol" w:hAnsi="Symbol"/>
      </w:rPr>
    </w:lvl>
    <w:lvl w:ilvl="6" w:tplc="C27C8AD2">
      <w:start w:val="1"/>
      <w:numFmt w:val="bullet"/>
      <w:lvlText w:val=""/>
      <w:lvlJc w:val="left"/>
      <w:pPr>
        <w:ind w:left="1080" w:hanging="360"/>
      </w:pPr>
      <w:rPr>
        <w:rFonts w:ascii="Symbol" w:hAnsi="Symbol"/>
      </w:rPr>
    </w:lvl>
    <w:lvl w:ilvl="7" w:tplc="FD66E894">
      <w:start w:val="1"/>
      <w:numFmt w:val="bullet"/>
      <w:lvlText w:val=""/>
      <w:lvlJc w:val="left"/>
      <w:pPr>
        <w:ind w:left="1080" w:hanging="360"/>
      </w:pPr>
      <w:rPr>
        <w:rFonts w:ascii="Symbol" w:hAnsi="Symbol"/>
      </w:rPr>
    </w:lvl>
    <w:lvl w:ilvl="8" w:tplc="167E4056">
      <w:start w:val="1"/>
      <w:numFmt w:val="bullet"/>
      <w:lvlText w:val=""/>
      <w:lvlJc w:val="left"/>
      <w:pPr>
        <w:ind w:left="1080" w:hanging="360"/>
      </w:pPr>
      <w:rPr>
        <w:rFonts w:ascii="Symbol" w:hAnsi="Symbol"/>
      </w:rPr>
    </w:lvl>
  </w:abstractNum>
  <w:abstractNum w:abstractNumId="18" w15:restartNumberingAfterBreak="0">
    <w:nsid w:val="338F3FCB"/>
    <w:multiLevelType w:val="hybridMultilevel"/>
    <w:tmpl w:val="344CB7FE"/>
    <w:lvl w:ilvl="0" w:tplc="08DAFF5E">
      <w:start w:val="1"/>
      <w:numFmt w:val="bullet"/>
      <w:lvlText w:val=""/>
      <w:lvlJc w:val="left"/>
      <w:pPr>
        <w:ind w:left="1120" w:hanging="360"/>
      </w:pPr>
      <w:rPr>
        <w:rFonts w:ascii="Symbol" w:hAnsi="Symbol"/>
      </w:rPr>
    </w:lvl>
    <w:lvl w:ilvl="1" w:tplc="3D24F3E4">
      <w:start w:val="1"/>
      <w:numFmt w:val="bullet"/>
      <w:lvlText w:val=""/>
      <w:lvlJc w:val="left"/>
      <w:pPr>
        <w:ind w:left="1120" w:hanging="360"/>
      </w:pPr>
      <w:rPr>
        <w:rFonts w:ascii="Symbol" w:hAnsi="Symbol"/>
      </w:rPr>
    </w:lvl>
    <w:lvl w:ilvl="2" w:tplc="371EE8A4">
      <w:start w:val="1"/>
      <w:numFmt w:val="bullet"/>
      <w:lvlText w:val=""/>
      <w:lvlJc w:val="left"/>
      <w:pPr>
        <w:ind w:left="1120" w:hanging="360"/>
      </w:pPr>
      <w:rPr>
        <w:rFonts w:ascii="Symbol" w:hAnsi="Symbol"/>
      </w:rPr>
    </w:lvl>
    <w:lvl w:ilvl="3" w:tplc="586A6196">
      <w:start w:val="1"/>
      <w:numFmt w:val="bullet"/>
      <w:lvlText w:val=""/>
      <w:lvlJc w:val="left"/>
      <w:pPr>
        <w:ind w:left="1120" w:hanging="360"/>
      </w:pPr>
      <w:rPr>
        <w:rFonts w:ascii="Symbol" w:hAnsi="Symbol"/>
      </w:rPr>
    </w:lvl>
    <w:lvl w:ilvl="4" w:tplc="2788DEBC">
      <w:start w:val="1"/>
      <w:numFmt w:val="bullet"/>
      <w:lvlText w:val=""/>
      <w:lvlJc w:val="left"/>
      <w:pPr>
        <w:ind w:left="1120" w:hanging="360"/>
      </w:pPr>
      <w:rPr>
        <w:rFonts w:ascii="Symbol" w:hAnsi="Symbol"/>
      </w:rPr>
    </w:lvl>
    <w:lvl w:ilvl="5" w:tplc="84CCE5E4">
      <w:start w:val="1"/>
      <w:numFmt w:val="bullet"/>
      <w:lvlText w:val=""/>
      <w:lvlJc w:val="left"/>
      <w:pPr>
        <w:ind w:left="1120" w:hanging="360"/>
      </w:pPr>
      <w:rPr>
        <w:rFonts w:ascii="Symbol" w:hAnsi="Symbol"/>
      </w:rPr>
    </w:lvl>
    <w:lvl w:ilvl="6" w:tplc="E0B29B70">
      <w:start w:val="1"/>
      <w:numFmt w:val="bullet"/>
      <w:lvlText w:val=""/>
      <w:lvlJc w:val="left"/>
      <w:pPr>
        <w:ind w:left="1120" w:hanging="360"/>
      </w:pPr>
      <w:rPr>
        <w:rFonts w:ascii="Symbol" w:hAnsi="Symbol"/>
      </w:rPr>
    </w:lvl>
    <w:lvl w:ilvl="7" w:tplc="AE5CA074">
      <w:start w:val="1"/>
      <w:numFmt w:val="bullet"/>
      <w:lvlText w:val=""/>
      <w:lvlJc w:val="left"/>
      <w:pPr>
        <w:ind w:left="1120" w:hanging="360"/>
      </w:pPr>
      <w:rPr>
        <w:rFonts w:ascii="Symbol" w:hAnsi="Symbol"/>
      </w:rPr>
    </w:lvl>
    <w:lvl w:ilvl="8" w:tplc="EC58B15C">
      <w:start w:val="1"/>
      <w:numFmt w:val="bullet"/>
      <w:lvlText w:val=""/>
      <w:lvlJc w:val="left"/>
      <w:pPr>
        <w:ind w:left="1120" w:hanging="360"/>
      </w:pPr>
      <w:rPr>
        <w:rFonts w:ascii="Symbol" w:hAnsi="Symbol"/>
      </w:rPr>
    </w:lvl>
  </w:abstractNum>
  <w:abstractNum w:abstractNumId="19" w15:restartNumberingAfterBreak="0">
    <w:nsid w:val="3411390C"/>
    <w:multiLevelType w:val="hybridMultilevel"/>
    <w:tmpl w:val="09FECDD8"/>
    <w:lvl w:ilvl="0" w:tplc="3C46A6BA">
      <w:start w:val="1"/>
      <w:numFmt w:val="bullet"/>
      <w:lvlText w:val=""/>
      <w:lvlJc w:val="left"/>
      <w:pPr>
        <w:ind w:left="1120" w:hanging="360"/>
      </w:pPr>
      <w:rPr>
        <w:rFonts w:ascii="Symbol" w:hAnsi="Symbol"/>
      </w:rPr>
    </w:lvl>
    <w:lvl w:ilvl="1" w:tplc="7F4E58EC">
      <w:start w:val="1"/>
      <w:numFmt w:val="bullet"/>
      <w:lvlText w:val=""/>
      <w:lvlJc w:val="left"/>
      <w:pPr>
        <w:ind w:left="1480" w:hanging="360"/>
      </w:pPr>
      <w:rPr>
        <w:rFonts w:ascii="Symbol" w:hAnsi="Symbol"/>
      </w:rPr>
    </w:lvl>
    <w:lvl w:ilvl="2" w:tplc="BDE6A1B4">
      <w:start w:val="1"/>
      <w:numFmt w:val="bullet"/>
      <w:lvlText w:val=""/>
      <w:lvlJc w:val="left"/>
      <w:pPr>
        <w:ind w:left="1120" w:hanging="360"/>
      </w:pPr>
      <w:rPr>
        <w:rFonts w:ascii="Symbol" w:hAnsi="Symbol"/>
      </w:rPr>
    </w:lvl>
    <w:lvl w:ilvl="3" w:tplc="E528D31C">
      <w:start w:val="1"/>
      <w:numFmt w:val="bullet"/>
      <w:lvlText w:val=""/>
      <w:lvlJc w:val="left"/>
      <w:pPr>
        <w:ind w:left="1120" w:hanging="360"/>
      </w:pPr>
      <w:rPr>
        <w:rFonts w:ascii="Symbol" w:hAnsi="Symbol"/>
      </w:rPr>
    </w:lvl>
    <w:lvl w:ilvl="4" w:tplc="660A1370">
      <w:start w:val="1"/>
      <w:numFmt w:val="bullet"/>
      <w:lvlText w:val=""/>
      <w:lvlJc w:val="left"/>
      <w:pPr>
        <w:ind w:left="1120" w:hanging="360"/>
      </w:pPr>
      <w:rPr>
        <w:rFonts w:ascii="Symbol" w:hAnsi="Symbol"/>
      </w:rPr>
    </w:lvl>
    <w:lvl w:ilvl="5" w:tplc="F28215E0">
      <w:start w:val="1"/>
      <w:numFmt w:val="bullet"/>
      <w:lvlText w:val=""/>
      <w:lvlJc w:val="left"/>
      <w:pPr>
        <w:ind w:left="1120" w:hanging="360"/>
      </w:pPr>
      <w:rPr>
        <w:rFonts w:ascii="Symbol" w:hAnsi="Symbol"/>
      </w:rPr>
    </w:lvl>
    <w:lvl w:ilvl="6" w:tplc="B0403CCC">
      <w:start w:val="1"/>
      <w:numFmt w:val="bullet"/>
      <w:lvlText w:val=""/>
      <w:lvlJc w:val="left"/>
      <w:pPr>
        <w:ind w:left="1120" w:hanging="360"/>
      </w:pPr>
      <w:rPr>
        <w:rFonts w:ascii="Symbol" w:hAnsi="Symbol"/>
      </w:rPr>
    </w:lvl>
    <w:lvl w:ilvl="7" w:tplc="BCA0FC1C">
      <w:start w:val="1"/>
      <w:numFmt w:val="bullet"/>
      <w:lvlText w:val=""/>
      <w:lvlJc w:val="left"/>
      <w:pPr>
        <w:ind w:left="1120" w:hanging="360"/>
      </w:pPr>
      <w:rPr>
        <w:rFonts w:ascii="Symbol" w:hAnsi="Symbol"/>
      </w:rPr>
    </w:lvl>
    <w:lvl w:ilvl="8" w:tplc="609CD564">
      <w:start w:val="1"/>
      <w:numFmt w:val="bullet"/>
      <w:lvlText w:val=""/>
      <w:lvlJc w:val="left"/>
      <w:pPr>
        <w:ind w:left="1120" w:hanging="360"/>
      </w:pPr>
      <w:rPr>
        <w:rFonts w:ascii="Symbol" w:hAnsi="Symbol"/>
      </w:rPr>
    </w:lvl>
  </w:abstractNum>
  <w:abstractNum w:abstractNumId="20" w15:restartNumberingAfterBreak="0">
    <w:nsid w:val="38583B7E"/>
    <w:multiLevelType w:val="hybridMultilevel"/>
    <w:tmpl w:val="4544B41E"/>
    <w:lvl w:ilvl="0" w:tplc="8786B146">
      <w:start w:val="1"/>
      <w:numFmt w:val="bullet"/>
      <w:lvlText w:val=""/>
      <w:lvlJc w:val="left"/>
      <w:pPr>
        <w:ind w:left="1120" w:hanging="360"/>
      </w:pPr>
      <w:rPr>
        <w:rFonts w:ascii="Symbol" w:hAnsi="Symbol"/>
      </w:rPr>
    </w:lvl>
    <w:lvl w:ilvl="1" w:tplc="6242F028">
      <w:start w:val="1"/>
      <w:numFmt w:val="bullet"/>
      <w:lvlText w:val=""/>
      <w:lvlJc w:val="left"/>
      <w:pPr>
        <w:ind w:left="1120" w:hanging="360"/>
      </w:pPr>
      <w:rPr>
        <w:rFonts w:ascii="Symbol" w:hAnsi="Symbol"/>
      </w:rPr>
    </w:lvl>
    <w:lvl w:ilvl="2" w:tplc="F738D4E2">
      <w:start w:val="1"/>
      <w:numFmt w:val="bullet"/>
      <w:lvlText w:val=""/>
      <w:lvlJc w:val="left"/>
      <w:pPr>
        <w:ind w:left="1120" w:hanging="360"/>
      </w:pPr>
      <w:rPr>
        <w:rFonts w:ascii="Symbol" w:hAnsi="Symbol"/>
      </w:rPr>
    </w:lvl>
    <w:lvl w:ilvl="3" w:tplc="A00EC538">
      <w:start w:val="1"/>
      <w:numFmt w:val="bullet"/>
      <w:lvlText w:val=""/>
      <w:lvlJc w:val="left"/>
      <w:pPr>
        <w:ind w:left="1120" w:hanging="360"/>
      </w:pPr>
      <w:rPr>
        <w:rFonts w:ascii="Symbol" w:hAnsi="Symbol"/>
      </w:rPr>
    </w:lvl>
    <w:lvl w:ilvl="4" w:tplc="6C44D24E">
      <w:start w:val="1"/>
      <w:numFmt w:val="bullet"/>
      <w:lvlText w:val=""/>
      <w:lvlJc w:val="left"/>
      <w:pPr>
        <w:ind w:left="1120" w:hanging="360"/>
      </w:pPr>
      <w:rPr>
        <w:rFonts w:ascii="Symbol" w:hAnsi="Symbol"/>
      </w:rPr>
    </w:lvl>
    <w:lvl w:ilvl="5" w:tplc="8D58065A">
      <w:start w:val="1"/>
      <w:numFmt w:val="bullet"/>
      <w:lvlText w:val=""/>
      <w:lvlJc w:val="left"/>
      <w:pPr>
        <w:ind w:left="1120" w:hanging="360"/>
      </w:pPr>
      <w:rPr>
        <w:rFonts w:ascii="Symbol" w:hAnsi="Symbol"/>
      </w:rPr>
    </w:lvl>
    <w:lvl w:ilvl="6" w:tplc="1A94EB56">
      <w:start w:val="1"/>
      <w:numFmt w:val="bullet"/>
      <w:lvlText w:val=""/>
      <w:lvlJc w:val="left"/>
      <w:pPr>
        <w:ind w:left="1120" w:hanging="360"/>
      </w:pPr>
      <w:rPr>
        <w:rFonts w:ascii="Symbol" w:hAnsi="Symbol"/>
      </w:rPr>
    </w:lvl>
    <w:lvl w:ilvl="7" w:tplc="E528DFF8">
      <w:start w:val="1"/>
      <w:numFmt w:val="bullet"/>
      <w:lvlText w:val=""/>
      <w:lvlJc w:val="left"/>
      <w:pPr>
        <w:ind w:left="1120" w:hanging="360"/>
      </w:pPr>
      <w:rPr>
        <w:rFonts w:ascii="Symbol" w:hAnsi="Symbol"/>
      </w:rPr>
    </w:lvl>
    <w:lvl w:ilvl="8" w:tplc="AD286126">
      <w:start w:val="1"/>
      <w:numFmt w:val="bullet"/>
      <w:lvlText w:val=""/>
      <w:lvlJc w:val="left"/>
      <w:pPr>
        <w:ind w:left="1120" w:hanging="360"/>
      </w:pPr>
      <w:rPr>
        <w:rFonts w:ascii="Symbol" w:hAnsi="Symbol"/>
      </w:rPr>
    </w:lvl>
  </w:abstractNum>
  <w:abstractNum w:abstractNumId="21" w15:restartNumberingAfterBreak="0">
    <w:nsid w:val="3A6E51AD"/>
    <w:multiLevelType w:val="hybridMultilevel"/>
    <w:tmpl w:val="5734CF0A"/>
    <w:lvl w:ilvl="0" w:tplc="2BF231C2">
      <w:start w:val="1"/>
      <w:numFmt w:val="bullet"/>
      <w:lvlText w:val=""/>
      <w:lvlJc w:val="left"/>
      <w:pPr>
        <w:ind w:left="1120" w:hanging="360"/>
      </w:pPr>
      <w:rPr>
        <w:rFonts w:ascii="Symbol" w:hAnsi="Symbol"/>
      </w:rPr>
    </w:lvl>
    <w:lvl w:ilvl="1" w:tplc="2E04A8E8">
      <w:start w:val="1"/>
      <w:numFmt w:val="bullet"/>
      <w:lvlText w:val=""/>
      <w:lvlJc w:val="left"/>
      <w:pPr>
        <w:ind w:left="1120" w:hanging="360"/>
      </w:pPr>
      <w:rPr>
        <w:rFonts w:ascii="Symbol" w:hAnsi="Symbol"/>
      </w:rPr>
    </w:lvl>
    <w:lvl w:ilvl="2" w:tplc="81482A4E">
      <w:start w:val="1"/>
      <w:numFmt w:val="bullet"/>
      <w:lvlText w:val=""/>
      <w:lvlJc w:val="left"/>
      <w:pPr>
        <w:ind w:left="1120" w:hanging="360"/>
      </w:pPr>
      <w:rPr>
        <w:rFonts w:ascii="Symbol" w:hAnsi="Symbol"/>
      </w:rPr>
    </w:lvl>
    <w:lvl w:ilvl="3" w:tplc="780AA85C">
      <w:start w:val="1"/>
      <w:numFmt w:val="bullet"/>
      <w:lvlText w:val=""/>
      <w:lvlJc w:val="left"/>
      <w:pPr>
        <w:ind w:left="1120" w:hanging="360"/>
      </w:pPr>
      <w:rPr>
        <w:rFonts w:ascii="Symbol" w:hAnsi="Symbol"/>
      </w:rPr>
    </w:lvl>
    <w:lvl w:ilvl="4" w:tplc="39FE3946">
      <w:start w:val="1"/>
      <w:numFmt w:val="bullet"/>
      <w:lvlText w:val=""/>
      <w:lvlJc w:val="left"/>
      <w:pPr>
        <w:ind w:left="1120" w:hanging="360"/>
      </w:pPr>
      <w:rPr>
        <w:rFonts w:ascii="Symbol" w:hAnsi="Symbol"/>
      </w:rPr>
    </w:lvl>
    <w:lvl w:ilvl="5" w:tplc="7ED4F4EC">
      <w:start w:val="1"/>
      <w:numFmt w:val="bullet"/>
      <w:lvlText w:val=""/>
      <w:lvlJc w:val="left"/>
      <w:pPr>
        <w:ind w:left="1120" w:hanging="360"/>
      </w:pPr>
      <w:rPr>
        <w:rFonts w:ascii="Symbol" w:hAnsi="Symbol"/>
      </w:rPr>
    </w:lvl>
    <w:lvl w:ilvl="6" w:tplc="946A1C4E">
      <w:start w:val="1"/>
      <w:numFmt w:val="bullet"/>
      <w:lvlText w:val=""/>
      <w:lvlJc w:val="left"/>
      <w:pPr>
        <w:ind w:left="1120" w:hanging="360"/>
      </w:pPr>
      <w:rPr>
        <w:rFonts w:ascii="Symbol" w:hAnsi="Symbol"/>
      </w:rPr>
    </w:lvl>
    <w:lvl w:ilvl="7" w:tplc="4336C938">
      <w:start w:val="1"/>
      <w:numFmt w:val="bullet"/>
      <w:lvlText w:val=""/>
      <w:lvlJc w:val="left"/>
      <w:pPr>
        <w:ind w:left="1120" w:hanging="360"/>
      </w:pPr>
      <w:rPr>
        <w:rFonts w:ascii="Symbol" w:hAnsi="Symbol"/>
      </w:rPr>
    </w:lvl>
    <w:lvl w:ilvl="8" w:tplc="EE4C951A">
      <w:start w:val="1"/>
      <w:numFmt w:val="bullet"/>
      <w:lvlText w:val=""/>
      <w:lvlJc w:val="left"/>
      <w:pPr>
        <w:ind w:left="1120" w:hanging="360"/>
      </w:pPr>
      <w:rPr>
        <w:rFonts w:ascii="Symbol" w:hAnsi="Symbol"/>
      </w:rPr>
    </w:lvl>
  </w:abstractNum>
  <w:abstractNum w:abstractNumId="22" w15:restartNumberingAfterBreak="0">
    <w:nsid w:val="43FA108F"/>
    <w:multiLevelType w:val="hybridMultilevel"/>
    <w:tmpl w:val="908E1828"/>
    <w:lvl w:ilvl="0" w:tplc="31A27EDA">
      <w:start w:val="1"/>
      <w:numFmt w:val="bullet"/>
      <w:lvlText w:val=""/>
      <w:lvlJc w:val="left"/>
      <w:pPr>
        <w:ind w:left="1120" w:hanging="360"/>
      </w:pPr>
      <w:rPr>
        <w:rFonts w:ascii="Symbol" w:hAnsi="Symbol"/>
      </w:rPr>
    </w:lvl>
    <w:lvl w:ilvl="1" w:tplc="27EAC5DE">
      <w:start w:val="1"/>
      <w:numFmt w:val="bullet"/>
      <w:lvlText w:val=""/>
      <w:lvlJc w:val="left"/>
      <w:pPr>
        <w:ind w:left="1480" w:hanging="360"/>
      </w:pPr>
      <w:rPr>
        <w:rFonts w:ascii="Symbol" w:hAnsi="Symbol"/>
      </w:rPr>
    </w:lvl>
    <w:lvl w:ilvl="2" w:tplc="0C9C0C7A">
      <w:start w:val="1"/>
      <w:numFmt w:val="bullet"/>
      <w:lvlText w:val=""/>
      <w:lvlJc w:val="left"/>
      <w:pPr>
        <w:ind w:left="1120" w:hanging="360"/>
      </w:pPr>
      <w:rPr>
        <w:rFonts w:ascii="Symbol" w:hAnsi="Symbol"/>
      </w:rPr>
    </w:lvl>
    <w:lvl w:ilvl="3" w:tplc="FD52D672">
      <w:start w:val="1"/>
      <w:numFmt w:val="bullet"/>
      <w:lvlText w:val=""/>
      <w:lvlJc w:val="left"/>
      <w:pPr>
        <w:ind w:left="1120" w:hanging="360"/>
      </w:pPr>
      <w:rPr>
        <w:rFonts w:ascii="Symbol" w:hAnsi="Symbol"/>
      </w:rPr>
    </w:lvl>
    <w:lvl w:ilvl="4" w:tplc="732CB9CE">
      <w:start w:val="1"/>
      <w:numFmt w:val="bullet"/>
      <w:lvlText w:val=""/>
      <w:lvlJc w:val="left"/>
      <w:pPr>
        <w:ind w:left="1120" w:hanging="360"/>
      </w:pPr>
      <w:rPr>
        <w:rFonts w:ascii="Symbol" w:hAnsi="Symbol"/>
      </w:rPr>
    </w:lvl>
    <w:lvl w:ilvl="5" w:tplc="B75CEB8A">
      <w:start w:val="1"/>
      <w:numFmt w:val="bullet"/>
      <w:lvlText w:val=""/>
      <w:lvlJc w:val="left"/>
      <w:pPr>
        <w:ind w:left="1120" w:hanging="360"/>
      </w:pPr>
      <w:rPr>
        <w:rFonts w:ascii="Symbol" w:hAnsi="Symbol"/>
      </w:rPr>
    </w:lvl>
    <w:lvl w:ilvl="6" w:tplc="D5605FC8">
      <w:start w:val="1"/>
      <w:numFmt w:val="bullet"/>
      <w:lvlText w:val=""/>
      <w:lvlJc w:val="left"/>
      <w:pPr>
        <w:ind w:left="1120" w:hanging="360"/>
      </w:pPr>
      <w:rPr>
        <w:rFonts w:ascii="Symbol" w:hAnsi="Symbol"/>
      </w:rPr>
    </w:lvl>
    <w:lvl w:ilvl="7" w:tplc="E9B21A40">
      <w:start w:val="1"/>
      <w:numFmt w:val="bullet"/>
      <w:lvlText w:val=""/>
      <w:lvlJc w:val="left"/>
      <w:pPr>
        <w:ind w:left="1120" w:hanging="360"/>
      </w:pPr>
      <w:rPr>
        <w:rFonts w:ascii="Symbol" w:hAnsi="Symbol"/>
      </w:rPr>
    </w:lvl>
    <w:lvl w:ilvl="8" w:tplc="7DF6A616">
      <w:start w:val="1"/>
      <w:numFmt w:val="bullet"/>
      <w:lvlText w:val=""/>
      <w:lvlJc w:val="left"/>
      <w:pPr>
        <w:ind w:left="1120" w:hanging="360"/>
      </w:pPr>
      <w:rPr>
        <w:rFonts w:ascii="Symbol" w:hAnsi="Symbol"/>
      </w:rPr>
    </w:lvl>
  </w:abstractNum>
  <w:abstractNum w:abstractNumId="23" w15:restartNumberingAfterBreak="0">
    <w:nsid w:val="481F0866"/>
    <w:multiLevelType w:val="hybridMultilevel"/>
    <w:tmpl w:val="6FE8A32A"/>
    <w:lvl w:ilvl="0" w:tplc="6EE6F89C">
      <w:start w:val="1"/>
      <w:numFmt w:val="bullet"/>
      <w:lvlText w:val=""/>
      <w:lvlJc w:val="left"/>
      <w:pPr>
        <w:ind w:left="1120" w:hanging="360"/>
      </w:pPr>
      <w:rPr>
        <w:rFonts w:ascii="Symbol" w:hAnsi="Symbol"/>
      </w:rPr>
    </w:lvl>
    <w:lvl w:ilvl="1" w:tplc="22488490">
      <w:start w:val="1"/>
      <w:numFmt w:val="bullet"/>
      <w:lvlText w:val=""/>
      <w:lvlJc w:val="left"/>
      <w:pPr>
        <w:ind w:left="1480" w:hanging="360"/>
      </w:pPr>
      <w:rPr>
        <w:rFonts w:ascii="Symbol" w:hAnsi="Symbol"/>
      </w:rPr>
    </w:lvl>
    <w:lvl w:ilvl="2" w:tplc="F0045B14">
      <w:start w:val="1"/>
      <w:numFmt w:val="bullet"/>
      <w:lvlText w:val=""/>
      <w:lvlJc w:val="left"/>
      <w:pPr>
        <w:ind w:left="1120" w:hanging="360"/>
      </w:pPr>
      <w:rPr>
        <w:rFonts w:ascii="Symbol" w:hAnsi="Symbol"/>
      </w:rPr>
    </w:lvl>
    <w:lvl w:ilvl="3" w:tplc="9856BFBC">
      <w:start w:val="1"/>
      <w:numFmt w:val="bullet"/>
      <w:lvlText w:val=""/>
      <w:lvlJc w:val="left"/>
      <w:pPr>
        <w:ind w:left="1120" w:hanging="360"/>
      </w:pPr>
      <w:rPr>
        <w:rFonts w:ascii="Symbol" w:hAnsi="Symbol"/>
      </w:rPr>
    </w:lvl>
    <w:lvl w:ilvl="4" w:tplc="2F681B70">
      <w:start w:val="1"/>
      <w:numFmt w:val="bullet"/>
      <w:lvlText w:val=""/>
      <w:lvlJc w:val="left"/>
      <w:pPr>
        <w:ind w:left="1120" w:hanging="360"/>
      </w:pPr>
      <w:rPr>
        <w:rFonts w:ascii="Symbol" w:hAnsi="Symbol"/>
      </w:rPr>
    </w:lvl>
    <w:lvl w:ilvl="5" w:tplc="DEAC2292">
      <w:start w:val="1"/>
      <w:numFmt w:val="bullet"/>
      <w:lvlText w:val=""/>
      <w:lvlJc w:val="left"/>
      <w:pPr>
        <w:ind w:left="1120" w:hanging="360"/>
      </w:pPr>
      <w:rPr>
        <w:rFonts w:ascii="Symbol" w:hAnsi="Symbol"/>
      </w:rPr>
    </w:lvl>
    <w:lvl w:ilvl="6" w:tplc="9FC6D976">
      <w:start w:val="1"/>
      <w:numFmt w:val="bullet"/>
      <w:lvlText w:val=""/>
      <w:lvlJc w:val="left"/>
      <w:pPr>
        <w:ind w:left="1120" w:hanging="360"/>
      </w:pPr>
      <w:rPr>
        <w:rFonts w:ascii="Symbol" w:hAnsi="Symbol"/>
      </w:rPr>
    </w:lvl>
    <w:lvl w:ilvl="7" w:tplc="2A882A24">
      <w:start w:val="1"/>
      <w:numFmt w:val="bullet"/>
      <w:lvlText w:val=""/>
      <w:lvlJc w:val="left"/>
      <w:pPr>
        <w:ind w:left="1120" w:hanging="360"/>
      </w:pPr>
      <w:rPr>
        <w:rFonts w:ascii="Symbol" w:hAnsi="Symbol"/>
      </w:rPr>
    </w:lvl>
    <w:lvl w:ilvl="8" w:tplc="22E4F810">
      <w:start w:val="1"/>
      <w:numFmt w:val="bullet"/>
      <w:lvlText w:val=""/>
      <w:lvlJc w:val="left"/>
      <w:pPr>
        <w:ind w:left="1120" w:hanging="360"/>
      </w:pPr>
      <w:rPr>
        <w:rFonts w:ascii="Symbol" w:hAnsi="Symbol"/>
      </w:rPr>
    </w:lvl>
  </w:abstractNum>
  <w:abstractNum w:abstractNumId="24" w15:restartNumberingAfterBreak="0">
    <w:nsid w:val="498A720F"/>
    <w:multiLevelType w:val="hybridMultilevel"/>
    <w:tmpl w:val="0A70DD02"/>
    <w:lvl w:ilvl="0" w:tplc="4FA02A46">
      <w:start w:val="1"/>
      <w:numFmt w:val="bullet"/>
      <w:lvlText w:val=""/>
      <w:lvlJc w:val="left"/>
      <w:pPr>
        <w:ind w:left="1120" w:hanging="360"/>
      </w:pPr>
      <w:rPr>
        <w:rFonts w:ascii="Symbol" w:hAnsi="Symbol"/>
      </w:rPr>
    </w:lvl>
    <w:lvl w:ilvl="1" w:tplc="1046C1A8">
      <w:start w:val="1"/>
      <w:numFmt w:val="bullet"/>
      <w:lvlText w:val=""/>
      <w:lvlJc w:val="left"/>
      <w:pPr>
        <w:ind w:left="1120" w:hanging="360"/>
      </w:pPr>
      <w:rPr>
        <w:rFonts w:ascii="Symbol" w:hAnsi="Symbol"/>
      </w:rPr>
    </w:lvl>
    <w:lvl w:ilvl="2" w:tplc="BA4EC080">
      <w:start w:val="1"/>
      <w:numFmt w:val="bullet"/>
      <w:lvlText w:val=""/>
      <w:lvlJc w:val="left"/>
      <w:pPr>
        <w:ind w:left="1120" w:hanging="360"/>
      </w:pPr>
      <w:rPr>
        <w:rFonts w:ascii="Symbol" w:hAnsi="Symbol"/>
      </w:rPr>
    </w:lvl>
    <w:lvl w:ilvl="3" w:tplc="9FC6DF6C">
      <w:start w:val="1"/>
      <w:numFmt w:val="bullet"/>
      <w:lvlText w:val=""/>
      <w:lvlJc w:val="left"/>
      <w:pPr>
        <w:ind w:left="1120" w:hanging="360"/>
      </w:pPr>
      <w:rPr>
        <w:rFonts w:ascii="Symbol" w:hAnsi="Symbol"/>
      </w:rPr>
    </w:lvl>
    <w:lvl w:ilvl="4" w:tplc="D25CB40E">
      <w:start w:val="1"/>
      <w:numFmt w:val="bullet"/>
      <w:lvlText w:val=""/>
      <w:lvlJc w:val="left"/>
      <w:pPr>
        <w:ind w:left="1120" w:hanging="360"/>
      </w:pPr>
      <w:rPr>
        <w:rFonts w:ascii="Symbol" w:hAnsi="Symbol"/>
      </w:rPr>
    </w:lvl>
    <w:lvl w:ilvl="5" w:tplc="2E9CA616">
      <w:start w:val="1"/>
      <w:numFmt w:val="bullet"/>
      <w:lvlText w:val=""/>
      <w:lvlJc w:val="left"/>
      <w:pPr>
        <w:ind w:left="1120" w:hanging="360"/>
      </w:pPr>
      <w:rPr>
        <w:rFonts w:ascii="Symbol" w:hAnsi="Symbol"/>
      </w:rPr>
    </w:lvl>
    <w:lvl w:ilvl="6" w:tplc="195638D6">
      <w:start w:val="1"/>
      <w:numFmt w:val="bullet"/>
      <w:lvlText w:val=""/>
      <w:lvlJc w:val="left"/>
      <w:pPr>
        <w:ind w:left="1120" w:hanging="360"/>
      </w:pPr>
      <w:rPr>
        <w:rFonts w:ascii="Symbol" w:hAnsi="Symbol"/>
      </w:rPr>
    </w:lvl>
    <w:lvl w:ilvl="7" w:tplc="C9B48D70">
      <w:start w:val="1"/>
      <w:numFmt w:val="bullet"/>
      <w:lvlText w:val=""/>
      <w:lvlJc w:val="left"/>
      <w:pPr>
        <w:ind w:left="1120" w:hanging="360"/>
      </w:pPr>
      <w:rPr>
        <w:rFonts w:ascii="Symbol" w:hAnsi="Symbol"/>
      </w:rPr>
    </w:lvl>
    <w:lvl w:ilvl="8" w:tplc="794E22F6">
      <w:start w:val="1"/>
      <w:numFmt w:val="bullet"/>
      <w:lvlText w:val=""/>
      <w:lvlJc w:val="left"/>
      <w:pPr>
        <w:ind w:left="1120" w:hanging="360"/>
      </w:pPr>
      <w:rPr>
        <w:rFonts w:ascii="Symbol" w:hAnsi="Symbol"/>
      </w:rPr>
    </w:lvl>
  </w:abstractNum>
  <w:abstractNum w:abstractNumId="25" w15:restartNumberingAfterBreak="0">
    <w:nsid w:val="4C256667"/>
    <w:multiLevelType w:val="hybridMultilevel"/>
    <w:tmpl w:val="A68CFCF0"/>
    <w:lvl w:ilvl="0" w:tplc="0792D61A">
      <w:start w:val="1"/>
      <w:numFmt w:val="bullet"/>
      <w:lvlText w:val=""/>
      <w:lvlJc w:val="left"/>
      <w:pPr>
        <w:ind w:left="1120" w:hanging="360"/>
      </w:pPr>
      <w:rPr>
        <w:rFonts w:ascii="Symbol" w:hAnsi="Symbol"/>
      </w:rPr>
    </w:lvl>
    <w:lvl w:ilvl="1" w:tplc="2DA81282">
      <w:start w:val="1"/>
      <w:numFmt w:val="bullet"/>
      <w:lvlText w:val=""/>
      <w:lvlJc w:val="left"/>
      <w:pPr>
        <w:ind w:left="1120" w:hanging="360"/>
      </w:pPr>
      <w:rPr>
        <w:rFonts w:ascii="Symbol" w:hAnsi="Symbol"/>
      </w:rPr>
    </w:lvl>
    <w:lvl w:ilvl="2" w:tplc="4CF4B80E">
      <w:start w:val="1"/>
      <w:numFmt w:val="bullet"/>
      <w:lvlText w:val=""/>
      <w:lvlJc w:val="left"/>
      <w:pPr>
        <w:ind w:left="1120" w:hanging="360"/>
      </w:pPr>
      <w:rPr>
        <w:rFonts w:ascii="Symbol" w:hAnsi="Symbol"/>
      </w:rPr>
    </w:lvl>
    <w:lvl w:ilvl="3" w:tplc="71D8066A">
      <w:start w:val="1"/>
      <w:numFmt w:val="bullet"/>
      <w:lvlText w:val=""/>
      <w:lvlJc w:val="left"/>
      <w:pPr>
        <w:ind w:left="1120" w:hanging="360"/>
      </w:pPr>
      <w:rPr>
        <w:rFonts w:ascii="Symbol" w:hAnsi="Symbol"/>
      </w:rPr>
    </w:lvl>
    <w:lvl w:ilvl="4" w:tplc="7540BAFA">
      <w:start w:val="1"/>
      <w:numFmt w:val="bullet"/>
      <w:lvlText w:val=""/>
      <w:lvlJc w:val="left"/>
      <w:pPr>
        <w:ind w:left="1120" w:hanging="360"/>
      </w:pPr>
      <w:rPr>
        <w:rFonts w:ascii="Symbol" w:hAnsi="Symbol"/>
      </w:rPr>
    </w:lvl>
    <w:lvl w:ilvl="5" w:tplc="B9D49F46">
      <w:start w:val="1"/>
      <w:numFmt w:val="bullet"/>
      <w:lvlText w:val=""/>
      <w:lvlJc w:val="left"/>
      <w:pPr>
        <w:ind w:left="1120" w:hanging="360"/>
      </w:pPr>
      <w:rPr>
        <w:rFonts w:ascii="Symbol" w:hAnsi="Symbol"/>
      </w:rPr>
    </w:lvl>
    <w:lvl w:ilvl="6" w:tplc="B05EAD6E">
      <w:start w:val="1"/>
      <w:numFmt w:val="bullet"/>
      <w:lvlText w:val=""/>
      <w:lvlJc w:val="left"/>
      <w:pPr>
        <w:ind w:left="1120" w:hanging="360"/>
      </w:pPr>
      <w:rPr>
        <w:rFonts w:ascii="Symbol" w:hAnsi="Symbol"/>
      </w:rPr>
    </w:lvl>
    <w:lvl w:ilvl="7" w:tplc="ECC01B48">
      <w:start w:val="1"/>
      <w:numFmt w:val="bullet"/>
      <w:lvlText w:val=""/>
      <w:lvlJc w:val="left"/>
      <w:pPr>
        <w:ind w:left="1120" w:hanging="360"/>
      </w:pPr>
      <w:rPr>
        <w:rFonts w:ascii="Symbol" w:hAnsi="Symbol"/>
      </w:rPr>
    </w:lvl>
    <w:lvl w:ilvl="8" w:tplc="1E54C348">
      <w:start w:val="1"/>
      <w:numFmt w:val="bullet"/>
      <w:lvlText w:val=""/>
      <w:lvlJc w:val="left"/>
      <w:pPr>
        <w:ind w:left="1120" w:hanging="360"/>
      </w:pPr>
      <w:rPr>
        <w:rFonts w:ascii="Symbol" w:hAnsi="Symbol"/>
      </w:rPr>
    </w:lvl>
  </w:abstractNum>
  <w:abstractNum w:abstractNumId="26" w15:restartNumberingAfterBreak="0">
    <w:nsid w:val="4DFA2D7B"/>
    <w:multiLevelType w:val="hybridMultilevel"/>
    <w:tmpl w:val="2BEC8856"/>
    <w:lvl w:ilvl="0" w:tplc="E03A9888">
      <w:start w:val="1"/>
      <w:numFmt w:val="bullet"/>
      <w:lvlText w:val=""/>
      <w:lvlJc w:val="left"/>
      <w:pPr>
        <w:ind w:left="1120" w:hanging="360"/>
      </w:pPr>
      <w:rPr>
        <w:rFonts w:ascii="Symbol" w:hAnsi="Symbol"/>
      </w:rPr>
    </w:lvl>
    <w:lvl w:ilvl="1" w:tplc="47E8133A">
      <w:start w:val="1"/>
      <w:numFmt w:val="bullet"/>
      <w:lvlText w:val=""/>
      <w:lvlJc w:val="left"/>
      <w:pPr>
        <w:ind w:left="1120" w:hanging="360"/>
      </w:pPr>
      <w:rPr>
        <w:rFonts w:ascii="Symbol" w:hAnsi="Symbol"/>
      </w:rPr>
    </w:lvl>
    <w:lvl w:ilvl="2" w:tplc="1E8EB902">
      <w:start w:val="1"/>
      <w:numFmt w:val="bullet"/>
      <w:lvlText w:val=""/>
      <w:lvlJc w:val="left"/>
      <w:pPr>
        <w:ind w:left="1120" w:hanging="360"/>
      </w:pPr>
      <w:rPr>
        <w:rFonts w:ascii="Symbol" w:hAnsi="Symbol"/>
      </w:rPr>
    </w:lvl>
    <w:lvl w:ilvl="3" w:tplc="122C9A1C">
      <w:start w:val="1"/>
      <w:numFmt w:val="bullet"/>
      <w:lvlText w:val=""/>
      <w:lvlJc w:val="left"/>
      <w:pPr>
        <w:ind w:left="1120" w:hanging="360"/>
      </w:pPr>
      <w:rPr>
        <w:rFonts w:ascii="Symbol" w:hAnsi="Symbol"/>
      </w:rPr>
    </w:lvl>
    <w:lvl w:ilvl="4" w:tplc="9156F558">
      <w:start w:val="1"/>
      <w:numFmt w:val="bullet"/>
      <w:lvlText w:val=""/>
      <w:lvlJc w:val="left"/>
      <w:pPr>
        <w:ind w:left="1120" w:hanging="360"/>
      </w:pPr>
      <w:rPr>
        <w:rFonts w:ascii="Symbol" w:hAnsi="Symbol"/>
      </w:rPr>
    </w:lvl>
    <w:lvl w:ilvl="5" w:tplc="D9682D1C">
      <w:start w:val="1"/>
      <w:numFmt w:val="bullet"/>
      <w:lvlText w:val=""/>
      <w:lvlJc w:val="left"/>
      <w:pPr>
        <w:ind w:left="1120" w:hanging="360"/>
      </w:pPr>
      <w:rPr>
        <w:rFonts w:ascii="Symbol" w:hAnsi="Symbol"/>
      </w:rPr>
    </w:lvl>
    <w:lvl w:ilvl="6" w:tplc="0F4EA3AE">
      <w:start w:val="1"/>
      <w:numFmt w:val="bullet"/>
      <w:lvlText w:val=""/>
      <w:lvlJc w:val="left"/>
      <w:pPr>
        <w:ind w:left="1120" w:hanging="360"/>
      </w:pPr>
      <w:rPr>
        <w:rFonts w:ascii="Symbol" w:hAnsi="Symbol"/>
      </w:rPr>
    </w:lvl>
    <w:lvl w:ilvl="7" w:tplc="DC7ADFDE">
      <w:start w:val="1"/>
      <w:numFmt w:val="bullet"/>
      <w:lvlText w:val=""/>
      <w:lvlJc w:val="left"/>
      <w:pPr>
        <w:ind w:left="1120" w:hanging="360"/>
      </w:pPr>
      <w:rPr>
        <w:rFonts w:ascii="Symbol" w:hAnsi="Symbol"/>
      </w:rPr>
    </w:lvl>
    <w:lvl w:ilvl="8" w:tplc="FCA28EE4">
      <w:start w:val="1"/>
      <w:numFmt w:val="bullet"/>
      <w:lvlText w:val=""/>
      <w:lvlJc w:val="left"/>
      <w:pPr>
        <w:ind w:left="1120" w:hanging="360"/>
      </w:pPr>
      <w:rPr>
        <w:rFonts w:ascii="Symbol" w:hAnsi="Symbol"/>
      </w:rPr>
    </w:lvl>
  </w:abstractNum>
  <w:abstractNum w:abstractNumId="27" w15:restartNumberingAfterBreak="0">
    <w:nsid w:val="51EC1718"/>
    <w:multiLevelType w:val="hybridMultilevel"/>
    <w:tmpl w:val="2EC4A090"/>
    <w:lvl w:ilvl="0" w:tplc="40BCDCA0">
      <w:start w:val="1"/>
      <w:numFmt w:val="bullet"/>
      <w:lvlText w:val=""/>
      <w:lvlJc w:val="left"/>
      <w:pPr>
        <w:ind w:left="1120" w:hanging="360"/>
      </w:pPr>
      <w:rPr>
        <w:rFonts w:ascii="Symbol" w:hAnsi="Symbol"/>
      </w:rPr>
    </w:lvl>
    <w:lvl w:ilvl="1" w:tplc="A4D4F484">
      <w:start w:val="1"/>
      <w:numFmt w:val="bullet"/>
      <w:lvlText w:val=""/>
      <w:lvlJc w:val="left"/>
      <w:pPr>
        <w:ind w:left="1120" w:hanging="360"/>
      </w:pPr>
      <w:rPr>
        <w:rFonts w:ascii="Symbol" w:hAnsi="Symbol"/>
      </w:rPr>
    </w:lvl>
    <w:lvl w:ilvl="2" w:tplc="F2E84C02">
      <w:start w:val="1"/>
      <w:numFmt w:val="bullet"/>
      <w:lvlText w:val=""/>
      <w:lvlJc w:val="left"/>
      <w:pPr>
        <w:ind w:left="1120" w:hanging="360"/>
      </w:pPr>
      <w:rPr>
        <w:rFonts w:ascii="Symbol" w:hAnsi="Symbol"/>
      </w:rPr>
    </w:lvl>
    <w:lvl w:ilvl="3" w:tplc="5E984F92">
      <w:start w:val="1"/>
      <w:numFmt w:val="bullet"/>
      <w:lvlText w:val=""/>
      <w:lvlJc w:val="left"/>
      <w:pPr>
        <w:ind w:left="1120" w:hanging="360"/>
      </w:pPr>
      <w:rPr>
        <w:rFonts w:ascii="Symbol" w:hAnsi="Symbol"/>
      </w:rPr>
    </w:lvl>
    <w:lvl w:ilvl="4" w:tplc="F3D6160C">
      <w:start w:val="1"/>
      <w:numFmt w:val="bullet"/>
      <w:lvlText w:val=""/>
      <w:lvlJc w:val="left"/>
      <w:pPr>
        <w:ind w:left="1120" w:hanging="360"/>
      </w:pPr>
      <w:rPr>
        <w:rFonts w:ascii="Symbol" w:hAnsi="Symbol"/>
      </w:rPr>
    </w:lvl>
    <w:lvl w:ilvl="5" w:tplc="0E9CB406">
      <w:start w:val="1"/>
      <w:numFmt w:val="bullet"/>
      <w:lvlText w:val=""/>
      <w:lvlJc w:val="left"/>
      <w:pPr>
        <w:ind w:left="1120" w:hanging="360"/>
      </w:pPr>
      <w:rPr>
        <w:rFonts w:ascii="Symbol" w:hAnsi="Symbol"/>
      </w:rPr>
    </w:lvl>
    <w:lvl w:ilvl="6" w:tplc="0090FA9E">
      <w:start w:val="1"/>
      <w:numFmt w:val="bullet"/>
      <w:lvlText w:val=""/>
      <w:lvlJc w:val="left"/>
      <w:pPr>
        <w:ind w:left="1120" w:hanging="360"/>
      </w:pPr>
      <w:rPr>
        <w:rFonts w:ascii="Symbol" w:hAnsi="Symbol"/>
      </w:rPr>
    </w:lvl>
    <w:lvl w:ilvl="7" w:tplc="239CA3AC">
      <w:start w:val="1"/>
      <w:numFmt w:val="bullet"/>
      <w:lvlText w:val=""/>
      <w:lvlJc w:val="left"/>
      <w:pPr>
        <w:ind w:left="1120" w:hanging="360"/>
      </w:pPr>
      <w:rPr>
        <w:rFonts w:ascii="Symbol" w:hAnsi="Symbol"/>
      </w:rPr>
    </w:lvl>
    <w:lvl w:ilvl="8" w:tplc="84D212EC">
      <w:start w:val="1"/>
      <w:numFmt w:val="bullet"/>
      <w:lvlText w:val=""/>
      <w:lvlJc w:val="left"/>
      <w:pPr>
        <w:ind w:left="1120" w:hanging="360"/>
      </w:pPr>
      <w:rPr>
        <w:rFonts w:ascii="Symbol" w:hAnsi="Symbol"/>
      </w:rPr>
    </w:lvl>
  </w:abstractNum>
  <w:abstractNum w:abstractNumId="28" w15:restartNumberingAfterBreak="0">
    <w:nsid w:val="53EE0B77"/>
    <w:multiLevelType w:val="hybridMultilevel"/>
    <w:tmpl w:val="187E1C14"/>
    <w:lvl w:ilvl="0" w:tplc="EFEE450C">
      <w:start w:val="1"/>
      <w:numFmt w:val="decimal"/>
      <w:lvlText w:val="%1."/>
      <w:lvlJc w:val="left"/>
      <w:pPr>
        <w:ind w:left="1440" w:hanging="360"/>
      </w:pPr>
    </w:lvl>
    <w:lvl w:ilvl="1" w:tplc="970C5422">
      <w:start w:val="1"/>
      <w:numFmt w:val="bullet"/>
      <w:lvlText w:val=""/>
      <w:lvlJc w:val="left"/>
      <w:pPr>
        <w:ind w:left="1440" w:hanging="360"/>
      </w:pPr>
      <w:rPr>
        <w:rFonts w:ascii="Symbol" w:hAnsi="Symbol"/>
      </w:rPr>
    </w:lvl>
    <w:lvl w:ilvl="2" w:tplc="B7829492">
      <w:start w:val="1"/>
      <w:numFmt w:val="decimal"/>
      <w:lvlText w:val="%3."/>
      <w:lvlJc w:val="left"/>
      <w:pPr>
        <w:ind w:left="1440" w:hanging="360"/>
      </w:pPr>
    </w:lvl>
    <w:lvl w:ilvl="3" w:tplc="29AC1C54">
      <w:start w:val="1"/>
      <w:numFmt w:val="decimal"/>
      <w:lvlText w:val="%4."/>
      <w:lvlJc w:val="left"/>
      <w:pPr>
        <w:ind w:left="1440" w:hanging="360"/>
      </w:pPr>
    </w:lvl>
    <w:lvl w:ilvl="4" w:tplc="259C2B98">
      <w:start w:val="1"/>
      <w:numFmt w:val="decimal"/>
      <w:lvlText w:val="%5."/>
      <w:lvlJc w:val="left"/>
      <w:pPr>
        <w:ind w:left="1440" w:hanging="360"/>
      </w:pPr>
    </w:lvl>
    <w:lvl w:ilvl="5" w:tplc="C68206EA">
      <w:start w:val="1"/>
      <w:numFmt w:val="decimal"/>
      <w:lvlText w:val="%6."/>
      <w:lvlJc w:val="left"/>
      <w:pPr>
        <w:ind w:left="1440" w:hanging="360"/>
      </w:pPr>
    </w:lvl>
    <w:lvl w:ilvl="6" w:tplc="946694A0">
      <w:start w:val="1"/>
      <w:numFmt w:val="decimal"/>
      <w:lvlText w:val="%7."/>
      <w:lvlJc w:val="left"/>
      <w:pPr>
        <w:ind w:left="1440" w:hanging="360"/>
      </w:pPr>
    </w:lvl>
    <w:lvl w:ilvl="7" w:tplc="61128DFC">
      <w:start w:val="1"/>
      <w:numFmt w:val="decimal"/>
      <w:lvlText w:val="%8."/>
      <w:lvlJc w:val="left"/>
      <w:pPr>
        <w:ind w:left="1440" w:hanging="360"/>
      </w:pPr>
    </w:lvl>
    <w:lvl w:ilvl="8" w:tplc="6842130E">
      <w:start w:val="1"/>
      <w:numFmt w:val="decimal"/>
      <w:lvlText w:val="%9."/>
      <w:lvlJc w:val="left"/>
      <w:pPr>
        <w:ind w:left="1440" w:hanging="360"/>
      </w:pPr>
    </w:lvl>
  </w:abstractNum>
  <w:abstractNum w:abstractNumId="29" w15:restartNumberingAfterBreak="0">
    <w:nsid w:val="55932D4A"/>
    <w:multiLevelType w:val="hybridMultilevel"/>
    <w:tmpl w:val="4C3ACE5C"/>
    <w:lvl w:ilvl="0" w:tplc="27B0EA1E">
      <w:start w:val="1"/>
      <w:numFmt w:val="bullet"/>
      <w:lvlText w:val=""/>
      <w:lvlJc w:val="left"/>
      <w:pPr>
        <w:ind w:left="1120" w:hanging="360"/>
      </w:pPr>
      <w:rPr>
        <w:rFonts w:ascii="Symbol" w:hAnsi="Symbol"/>
      </w:rPr>
    </w:lvl>
    <w:lvl w:ilvl="1" w:tplc="3EDCEF56">
      <w:start w:val="1"/>
      <w:numFmt w:val="bullet"/>
      <w:lvlText w:val=""/>
      <w:lvlJc w:val="left"/>
      <w:pPr>
        <w:ind w:left="1120" w:hanging="360"/>
      </w:pPr>
      <w:rPr>
        <w:rFonts w:ascii="Symbol" w:hAnsi="Symbol"/>
      </w:rPr>
    </w:lvl>
    <w:lvl w:ilvl="2" w:tplc="53926720">
      <w:start w:val="1"/>
      <w:numFmt w:val="bullet"/>
      <w:lvlText w:val=""/>
      <w:lvlJc w:val="left"/>
      <w:pPr>
        <w:ind w:left="1120" w:hanging="360"/>
      </w:pPr>
      <w:rPr>
        <w:rFonts w:ascii="Symbol" w:hAnsi="Symbol"/>
      </w:rPr>
    </w:lvl>
    <w:lvl w:ilvl="3" w:tplc="A5845002">
      <w:start w:val="1"/>
      <w:numFmt w:val="bullet"/>
      <w:lvlText w:val=""/>
      <w:lvlJc w:val="left"/>
      <w:pPr>
        <w:ind w:left="1120" w:hanging="360"/>
      </w:pPr>
      <w:rPr>
        <w:rFonts w:ascii="Symbol" w:hAnsi="Symbol"/>
      </w:rPr>
    </w:lvl>
    <w:lvl w:ilvl="4" w:tplc="F650DFA4">
      <w:start w:val="1"/>
      <w:numFmt w:val="bullet"/>
      <w:lvlText w:val=""/>
      <w:lvlJc w:val="left"/>
      <w:pPr>
        <w:ind w:left="1120" w:hanging="360"/>
      </w:pPr>
      <w:rPr>
        <w:rFonts w:ascii="Symbol" w:hAnsi="Symbol"/>
      </w:rPr>
    </w:lvl>
    <w:lvl w:ilvl="5" w:tplc="1194B2A4">
      <w:start w:val="1"/>
      <w:numFmt w:val="bullet"/>
      <w:lvlText w:val=""/>
      <w:lvlJc w:val="left"/>
      <w:pPr>
        <w:ind w:left="1120" w:hanging="360"/>
      </w:pPr>
      <w:rPr>
        <w:rFonts w:ascii="Symbol" w:hAnsi="Symbol"/>
      </w:rPr>
    </w:lvl>
    <w:lvl w:ilvl="6" w:tplc="B11AA256">
      <w:start w:val="1"/>
      <w:numFmt w:val="bullet"/>
      <w:lvlText w:val=""/>
      <w:lvlJc w:val="left"/>
      <w:pPr>
        <w:ind w:left="1120" w:hanging="360"/>
      </w:pPr>
      <w:rPr>
        <w:rFonts w:ascii="Symbol" w:hAnsi="Symbol"/>
      </w:rPr>
    </w:lvl>
    <w:lvl w:ilvl="7" w:tplc="4C888D32">
      <w:start w:val="1"/>
      <w:numFmt w:val="bullet"/>
      <w:lvlText w:val=""/>
      <w:lvlJc w:val="left"/>
      <w:pPr>
        <w:ind w:left="1120" w:hanging="360"/>
      </w:pPr>
      <w:rPr>
        <w:rFonts w:ascii="Symbol" w:hAnsi="Symbol"/>
      </w:rPr>
    </w:lvl>
    <w:lvl w:ilvl="8" w:tplc="3A9271D4">
      <w:start w:val="1"/>
      <w:numFmt w:val="bullet"/>
      <w:lvlText w:val=""/>
      <w:lvlJc w:val="left"/>
      <w:pPr>
        <w:ind w:left="1120" w:hanging="360"/>
      </w:pPr>
      <w:rPr>
        <w:rFonts w:ascii="Symbol" w:hAnsi="Symbol"/>
      </w:rPr>
    </w:lvl>
  </w:abstractNum>
  <w:abstractNum w:abstractNumId="30" w15:restartNumberingAfterBreak="0">
    <w:nsid w:val="55DF0BAA"/>
    <w:multiLevelType w:val="hybridMultilevel"/>
    <w:tmpl w:val="3C42252A"/>
    <w:lvl w:ilvl="0" w:tplc="3E3CDFC6">
      <w:start w:val="1"/>
      <w:numFmt w:val="bullet"/>
      <w:lvlText w:val=""/>
      <w:lvlJc w:val="left"/>
      <w:pPr>
        <w:ind w:left="1120" w:hanging="360"/>
      </w:pPr>
      <w:rPr>
        <w:rFonts w:ascii="Symbol" w:hAnsi="Symbol"/>
      </w:rPr>
    </w:lvl>
    <w:lvl w:ilvl="1" w:tplc="59940E76">
      <w:start w:val="1"/>
      <w:numFmt w:val="bullet"/>
      <w:lvlText w:val=""/>
      <w:lvlJc w:val="left"/>
      <w:pPr>
        <w:ind w:left="1120" w:hanging="360"/>
      </w:pPr>
      <w:rPr>
        <w:rFonts w:ascii="Symbol" w:hAnsi="Symbol"/>
      </w:rPr>
    </w:lvl>
    <w:lvl w:ilvl="2" w:tplc="2DEC36A0">
      <w:start w:val="1"/>
      <w:numFmt w:val="bullet"/>
      <w:lvlText w:val=""/>
      <w:lvlJc w:val="left"/>
      <w:pPr>
        <w:ind w:left="1120" w:hanging="360"/>
      </w:pPr>
      <w:rPr>
        <w:rFonts w:ascii="Symbol" w:hAnsi="Symbol"/>
      </w:rPr>
    </w:lvl>
    <w:lvl w:ilvl="3" w:tplc="25688014">
      <w:start w:val="1"/>
      <w:numFmt w:val="bullet"/>
      <w:lvlText w:val=""/>
      <w:lvlJc w:val="left"/>
      <w:pPr>
        <w:ind w:left="1120" w:hanging="360"/>
      </w:pPr>
      <w:rPr>
        <w:rFonts w:ascii="Symbol" w:hAnsi="Symbol"/>
      </w:rPr>
    </w:lvl>
    <w:lvl w:ilvl="4" w:tplc="E2F8DE04">
      <w:start w:val="1"/>
      <w:numFmt w:val="bullet"/>
      <w:lvlText w:val=""/>
      <w:lvlJc w:val="left"/>
      <w:pPr>
        <w:ind w:left="1120" w:hanging="360"/>
      </w:pPr>
      <w:rPr>
        <w:rFonts w:ascii="Symbol" w:hAnsi="Symbol"/>
      </w:rPr>
    </w:lvl>
    <w:lvl w:ilvl="5" w:tplc="DDB4C386">
      <w:start w:val="1"/>
      <w:numFmt w:val="bullet"/>
      <w:lvlText w:val=""/>
      <w:lvlJc w:val="left"/>
      <w:pPr>
        <w:ind w:left="1120" w:hanging="360"/>
      </w:pPr>
      <w:rPr>
        <w:rFonts w:ascii="Symbol" w:hAnsi="Symbol"/>
      </w:rPr>
    </w:lvl>
    <w:lvl w:ilvl="6" w:tplc="694055CC">
      <w:start w:val="1"/>
      <w:numFmt w:val="bullet"/>
      <w:lvlText w:val=""/>
      <w:lvlJc w:val="left"/>
      <w:pPr>
        <w:ind w:left="1120" w:hanging="360"/>
      </w:pPr>
      <w:rPr>
        <w:rFonts w:ascii="Symbol" w:hAnsi="Symbol"/>
      </w:rPr>
    </w:lvl>
    <w:lvl w:ilvl="7" w:tplc="06DA1DA4">
      <w:start w:val="1"/>
      <w:numFmt w:val="bullet"/>
      <w:lvlText w:val=""/>
      <w:lvlJc w:val="left"/>
      <w:pPr>
        <w:ind w:left="1120" w:hanging="360"/>
      </w:pPr>
      <w:rPr>
        <w:rFonts w:ascii="Symbol" w:hAnsi="Symbol"/>
      </w:rPr>
    </w:lvl>
    <w:lvl w:ilvl="8" w:tplc="79D21116">
      <w:start w:val="1"/>
      <w:numFmt w:val="bullet"/>
      <w:lvlText w:val=""/>
      <w:lvlJc w:val="left"/>
      <w:pPr>
        <w:ind w:left="1120" w:hanging="360"/>
      </w:pPr>
      <w:rPr>
        <w:rFonts w:ascii="Symbol" w:hAnsi="Symbol"/>
      </w:rPr>
    </w:lvl>
  </w:abstractNum>
  <w:abstractNum w:abstractNumId="31" w15:restartNumberingAfterBreak="0">
    <w:nsid w:val="59525DCF"/>
    <w:multiLevelType w:val="hybridMultilevel"/>
    <w:tmpl w:val="39562B24"/>
    <w:lvl w:ilvl="0" w:tplc="4D481AB0">
      <w:start w:val="1"/>
      <w:numFmt w:val="bullet"/>
      <w:lvlText w:val=""/>
      <w:lvlJc w:val="left"/>
      <w:pPr>
        <w:ind w:left="1120" w:hanging="360"/>
      </w:pPr>
      <w:rPr>
        <w:rFonts w:ascii="Symbol" w:hAnsi="Symbol"/>
      </w:rPr>
    </w:lvl>
    <w:lvl w:ilvl="1" w:tplc="32681C4E">
      <w:start w:val="1"/>
      <w:numFmt w:val="bullet"/>
      <w:lvlText w:val=""/>
      <w:lvlJc w:val="left"/>
      <w:pPr>
        <w:ind w:left="1120" w:hanging="360"/>
      </w:pPr>
      <w:rPr>
        <w:rFonts w:ascii="Symbol" w:hAnsi="Symbol"/>
      </w:rPr>
    </w:lvl>
    <w:lvl w:ilvl="2" w:tplc="1FEE6F74">
      <w:start w:val="1"/>
      <w:numFmt w:val="bullet"/>
      <w:lvlText w:val=""/>
      <w:lvlJc w:val="left"/>
      <w:pPr>
        <w:ind w:left="1120" w:hanging="360"/>
      </w:pPr>
      <w:rPr>
        <w:rFonts w:ascii="Symbol" w:hAnsi="Symbol"/>
      </w:rPr>
    </w:lvl>
    <w:lvl w:ilvl="3" w:tplc="53B4955A">
      <w:start w:val="1"/>
      <w:numFmt w:val="bullet"/>
      <w:lvlText w:val=""/>
      <w:lvlJc w:val="left"/>
      <w:pPr>
        <w:ind w:left="1120" w:hanging="360"/>
      </w:pPr>
      <w:rPr>
        <w:rFonts w:ascii="Symbol" w:hAnsi="Symbol"/>
      </w:rPr>
    </w:lvl>
    <w:lvl w:ilvl="4" w:tplc="1A06A546">
      <w:start w:val="1"/>
      <w:numFmt w:val="bullet"/>
      <w:lvlText w:val=""/>
      <w:lvlJc w:val="left"/>
      <w:pPr>
        <w:ind w:left="1120" w:hanging="360"/>
      </w:pPr>
      <w:rPr>
        <w:rFonts w:ascii="Symbol" w:hAnsi="Symbol"/>
      </w:rPr>
    </w:lvl>
    <w:lvl w:ilvl="5" w:tplc="E78CABE0">
      <w:start w:val="1"/>
      <w:numFmt w:val="bullet"/>
      <w:lvlText w:val=""/>
      <w:lvlJc w:val="left"/>
      <w:pPr>
        <w:ind w:left="1120" w:hanging="360"/>
      </w:pPr>
      <w:rPr>
        <w:rFonts w:ascii="Symbol" w:hAnsi="Symbol"/>
      </w:rPr>
    </w:lvl>
    <w:lvl w:ilvl="6" w:tplc="49409BBE">
      <w:start w:val="1"/>
      <w:numFmt w:val="bullet"/>
      <w:lvlText w:val=""/>
      <w:lvlJc w:val="left"/>
      <w:pPr>
        <w:ind w:left="1120" w:hanging="360"/>
      </w:pPr>
      <w:rPr>
        <w:rFonts w:ascii="Symbol" w:hAnsi="Symbol"/>
      </w:rPr>
    </w:lvl>
    <w:lvl w:ilvl="7" w:tplc="5A6A23BC">
      <w:start w:val="1"/>
      <w:numFmt w:val="bullet"/>
      <w:lvlText w:val=""/>
      <w:lvlJc w:val="left"/>
      <w:pPr>
        <w:ind w:left="1120" w:hanging="360"/>
      </w:pPr>
      <w:rPr>
        <w:rFonts w:ascii="Symbol" w:hAnsi="Symbol"/>
      </w:rPr>
    </w:lvl>
    <w:lvl w:ilvl="8" w:tplc="26D88B4A">
      <w:start w:val="1"/>
      <w:numFmt w:val="bullet"/>
      <w:lvlText w:val=""/>
      <w:lvlJc w:val="left"/>
      <w:pPr>
        <w:ind w:left="1120" w:hanging="360"/>
      </w:pPr>
      <w:rPr>
        <w:rFonts w:ascii="Symbol" w:hAnsi="Symbol"/>
      </w:rPr>
    </w:lvl>
  </w:abstractNum>
  <w:abstractNum w:abstractNumId="32" w15:restartNumberingAfterBreak="0">
    <w:nsid w:val="62F93879"/>
    <w:multiLevelType w:val="hybridMultilevel"/>
    <w:tmpl w:val="86AAA818"/>
    <w:lvl w:ilvl="0" w:tplc="4914FE42">
      <w:start w:val="1"/>
      <w:numFmt w:val="bullet"/>
      <w:lvlText w:val=""/>
      <w:lvlJc w:val="left"/>
      <w:pPr>
        <w:ind w:left="720" w:hanging="360"/>
      </w:pPr>
      <w:rPr>
        <w:rFonts w:ascii="Symbol" w:hAnsi="Symbol"/>
      </w:rPr>
    </w:lvl>
    <w:lvl w:ilvl="1" w:tplc="C232A1D2">
      <w:start w:val="1"/>
      <w:numFmt w:val="bullet"/>
      <w:lvlText w:val=""/>
      <w:lvlJc w:val="left"/>
      <w:pPr>
        <w:ind w:left="720" w:hanging="360"/>
      </w:pPr>
      <w:rPr>
        <w:rFonts w:ascii="Symbol" w:hAnsi="Symbol"/>
      </w:rPr>
    </w:lvl>
    <w:lvl w:ilvl="2" w:tplc="6DA61CC4">
      <w:start w:val="1"/>
      <w:numFmt w:val="bullet"/>
      <w:lvlText w:val=""/>
      <w:lvlJc w:val="left"/>
      <w:pPr>
        <w:ind w:left="720" w:hanging="360"/>
      </w:pPr>
      <w:rPr>
        <w:rFonts w:ascii="Symbol" w:hAnsi="Symbol"/>
      </w:rPr>
    </w:lvl>
    <w:lvl w:ilvl="3" w:tplc="1692389A">
      <w:start w:val="1"/>
      <w:numFmt w:val="bullet"/>
      <w:lvlText w:val=""/>
      <w:lvlJc w:val="left"/>
      <w:pPr>
        <w:ind w:left="720" w:hanging="360"/>
      </w:pPr>
      <w:rPr>
        <w:rFonts w:ascii="Symbol" w:hAnsi="Symbol"/>
      </w:rPr>
    </w:lvl>
    <w:lvl w:ilvl="4" w:tplc="FC5AA1A6">
      <w:start w:val="1"/>
      <w:numFmt w:val="bullet"/>
      <w:lvlText w:val=""/>
      <w:lvlJc w:val="left"/>
      <w:pPr>
        <w:ind w:left="720" w:hanging="360"/>
      </w:pPr>
      <w:rPr>
        <w:rFonts w:ascii="Symbol" w:hAnsi="Symbol"/>
      </w:rPr>
    </w:lvl>
    <w:lvl w:ilvl="5" w:tplc="F216C942">
      <w:start w:val="1"/>
      <w:numFmt w:val="bullet"/>
      <w:lvlText w:val=""/>
      <w:lvlJc w:val="left"/>
      <w:pPr>
        <w:ind w:left="720" w:hanging="360"/>
      </w:pPr>
      <w:rPr>
        <w:rFonts w:ascii="Symbol" w:hAnsi="Symbol"/>
      </w:rPr>
    </w:lvl>
    <w:lvl w:ilvl="6" w:tplc="8CC299AC">
      <w:start w:val="1"/>
      <w:numFmt w:val="bullet"/>
      <w:lvlText w:val=""/>
      <w:lvlJc w:val="left"/>
      <w:pPr>
        <w:ind w:left="720" w:hanging="360"/>
      </w:pPr>
      <w:rPr>
        <w:rFonts w:ascii="Symbol" w:hAnsi="Symbol"/>
      </w:rPr>
    </w:lvl>
    <w:lvl w:ilvl="7" w:tplc="C99E6F7C">
      <w:start w:val="1"/>
      <w:numFmt w:val="bullet"/>
      <w:lvlText w:val=""/>
      <w:lvlJc w:val="left"/>
      <w:pPr>
        <w:ind w:left="720" w:hanging="360"/>
      </w:pPr>
      <w:rPr>
        <w:rFonts w:ascii="Symbol" w:hAnsi="Symbol"/>
      </w:rPr>
    </w:lvl>
    <w:lvl w:ilvl="8" w:tplc="4394D974">
      <w:start w:val="1"/>
      <w:numFmt w:val="bullet"/>
      <w:lvlText w:val=""/>
      <w:lvlJc w:val="left"/>
      <w:pPr>
        <w:ind w:left="720" w:hanging="360"/>
      </w:pPr>
      <w:rPr>
        <w:rFonts w:ascii="Symbol" w:hAnsi="Symbol"/>
      </w:rPr>
    </w:lvl>
  </w:abstractNum>
  <w:abstractNum w:abstractNumId="33" w15:restartNumberingAfterBreak="0">
    <w:nsid w:val="68CC3549"/>
    <w:multiLevelType w:val="hybridMultilevel"/>
    <w:tmpl w:val="FB74454E"/>
    <w:lvl w:ilvl="0" w:tplc="4BF8E636">
      <w:start w:val="1"/>
      <w:numFmt w:val="bullet"/>
      <w:lvlText w:val=""/>
      <w:lvlJc w:val="left"/>
      <w:pPr>
        <w:ind w:left="720" w:hanging="360"/>
      </w:pPr>
      <w:rPr>
        <w:rFonts w:ascii="Symbol" w:hAnsi="Symbol"/>
      </w:rPr>
    </w:lvl>
    <w:lvl w:ilvl="1" w:tplc="61A8E746">
      <w:start w:val="1"/>
      <w:numFmt w:val="bullet"/>
      <w:lvlText w:val=""/>
      <w:lvlJc w:val="left"/>
      <w:pPr>
        <w:ind w:left="720" w:hanging="360"/>
      </w:pPr>
      <w:rPr>
        <w:rFonts w:ascii="Symbol" w:hAnsi="Symbol"/>
      </w:rPr>
    </w:lvl>
    <w:lvl w:ilvl="2" w:tplc="023057D4">
      <w:start w:val="1"/>
      <w:numFmt w:val="bullet"/>
      <w:lvlText w:val=""/>
      <w:lvlJc w:val="left"/>
      <w:pPr>
        <w:ind w:left="720" w:hanging="360"/>
      </w:pPr>
      <w:rPr>
        <w:rFonts w:ascii="Symbol" w:hAnsi="Symbol"/>
      </w:rPr>
    </w:lvl>
    <w:lvl w:ilvl="3" w:tplc="BA328838">
      <w:start w:val="1"/>
      <w:numFmt w:val="bullet"/>
      <w:lvlText w:val=""/>
      <w:lvlJc w:val="left"/>
      <w:pPr>
        <w:ind w:left="720" w:hanging="360"/>
      </w:pPr>
      <w:rPr>
        <w:rFonts w:ascii="Symbol" w:hAnsi="Symbol"/>
      </w:rPr>
    </w:lvl>
    <w:lvl w:ilvl="4" w:tplc="5AE0B96E">
      <w:start w:val="1"/>
      <w:numFmt w:val="bullet"/>
      <w:lvlText w:val=""/>
      <w:lvlJc w:val="left"/>
      <w:pPr>
        <w:ind w:left="720" w:hanging="360"/>
      </w:pPr>
      <w:rPr>
        <w:rFonts w:ascii="Symbol" w:hAnsi="Symbol"/>
      </w:rPr>
    </w:lvl>
    <w:lvl w:ilvl="5" w:tplc="5AC24840">
      <w:start w:val="1"/>
      <w:numFmt w:val="bullet"/>
      <w:lvlText w:val=""/>
      <w:lvlJc w:val="left"/>
      <w:pPr>
        <w:ind w:left="720" w:hanging="360"/>
      </w:pPr>
      <w:rPr>
        <w:rFonts w:ascii="Symbol" w:hAnsi="Symbol"/>
      </w:rPr>
    </w:lvl>
    <w:lvl w:ilvl="6" w:tplc="5366C4F8">
      <w:start w:val="1"/>
      <w:numFmt w:val="bullet"/>
      <w:lvlText w:val=""/>
      <w:lvlJc w:val="left"/>
      <w:pPr>
        <w:ind w:left="720" w:hanging="360"/>
      </w:pPr>
      <w:rPr>
        <w:rFonts w:ascii="Symbol" w:hAnsi="Symbol"/>
      </w:rPr>
    </w:lvl>
    <w:lvl w:ilvl="7" w:tplc="1B7253A6">
      <w:start w:val="1"/>
      <w:numFmt w:val="bullet"/>
      <w:lvlText w:val=""/>
      <w:lvlJc w:val="left"/>
      <w:pPr>
        <w:ind w:left="720" w:hanging="360"/>
      </w:pPr>
      <w:rPr>
        <w:rFonts w:ascii="Symbol" w:hAnsi="Symbol"/>
      </w:rPr>
    </w:lvl>
    <w:lvl w:ilvl="8" w:tplc="8BC8F27C">
      <w:start w:val="1"/>
      <w:numFmt w:val="bullet"/>
      <w:lvlText w:val=""/>
      <w:lvlJc w:val="left"/>
      <w:pPr>
        <w:ind w:left="720" w:hanging="360"/>
      </w:pPr>
      <w:rPr>
        <w:rFonts w:ascii="Symbol" w:hAnsi="Symbol"/>
      </w:rPr>
    </w:lvl>
  </w:abstractNum>
  <w:abstractNum w:abstractNumId="34" w15:restartNumberingAfterBreak="0">
    <w:nsid w:val="6A81271A"/>
    <w:multiLevelType w:val="hybridMultilevel"/>
    <w:tmpl w:val="B4081928"/>
    <w:lvl w:ilvl="0" w:tplc="84D20C42">
      <w:start w:val="1"/>
      <w:numFmt w:val="bullet"/>
      <w:lvlText w:val=""/>
      <w:lvlJc w:val="left"/>
      <w:pPr>
        <w:ind w:left="1120" w:hanging="360"/>
      </w:pPr>
      <w:rPr>
        <w:rFonts w:ascii="Symbol" w:hAnsi="Symbol"/>
      </w:rPr>
    </w:lvl>
    <w:lvl w:ilvl="1" w:tplc="A366F022">
      <w:start w:val="1"/>
      <w:numFmt w:val="bullet"/>
      <w:lvlText w:val=""/>
      <w:lvlJc w:val="left"/>
      <w:pPr>
        <w:ind w:left="1120" w:hanging="360"/>
      </w:pPr>
      <w:rPr>
        <w:rFonts w:ascii="Symbol" w:hAnsi="Symbol"/>
      </w:rPr>
    </w:lvl>
    <w:lvl w:ilvl="2" w:tplc="CFC07F3A">
      <w:start w:val="1"/>
      <w:numFmt w:val="bullet"/>
      <w:lvlText w:val=""/>
      <w:lvlJc w:val="left"/>
      <w:pPr>
        <w:ind w:left="1120" w:hanging="360"/>
      </w:pPr>
      <w:rPr>
        <w:rFonts w:ascii="Symbol" w:hAnsi="Symbol"/>
      </w:rPr>
    </w:lvl>
    <w:lvl w:ilvl="3" w:tplc="5E62661E">
      <w:start w:val="1"/>
      <w:numFmt w:val="bullet"/>
      <w:lvlText w:val=""/>
      <w:lvlJc w:val="left"/>
      <w:pPr>
        <w:ind w:left="1120" w:hanging="360"/>
      </w:pPr>
      <w:rPr>
        <w:rFonts w:ascii="Symbol" w:hAnsi="Symbol"/>
      </w:rPr>
    </w:lvl>
    <w:lvl w:ilvl="4" w:tplc="1F16061C">
      <w:start w:val="1"/>
      <w:numFmt w:val="bullet"/>
      <w:lvlText w:val=""/>
      <w:lvlJc w:val="left"/>
      <w:pPr>
        <w:ind w:left="1120" w:hanging="360"/>
      </w:pPr>
      <w:rPr>
        <w:rFonts w:ascii="Symbol" w:hAnsi="Symbol"/>
      </w:rPr>
    </w:lvl>
    <w:lvl w:ilvl="5" w:tplc="CD62DC84">
      <w:start w:val="1"/>
      <w:numFmt w:val="bullet"/>
      <w:lvlText w:val=""/>
      <w:lvlJc w:val="left"/>
      <w:pPr>
        <w:ind w:left="1120" w:hanging="360"/>
      </w:pPr>
      <w:rPr>
        <w:rFonts w:ascii="Symbol" w:hAnsi="Symbol"/>
      </w:rPr>
    </w:lvl>
    <w:lvl w:ilvl="6" w:tplc="48EC001E">
      <w:start w:val="1"/>
      <w:numFmt w:val="bullet"/>
      <w:lvlText w:val=""/>
      <w:lvlJc w:val="left"/>
      <w:pPr>
        <w:ind w:left="1120" w:hanging="360"/>
      </w:pPr>
      <w:rPr>
        <w:rFonts w:ascii="Symbol" w:hAnsi="Symbol"/>
      </w:rPr>
    </w:lvl>
    <w:lvl w:ilvl="7" w:tplc="CD3C15E4">
      <w:start w:val="1"/>
      <w:numFmt w:val="bullet"/>
      <w:lvlText w:val=""/>
      <w:lvlJc w:val="left"/>
      <w:pPr>
        <w:ind w:left="1120" w:hanging="360"/>
      </w:pPr>
      <w:rPr>
        <w:rFonts w:ascii="Symbol" w:hAnsi="Symbol"/>
      </w:rPr>
    </w:lvl>
    <w:lvl w:ilvl="8" w:tplc="1BE6B0E2">
      <w:start w:val="1"/>
      <w:numFmt w:val="bullet"/>
      <w:lvlText w:val=""/>
      <w:lvlJc w:val="left"/>
      <w:pPr>
        <w:ind w:left="1120" w:hanging="360"/>
      </w:pPr>
      <w:rPr>
        <w:rFonts w:ascii="Symbol" w:hAnsi="Symbol"/>
      </w:rPr>
    </w:lvl>
  </w:abstractNum>
  <w:abstractNum w:abstractNumId="35" w15:restartNumberingAfterBreak="0">
    <w:nsid w:val="6C0F52A5"/>
    <w:multiLevelType w:val="hybridMultilevel"/>
    <w:tmpl w:val="8A2C631A"/>
    <w:lvl w:ilvl="0" w:tplc="7B946146">
      <w:start w:val="1"/>
      <w:numFmt w:val="bullet"/>
      <w:lvlText w:val=""/>
      <w:lvlJc w:val="left"/>
      <w:pPr>
        <w:ind w:left="1080" w:hanging="360"/>
      </w:pPr>
      <w:rPr>
        <w:rFonts w:ascii="Symbol" w:hAnsi="Symbol"/>
      </w:rPr>
    </w:lvl>
    <w:lvl w:ilvl="1" w:tplc="1C1CA132">
      <w:start w:val="1"/>
      <w:numFmt w:val="bullet"/>
      <w:lvlText w:val=""/>
      <w:lvlJc w:val="left"/>
      <w:pPr>
        <w:ind w:left="1080" w:hanging="360"/>
      </w:pPr>
      <w:rPr>
        <w:rFonts w:ascii="Symbol" w:hAnsi="Symbol"/>
      </w:rPr>
    </w:lvl>
    <w:lvl w:ilvl="2" w:tplc="A20E5B62">
      <w:start w:val="1"/>
      <w:numFmt w:val="bullet"/>
      <w:lvlText w:val=""/>
      <w:lvlJc w:val="left"/>
      <w:pPr>
        <w:ind w:left="1080" w:hanging="360"/>
      </w:pPr>
      <w:rPr>
        <w:rFonts w:ascii="Symbol" w:hAnsi="Symbol"/>
      </w:rPr>
    </w:lvl>
    <w:lvl w:ilvl="3" w:tplc="3140DC02">
      <w:start w:val="1"/>
      <w:numFmt w:val="bullet"/>
      <w:lvlText w:val=""/>
      <w:lvlJc w:val="left"/>
      <w:pPr>
        <w:ind w:left="1080" w:hanging="360"/>
      </w:pPr>
      <w:rPr>
        <w:rFonts w:ascii="Symbol" w:hAnsi="Symbol"/>
      </w:rPr>
    </w:lvl>
    <w:lvl w:ilvl="4" w:tplc="B590089C">
      <w:start w:val="1"/>
      <w:numFmt w:val="bullet"/>
      <w:lvlText w:val=""/>
      <w:lvlJc w:val="left"/>
      <w:pPr>
        <w:ind w:left="1080" w:hanging="360"/>
      </w:pPr>
      <w:rPr>
        <w:rFonts w:ascii="Symbol" w:hAnsi="Symbol"/>
      </w:rPr>
    </w:lvl>
    <w:lvl w:ilvl="5" w:tplc="AF803FD8">
      <w:start w:val="1"/>
      <w:numFmt w:val="bullet"/>
      <w:lvlText w:val=""/>
      <w:lvlJc w:val="left"/>
      <w:pPr>
        <w:ind w:left="1080" w:hanging="360"/>
      </w:pPr>
      <w:rPr>
        <w:rFonts w:ascii="Symbol" w:hAnsi="Symbol"/>
      </w:rPr>
    </w:lvl>
    <w:lvl w:ilvl="6" w:tplc="CA68B1E2">
      <w:start w:val="1"/>
      <w:numFmt w:val="bullet"/>
      <w:lvlText w:val=""/>
      <w:lvlJc w:val="left"/>
      <w:pPr>
        <w:ind w:left="1080" w:hanging="360"/>
      </w:pPr>
      <w:rPr>
        <w:rFonts w:ascii="Symbol" w:hAnsi="Symbol"/>
      </w:rPr>
    </w:lvl>
    <w:lvl w:ilvl="7" w:tplc="9DD0AA86">
      <w:start w:val="1"/>
      <w:numFmt w:val="bullet"/>
      <w:lvlText w:val=""/>
      <w:lvlJc w:val="left"/>
      <w:pPr>
        <w:ind w:left="1080" w:hanging="360"/>
      </w:pPr>
      <w:rPr>
        <w:rFonts w:ascii="Symbol" w:hAnsi="Symbol"/>
      </w:rPr>
    </w:lvl>
    <w:lvl w:ilvl="8" w:tplc="821E5D48">
      <w:start w:val="1"/>
      <w:numFmt w:val="bullet"/>
      <w:lvlText w:val=""/>
      <w:lvlJc w:val="left"/>
      <w:pPr>
        <w:ind w:left="1080" w:hanging="360"/>
      </w:pPr>
      <w:rPr>
        <w:rFonts w:ascii="Symbol" w:hAnsi="Symbol"/>
      </w:rPr>
    </w:lvl>
  </w:abstractNum>
  <w:abstractNum w:abstractNumId="36" w15:restartNumberingAfterBreak="0">
    <w:nsid w:val="6FC776D5"/>
    <w:multiLevelType w:val="hybridMultilevel"/>
    <w:tmpl w:val="2C7CEAB0"/>
    <w:lvl w:ilvl="0" w:tplc="051434F4">
      <w:start w:val="1"/>
      <w:numFmt w:val="bullet"/>
      <w:lvlText w:val=""/>
      <w:lvlJc w:val="left"/>
      <w:pPr>
        <w:ind w:left="1120" w:hanging="360"/>
      </w:pPr>
      <w:rPr>
        <w:rFonts w:ascii="Symbol" w:hAnsi="Symbol"/>
      </w:rPr>
    </w:lvl>
    <w:lvl w:ilvl="1" w:tplc="CF161004">
      <w:start w:val="1"/>
      <w:numFmt w:val="bullet"/>
      <w:lvlText w:val=""/>
      <w:lvlJc w:val="left"/>
      <w:pPr>
        <w:ind w:left="1120" w:hanging="360"/>
      </w:pPr>
      <w:rPr>
        <w:rFonts w:ascii="Symbol" w:hAnsi="Symbol"/>
      </w:rPr>
    </w:lvl>
    <w:lvl w:ilvl="2" w:tplc="C23C26AA">
      <w:start w:val="1"/>
      <w:numFmt w:val="bullet"/>
      <w:lvlText w:val=""/>
      <w:lvlJc w:val="left"/>
      <w:pPr>
        <w:ind w:left="1120" w:hanging="360"/>
      </w:pPr>
      <w:rPr>
        <w:rFonts w:ascii="Symbol" w:hAnsi="Symbol"/>
      </w:rPr>
    </w:lvl>
    <w:lvl w:ilvl="3" w:tplc="8D6C0DBC">
      <w:start w:val="1"/>
      <w:numFmt w:val="bullet"/>
      <w:lvlText w:val=""/>
      <w:lvlJc w:val="left"/>
      <w:pPr>
        <w:ind w:left="1120" w:hanging="360"/>
      </w:pPr>
      <w:rPr>
        <w:rFonts w:ascii="Symbol" w:hAnsi="Symbol"/>
      </w:rPr>
    </w:lvl>
    <w:lvl w:ilvl="4" w:tplc="4F1EA9C0">
      <w:start w:val="1"/>
      <w:numFmt w:val="bullet"/>
      <w:lvlText w:val=""/>
      <w:lvlJc w:val="left"/>
      <w:pPr>
        <w:ind w:left="1120" w:hanging="360"/>
      </w:pPr>
      <w:rPr>
        <w:rFonts w:ascii="Symbol" w:hAnsi="Symbol"/>
      </w:rPr>
    </w:lvl>
    <w:lvl w:ilvl="5" w:tplc="D75A21D6">
      <w:start w:val="1"/>
      <w:numFmt w:val="bullet"/>
      <w:lvlText w:val=""/>
      <w:lvlJc w:val="left"/>
      <w:pPr>
        <w:ind w:left="1120" w:hanging="360"/>
      </w:pPr>
      <w:rPr>
        <w:rFonts w:ascii="Symbol" w:hAnsi="Symbol"/>
      </w:rPr>
    </w:lvl>
    <w:lvl w:ilvl="6" w:tplc="975648C4">
      <w:start w:val="1"/>
      <w:numFmt w:val="bullet"/>
      <w:lvlText w:val=""/>
      <w:lvlJc w:val="left"/>
      <w:pPr>
        <w:ind w:left="1120" w:hanging="360"/>
      </w:pPr>
      <w:rPr>
        <w:rFonts w:ascii="Symbol" w:hAnsi="Symbol"/>
      </w:rPr>
    </w:lvl>
    <w:lvl w:ilvl="7" w:tplc="04964D2C">
      <w:start w:val="1"/>
      <w:numFmt w:val="bullet"/>
      <w:lvlText w:val=""/>
      <w:lvlJc w:val="left"/>
      <w:pPr>
        <w:ind w:left="1120" w:hanging="360"/>
      </w:pPr>
      <w:rPr>
        <w:rFonts w:ascii="Symbol" w:hAnsi="Symbol"/>
      </w:rPr>
    </w:lvl>
    <w:lvl w:ilvl="8" w:tplc="EB0A7D04">
      <w:start w:val="1"/>
      <w:numFmt w:val="bullet"/>
      <w:lvlText w:val=""/>
      <w:lvlJc w:val="left"/>
      <w:pPr>
        <w:ind w:left="1120" w:hanging="360"/>
      </w:pPr>
      <w:rPr>
        <w:rFonts w:ascii="Symbol" w:hAnsi="Symbol"/>
      </w:rPr>
    </w:lvl>
  </w:abstractNum>
  <w:abstractNum w:abstractNumId="37" w15:restartNumberingAfterBreak="0">
    <w:nsid w:val="6FE911B9"/>
    <w:multiLevelType w:val="hybridMultilevel"/>
    <w:tmpl w:val="1698169E"/>
    <w:lvl w:ilvl="0" w:tplc="167E5C4E">
      <w:start w:val="1"/>
      <w:numFmt w:val="decimal"/>
      <w:lvlText w:val="%1."/>
      <w:lvlJc w:val="left"/>
      <w:pPr>
        <w:ind w:left="1480" w:hanging="360"/>
      </w:pPr>
    </w:lvl>
    <w:lvl w:ilvl="1" w:tplc="93D02260">
      <w:start w:val="1"/>
      <w:numFmt w:val="decimal"/>
      <w:lvlText w:val="%2."/>
      <w:lvlJc w:val="left"/>
      <w:pPr>
        <w:ind w:left="1480" w:hanging="360"/>
      </w:pPr>
    </w:lvl>
    <w:lvl w:ilvl="2" w:tplc="16B80696">
      <w:start w:val="1"/>
      <w:numFmt w:val="decimal"/>
      <w:lvlText w:val="%3."/>
      <w:lvlJc w:val="left"/>
      <w:pPr>
        <w:ind w:left="1480" w:hanging="360"/>
      </w:pPr>
    </w:lvl>
    <w:lvl w:ilvl="3" w:tplc="0528121A">
      <w:start w:val="1"/>
      <w:numFmt w:val="decimal"/>
      <w:lvlText w:val="%4."/>
      <w:lvlJc w:val="left"/>
      <w:pPr>
        <w:ind w:left="1480" w:hanging="360"/>
      </w:pPr>
    </w:lvl>
    <w:lvl w:ilvl="4" w:tplc="BE0C8248">
      <w:start w:val="1"/>
      <w:numFmt w:val="decimal"/>
      <w:lvlText w:val="%5."/>
      <w:lvlJc w:val="left"/>
      <w:pPr>
        <w:ind w:left="1480" w:hanging="360"/>
      </w:pPr>
    </w:lvl>
    <w:lvl w:ilvl="5" w:tplc="7B3070BE">
      <w:start w:val="1"/>
      <w:numFmt w:val="decimal"/>
      <w:lvlText w:val="%6."/>
      <w:lvlJc w:val="left"/>
      <w:pPr>
        <w:ind w:left="1480" w:hanging="360"/>
      </w:pPr>
    </w:lvl>
    <w:lvl w:ilvl="6" w:tplc="C5A847B4">
      <w:start w:val="1"/>
      <w:numFmt w:val="decimal"/>
      <w:lvlText w:val="%7."/>
      <w:lvlJc w:val="left"/>
      <w:pPr>
        <w:ind w:left="1480" w:hanging="360"/>
      </w:pPr>
    </w:lvl>
    <w:lvl w:ilvl="7" w:tplc="48C4F73A">
      <w:start w:val="1"/>
      <w:numFmt w:val="decimal"/>
      <w:lvlText w:val="%8."/>
      <w:lvlJc w:val="left"/>
      <w:pPr>
        <w:ind w:left="1480" w:hanging="360"/>
      </w:pPr>
    </w:lvl>
    <w:lvl w:ilvl="8" w:tplc="1A0E0ECE">
      <w:start w:val="1"/>
      <w:numFmt w:val="decimal"/>
      <w:lvlText w:val="%9."/>
      <w:lvlJc w:val="left"/>
      <w:pPr>
        <w:ind w:left="1480" w:hanging="360"/>
      </w:pPr>
    </w:lvl>
  </w:abstractNum>
  <w:abstractNum w:abstractNumId="38" w15:restartNumberingAfterBreak="0">
    <w:nsid w:val="7037388F"/>
    <w:multiLevelType w:val="hybridMultilevel"/>
    <w:tmpl w:val="24C62FF6"/>
    <w:lvl w:ilvl="0" w:tplc="250CC44C">
      <w:start w:val="1"/>
      <w:numFmt w:val="bullet"/>
      <w:lvlText w:val=""/>
      <w:lvlJc w:val="left"/>
      <w:pPr>
        <w:ind w:left="1080" w:hanging="360"/>
      </w:pPr>
      <w:rPr>
        <w:rFonts w:ascii="Symbol" w:hAnsi="Symbol"/>
      </w:rPr>
    </w:lvl>
    <w:lvl w:ilvl="1" w:tplc="4FE0B7EE">
      <w:start w:val="1"/>
      <w:numFmt w:val="bullet"/>
      <w:lvlText w:val=""/>
      <w:lvlJc w:val="left"/>
      <w:pPr>
        <w:ind w:left="1440" w:hanging="360"/>
      </w:pPr>
      <w:rPr>
        <w:rFonts w:ascii="Symbol" w:hAnsi="Symbol"/>
      </w:rPr>
    </w:lvl>
    <w:lvl w:ilvl="2" w:tplc="52DE9D04">
      <w:start w:val="1"/>
      <w:numFmt w:val="bullet"/>
      <w:lvlText w:val=""/>
      <w:lvlJc w:val="left"/>
      <w:pPr>
        <w:ind w:left="1080" w:hanging="360"/>
      </w:pPr>
      <w:rPr>
        <w:rFonts w:ascii="Symbol" w:hAnsi="Symbol"/>
      </w:rPr>
    </w:lvl>
    <w:lvl w:ilvl="3" w:tplc="289083BC">
      <w:start w:val="1"/>
      <w:numFmt w:val="bullet"/>
      <w:lvlText w:val=""/>
      <w:lvlJc w:val="left"/>
      <w:pPr>
        <w:ind w:left="1080" w:hanging="360"/>
      </w:pPr>
      <w:rPr>
        <w:rFonts w:ascii="Symbol" w:hAnsi="Symbol"/>
      </w:rPr>
    </w:lvl>
    <w:lvl w:ilvl="4" w:tplc="397A73B4">
      <w:start w:val="1"/>
      <w:numFmt w:val="bullet"/>
      <w:lvlText w:val=""/>
      <w:lvlJc w:val="left"/>
      <w:pPr>
        <w:ind w:left="1080" w:hanging="360"/>
      </w:pPr>
      <w:rPr>
        <w:rFonts w:ascii="Symbol" w:hAnsi="Symbol"/>
      </w:rPr>
    </w:lvl>
    <w:lvl w:ilvl="5" w:tplc="20EEBD72">
      <w:start w:val="1"/>
      <w:numFmt w:val="bullet"/>
      <w:lvlText w:val=""/>
      <w:lvlJc w:val="left"/>
      <w:pPr>
        <w:ind w:left="1080" w:hanging="360"/>
      </w:pPr>
      <w:rPr>
        <w:rFonts w:ascii="Symbol" w:hAnsi="Symbol"/>
      </w:rPr>
    </w:lvl>
    <w:lvl w:ilvl="6" w:tplc="5EE4CCFE">
      <w:start w:val="1"/>
      <w:numFmt w:val="bullet"/>
      <w:lvlText w:val=""/>
      <w:lvlJc w:val="left"/>
      <w:pPr>
        <w:ind w:left="1080" w:hanging="360"/>
      </w:pPr>
      <w:rPr>
        <w:rFonts w:ascii="Symbol" w:hAnsi="Symbol"/>
      </w:rPr>
    </w:lvl>
    <w:lvl w:ilvl="7" w:tplc="CC94FC58">
      <w:start w:val="1"/>
      <w:numFmt w:val="bullet"/>
      <w:lvlText w:val=""/>
      <w:lvlJc w:val="left"/>
      <w:pPr>
        <w:ind w:left="1080" w:hanging="360"/>
      </w:pPr>
      <w:rPr>
        <w:rFonts w:ascii="Symbol" w:hAnsi="Symbol"/>
      </w:rPr>
    </w:lvl>
    <w:lvl w:ilvl="8" w:tplc="8278B50A">
      <w:start w:val="1"/>
      <w:numFmt w:val="bullet"/>
      <w:lvlText w:val=""/>
      <w:lvlJc w:val="left"/>
      <w:pPr>
        <w:ind w:left="1080" w:hanging="360"/>
      </w:pPr>
      <w:rPr>
        <w:rFonts w:ascii="Symbol" w:hAnsi="Symbol"/>
      </w:rPr>
    </w:lvl>
  </w:abstractNum>
  <w:abstractNum w:abstractNumId="39" w15:restartNumberingAfterBreak="0">
    <w:nsid w:val="7B9960FD"/>
    <w:multiLevelType w:val="hybridMultilevel"/>
    <w:tmpl w:val="3EE41674"/>
    <w:lvl w:ilvl="0" w:tplc="A4F6EE98">
      <w:start w:val="1"/>
      <w:numFmt w:val="bullet"/>
      <w:lvlText w:val=""/>
      <w:lvlJc w:val="left"/>
      <w:pPr>
        <w:ind w:left="1120" w:hanging="360"/>
      </w:pPr>
      <w:rPr>
        <w:rFonts w:ascii="Symbol" w:hAnsi="Symbol"/>
      </w:rPr>
    </w:lvl>
    <w:lvl w:ilvl="1" w:tplc="D242E1F2">
      <w:start w:val="1"/>
      <w:numFmt w:val="bullet"/>
      <w:lvlText w:val=""/>
      <w:lvlJc w:val="left"/>
      <w:pPr>
        <w:ind w:left="1120" w:hanging="360"/>
      </w:pPr>
      <w:rPr>
        <w:rFonts w:ascii="Symbol" w:hAnsi="Symbol"/>
      </w:rPr>
    </w:lvl>
    <w:lvl w:ilvl="2" w:tplc="95E045F2">
      <w:start w:val="1"/>
      <w:numFmt w:val="bullet"/>
      <w:lvlText w:val=""/>
      <w:lvlJc w:val="left"/>
      <w:pPr>
        <w:ind w:left="1120" w:hanging="360"/>
      </w:pPr>
      <w:rPr>
        <w:rFonts w:ascii="Symbol" w:hAnsi="Symbol"/>
      </w:rPr>
    </w:lvl>
    <w:lvl w:ilvl="3" w:tplc="A5DEC7DE">
      <w:start w:val="1"/>
      <w:numFmt w:val="bullet"/>
      <w:lvlText w:val=""/>
      <w:lvlJc w:val="left"/>
      <w:pPr>
        <w:ind w:left="1120" w:hanging="360"/>
      </w:pPr>
      <w:rPr>
        <w:rFonts w:ascii="Symbol" w:hAnsi="Symbol"/>
      </w:rPr>
    </w:lvl>
    <w:lvl w:ilvl="4" w:tplc="0C4E6DC6">
      <w:start w:val="1"/>
      <w:numFmt w:val="bullet"/>
      <w:lvlText w:val=""/>
      <w:lvlJc w:val="left"/>
      <w:pPr>
        <w:ind w:left="1120" w:hanging="360"/>
      </w:pPr>
      <w:rPr>
        <w:rFonts w:ascii="Symbol" w:hAnsi="Symbol"/>
      </w:rPr>
    </w:lvl>
    <w:lvl w:ilvl="5" w:tplc="A52AC45C">
      <w:start w:val="1"/>
      <w:numFmt w:val="bullet"/>
      <w:lvlText w:val=""/>
      <w:lvlJc w:val="left"/>
      <w:pPr>
        <w:ind w:left="1120" w:hanging="360"/>
      </w:pPr>
      <w:rPr>
        <w:rFonts w:ascii="Symbol" w:hAnsi="Symbol"/>
      </w:rPr>
    </w:lvl>
    <w:lvl w:ilvl="6" w:tplc="AE4C2094">
      <w:start w:val="1"/>
      <w:numFmt w:val="bullet"/>
      <w:lvlText w:val=""/>
      <w:lvlJc w:val="left"/>
      <w:pPr>
        <w:ind w:left="1120" w:hanging="360"/>
      </w:pPr>
      <w:rPr>
        <w:rFonts w:ascii="Symbol" w:hAnsi="Symbol"/>
      </w:rPr>
    </w:lvl>
    <w:lvl w:ilvl="7" w:tplc="35E871D2">
      <w:start w:val="1"/>
      <w:numFmt w:val="bullet"/>
      <w:lvlText w:val=""/>
      <w:lvlJc w:val="left"/>
      <w:pPr>
        <w:ind w:left="1120" w:hanging="360"/>
      </w:pPr>
      <w:rPr>
        <w:rFonts w:ascii="Symbol" w:hAnsi="Symbol"/>
      </w:rPr>
    </w:lvl>
    <w:lvl w:ilvl="8" w:tplc="091E3D6E">
      <w:start w:val="1"/>
      <w:numFmt w:val="bullet"/>
      <w:lvlText w:val=""/>
      <w:lvlJc w:val="left"/>
      <w:pPr>
        <w:ind w:left="1120" w:hanging="360"/>
      </w:pPr>
      <w:rPr>
        <w:rFonts w:ascii="Symbol" w:hAnsi="Symbol"/>
      </w:rPr>
    </w:lvl>
  </w:abstractNum>
  <w:num w:numId="1" w16cid:durableId="1737625705">
    <w:abstractNumId w:val="9"/>
  </w:num>
  <w:num w:numId="2" w16cid:durableId="1483766893">
    <w:abstractNumId w:val="21"/>
  </w:num>
  <w:num w:numId="3" w16cid:durableId="768545121">
    <w:abstractNumId w:val="11"/>
  </w:num>
  <w:num w:numId="4" w16cid:durableId="1114785152">
    <w:abstractNumId w:val="5"/>
  </w:num>
  <w:num w:numId="5" w16cid:durableId="502595950">
    <w:abstractNumId w:val="33"/>
  </w:num>
  <w:num w:numId="6" w16cid:durableId="1676496106">
    <w:abstractNumId w:val="32"/>
  </w:num>
  <w:num w:numId="7" w16cid:durableId="39979223">
    <w:abstractNumId w:val="39"/>
  </w:num>
  <w:num w:numId="8" w16cid:durableId="501089376">
    <w:abstractNumId w:val="37"/>
  </w:num>
  <w:num w:numId="9" w16cid:durableId="955523903">
    <w:abstractNumId w:val="29"/>
  </w:num>
  <w:num w:numId="10" w16cid:durableId="149715194">
    <w:abstractNumId w:val="7"/>
  </w:num>
  <w:num w:numId="11" w16cid:durableId="1949465947">
    <w:abstractNumId w:val="19"/>
  </w:num>
  <w:num w:numId="12" w16cid:durableId="1891645882">
    <w:abstractNumId w:val="38"/>
  </w:num>
  <w:num w:numId="13" w16cid:durableId="1408307688">
    <w:abstractNumId w:val="17"/>
  </w:num>
  <w:num w:numId="14" w16cid:durableId="44915030">
    <w:abstractNumId w:val="35"/>
  </w:num>
  <w:num w:numId="15" w16cid:durableId="2099859289">
    <w:abstractNumId w:val="4"/>
  </w:num>
  <w:num w:numId="16" w16cid:durableId="500118312">
    <w:abstractNumId w:val="6"/>
  </w:num>
  <w:num w:numId="17" w16cid:durableId="1488667857">
    <w:abstractNumId w:val="16"/>
  </w:num>
  <w:num w:numId="18" w16cid:durableId="764229508">
    <w:abstractNumId w:val="28"/>
  </w:num>
  <w:num w:numId="19" w16cid:durableId="1259406351">
    <w:abstractNumId w:val="1"/>
  </w:num>
  <w:num w:numId="20" w16cid:durableId="584463629">
    <w:abstractNumId w:val="25"/>
  </w:num>
  <w:num w:numId="21" w16cid:durableId="380979471">
    <w:abstractNumId w:val="26"/>
  </w:num>
  <w:num w:numId="22" w16cid:durableId="363363527">
    <w:abstractNumId w:val="23"/>
  </w:num>
  <w:num w:numId="23" w16cid:durableId="769663375">
    <w:abstractNumId w:val="27"/>
  </w:num>
  <w:num w:numId="24" w16cid:durableId="1357268733">
    <w:abstractNumId w:val="24"/>
  </w:num>
  <w:num w:numId="25" w16cid:durableId="1006177882">
    <w:abstractNumId w:val="36"/>
  </w:num>
  <w:num w:numId="26" w16cid:durableId="783694762">
    <w:abstractNumId w:val="20"/>
  </w:num>
  <w:num w:numId="27" w16cid:durableId="2136024011">
    <w:abstractNumId w:val="0"/>
  </w:num>
  <w:num w:numId="28" w16cid:durableId="1892645990">
    <w:abstractNumId w:val="30"/>
  </w:num>
  <w:num w:numId="29" w16cid:durableId="515920709">
    <w:abstractNumId w:val="14"/>
  </w:num>
  <w:num w:numId="30" w16cid:durableId="1977026504">
    <w:abstractNumId w:val="3"/>
  </w:num>
  <w:num w:numId="31" w16cid:durableId="440297308">
    <w:abstractNumId w:val="8"/>
  </w:num>
  <w:num w:numId="32" w16cid:durableId="1270433274">
    <w:abstractNumId w:val="18"/>
  </w:num>
  <w:num w:numId="33" w16cid:durableId="471680048">
    <w:abstractNumId w:val="10"/>
  </w:num>
  <w:num w:numId="34" w16cid:durableId="1996105305">
    <w:abstractNumId w:val="13"/>
  </w:num>
  <w:num w:numId="35" w16cid:durableId="113063861">
    <w:abstractNumId w:val="22"/>
  </w:num>
  <w:num w:numId="36" w16cid:durableId="1466661945">
    <w:abstractNumId w:val="15"/>
  </w:num>
  <w:num w:numId="37" w16cid:durableId="52046907">
    <w:abstractNumId w:val="31"/>
  </w:num>
  <w:num w:numId="38" w16cid:durableId="548688091">
    <w:abstractNumId w:val="2"/>
  </w:num>
  <w:num w:numId="39" w16cid:durableId="389351262">
    <w:abstractNumId w:val="12"/>
  </w:num>
  <w:num w:numId="40" w16cid:durableId="906887669">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DA"/>
    <w:rsid w:val="00002660"/>
    <w:rsid w:val="00010C13"/>
    <w:rsid w:val="000113C8"/>
    <w:rsid w:val="000120B4"/>
    <w:rsid w:val="0001421D"/>
    <w:rsid w:val="000231AB"/>
    <w:rsid w:val="00025CA5"/>
    <w:rsid w:val="00026783"/>
    <w:rsid w:val="00035E32"/>
    <w:rsid w:val="000373D3"/>
    <w:rsid w:val="00041DA2"/>
    <w:rsid w:val="000434F3"/>
    <w:rsid w:val="00045A22"/>
    <w:rsid w:val="000479A0"/>
    <w:rsid w:val="00050D42"/>
    <w:rsid w:val="00060717"/>
    <w:rsid w:val="0006173C"/>
    <w:rsid w:val="000639D9"/>
    <w:rsid w:val="0007030A"/>
    <w:rsid w:val="00074DE6"/>
    <w:rsid w:val="000761E9"/>
    <w:rsid w:val="000806FE"/>
    <w:rsid w:val="00090DF1"/>
    <w:rsid w:val="0009113F"/>
    <w:rsid w:val="00091BA2"/>
    <w:rsid w:val="00091E33"/>
    <w:rsid w:val="00094D23"/>
    <w:rsid w:val="00095024"/>
    <w:rsid w:val="00095514"/>
    <w:rsid w:val="00095BAA"/>
    <w:rsid w:val="000A19B1"/>
    <w:rsid w:val="000A6368"/>
    <w:rsid w:val="000B1DA6"/>
    <w:rsid w:val="000B44B0"/>
    <w:rsid w:val="000B4751"/>
    <w:rsid w:val="000B4DC2"/>
    <w:rsid w:val="000C154D"/>
    <w:rsid w:val="000C60F4"/>
    <w:rsid w:val="000C7261"/>
    <w:rsid w:val="000C76CD"/>
    <w:rsid w:val="000D08D4"/>
    <w:rsid w:val="000D1627"/>
    <w:rsid w:val="000D2247"/>
    <w:rsid w:val="000D39DC"/>
    <w:rsid w:val="000D3C45"/>
    <w:rsid w:val="000D4F77"/>
    <w:rsid w:val="000E3A96"/>
    <w:rsid w:val="000E62FD"/>
    <w:rsid w:val="000E6713"/>
    <w:rsid w:val="000F0E96"/>
    <w:rsid w:val="000F0F5E"/>
    <w:rsid w:val="000F312F"/>
    <w:rsid w:val="000F7F71"/>
    <w:rsid w:val="00101345"/>
    <w:rsid w:val="001039C7"/>
    <w:rsid w:val="00104EF8"/>
    <w:rsid w:val="00110C32"/>
    <w:rsid w:val="00113DE1"/>
    <w:rsid w:val="00114A99"/>
    <w:rsid w:val="001160F1"/>
    <w:rsid w:val="00122069"/>
    <w:rsid w:val="00124809"/>
    <w:rsid w:val="00124F11"/>
    <w:rsid w:val="00125B07"/>
    <w:rsid w:val="00126C56"/>
    <w:rsid w:val="00131850"/>
    <w:rsid w:val="00133888"/>
    <w:rsid w:val="00134207"/>
    <w:rsid w:val="0013790C"/>
    <w:rsid w:val="00143035"/>
    <w:rsid w:val="00151DFB"/>
    <w:rsid w:val="00160857"/>
    <w:rsid w:val="00161D07"/>
    <w:rsid w:val="00164907"/>
    <w:rsid w:val="00164F73"/>
    <w:rsid w:val="00165B9A"/>
    <w:rsid w:val="0016635D"/>
    <w:rsid w:val="001666AE"/>
    <w:rsid w:val="001666C4"/>
    <w:rsid w:val="00167AE8"/>
    <w:rsid w:val="00167C93"/>
    <w:rsid w:val="00171B2D"/>
    <w:rsid w:val="00194665"/>
    <w:rsid w:val="001957DD"/>
    <w:rsid w:val="001A0293"/>
    <w:rsid w:val="001A2BBD"/>
    <w:rsid w:val="001B1A48"/>
    <w:rsid w:val="001C6EF5"/>
    <w:rsid w:val="001C7197"/>
    <w:rsid w:val="001D1443"/>
    <w:rsid w:val="001E3EB2"/>
    <w:rsid w:val="001E3F1E"/>
    <w:rsid w:val="001E5178"/>
    <w:rsid w:val="001E5D65"/>
    <w:rsid w:val="001F0690"/>
    <w:rsid w:val="001F12E8"/>
    <w:rsid w:val="001F67F3"/>
    <w:rsid w:val="00201565"/>
    <w:rsid w:val="00204746"/>
    <w:rsid w:val="002126FA"/>
    <w:rsid w:val="00213016"/>
    <w:rsid w:val="002134BB"/>
    <w:rsid w:val="002142E1"/>
    <w:rsid w:val="00217A7F"/>
    <w:rsid w:val="00221680"/>
    <w:rsid w:val="002233DC"/>
    <w:rsid w:val="00231074"/>
    <w:rsid w:val="0023490D"/>
    <w:rsid w:val="00244AA9"/>
    <w:rsid w:val="002503F8"/>
    <w:rsid w:val="00252B01"/>
    <w:rsid w:val="002551ED"/>
    <w:rsid w:val="002565DA"/>
    <w:rsid w:val="00257C2E"/>
    <w:rsid w:val="00262D32"/>
    <w:rsid w:val="002638EA"/>
    <w:rsid w:val="00263E71"/>
    <w:rsid w:val="00265BF1"/>
    <w:rsid w:val="00274124"/>
    <w:rsid w:val="0027428C"/>
    <w:rsid w:val="002854E9"/>
    <w:rsid w:val="00286E93"/>
    <w:rsid w:val="00293C0D"/>
    <w:rsid w:val="002971AD"/>
    <w:rsid w:val="002A4E36"/>
    <w:rsid w:val="002B0060"/>
    <w:rsid w:val="002B25FB"/>
    <w:rsid w:val="002B3F0E"/>
    <w:rsid w:val="002B7E89"/>
    <w:rsid w:val="002C1888"/>
    <w:rsid w:val="002C1A84"/>
    <w:rsid w:val="002C2608"/>
    <w:rsid w:val="002C3EAD"/>
    <w:rsid w:val="002D2988"/>
    <w:rsid w:val="002D5E54"/>
    <w:rsid w:val="002D5E94"/>
    <w:rsid w:val="002E03BE"/>
    <w:rsid w:val="002E0F8F"/>
    <w:rsid w:val="002E1EFF"/>
    <w:rsid w:val="002E2684"/>
    <w:rsid w:val="002E472D"/>
    <w:rsid w:val="002E6296"/>
    <w:rsid w:val="002F3D1A"/>
    <w:rsid w:val="002F6432"/>
    <w:rsid w:val="00302FF1"/>
    <w:rsid w:val="003050FA"/>
    <w:rsid w:val="00307315"/>
    <w:rsid w:val="003123C7"/>
    <w:rsid w:val="00314088"/>
    <w:rsid w:val="00315CE5"/>
    <w:rsid w:val="00320C41"/>
    <w:rsid w:val="00323009"/>
    <w:rsid w:val="00323494"/>
    <w:rsid w:val="003309B9"/>
    <w:rsid w:val="00332FF4"/>
    <w:rsid w:val="00344A07"/>
    <w:rsid w:val="00353368"/>
    <w:rsid w:val="00360CD2"/>
    <w:rsid w:val="00361E33"/>
    <w:rsid w:val="00365B88"/>
    <w:rsid w:val="003714FA"/>
    <w:rsid w:val="0037463F"/>
    <w:rsid w:val="00374CB7"/>
    <w:rsid w:val="00374DF8"/>
    <w:rsid w:val="00380BCA"/>
    <w:rsid w:val="00381F37"/>
    <w:rsid w:val="003823E4"/>
    <w:rsid w:val="00390D83"/>
    <w:rsid w:val="00394A33"/>
    <w:rsid w:val="00395F48"/>
    <w:rsid w:val="00396908"/>
    <w:rsid w:val="00396C01"/>
    <w:rsid w:val="003A19D1"/>
    <w:rsid w:val="003A1E6A"/>
    <w:rsid w:val="003A60B4"/>
    <w:rsid w:val="003B424D"/>
    <w:rsid w:val="003C4E3F"/>
    <w:rsid w:val="003C566F"/>
    <w:rsid w:val="003C6F76"/>
    <w:rsid w:val="003D134E"/>
    <w:rsid w:val="003D343F"/>
    <w:rsid w:val="003E2301"/>
    <w:rsid w:val="003E7CDC"/>
    <w:rsid w:val="003F0BF8"/>
    <w:rsid w:val="003F29AA"/>
    <w:rsid w:val="003F722E"/>
    <w:rsid w:val="0040074B"/>
    <w:rsid w:val="00411080"/>
    <w:rsid w:val="00411539"/>
    <w:rsid w:val="00412950"/>
    <w:rsid w:val="00413C2A"/>
    <w:rsid w:val="00414E4B"/>
    <w:rsid w:val="0041788E"/>
    <w:rsid w:val="00420E76"/>
    <w:rsid w:val="00421206"/>
    <w:rsid w:val="00421A54"/>
    <w:rsid w:val="00423824"/>
    <w:rsid w:val="004259E8"/>
    <w:rsid w:val="004260CB"/>
    <w:rsid w:val="004309C5"/>
    <w:rsid w:val="004340D9"/>
    <w:rsid w:val="00434363"/>
    <w:rsid w:val="00441E84"/>
    <w:rsid w:val="00451CB9"/>
    <w:rsid w:val="00453F35"/>
    <w:rsid w:val="0045557E"/>
    <w:rsid w:val="00457A07"/>
    <w:rsid w:val="00460835"/>
    <w:rsid w:val="00462B3A"/>
    <w:rsid w:val="00462D31"/>
    <w:rsid w:val="00467271"/>
    <w:rsid w:val="00471E14"/>
    <w:rsid w:val="004729BD"/>
    <w:rsid w:val="00477007"/>
    <w:rsid w:val="0047768A"/>
    <w:rsid w:val="00480942"/>
    <w:rsid w:val="00481DFA"/>
    <w:rsid w:val="00486623"/>
    <w:rsid w:val="00490C95"/>
    <w:rsid w:val="004915FE"/>
    <w:rsid w:val="00492061"/>
    <w:rsid w:val="004940F7"/>
    <w:rsid w:val="004A0A85"/>
    <w:rsid w:val="004A600A"/>
    <w:rsid w:val="004B651D"/>
    <w:rsid w:val="004B6A77"/>
    <w:rsid w:val="004C30AC"/>
    <w:rsid w:val="004D0250"/>
    <w:rsid w:val="004D05FA"/>
    <w:rsid w:val="004D2C9F"/>
    <w:rsid w:val="004E2452"/>
    <w:rsid w:val="004E713F"/>
    <w:rsid w:val="004F1554"/>
    <w:rsid w:val="004F167E"/>
    <w:rsid w:val="005000B1"/>
    <w:rsid w:val="005078F5"/>
    <w:rsid w:val="00512270"/>
    <w:rsid w:val="005137D3"/>
    <w:rsid w:val="00514F2B"/>
    <w:rsid w:val="00515FF6"/>
    <w:rsid w:val="00517F21"/>
    <w:rsid w:val="00520B80"/>
    <w:rsid w:val="00523EF5"/>
    <w:rsid w:val="00526E63"/>
    <w:rsid w:val="00532822"/>
    <w:rsid w:val="00540F4A"/>
    <w:rsid w:val="00541D43"/>
    <w:rsid w:val="0054280F"/>
    <w:rsid w:val="00542CBA"/>
    <w:rsid w:val="00544B50"/>
    <w:rsid w:val="00550378"/>
    <w:rsid w:val="00555CAD"/>
    <w:rsid w:val="00557218"/>
    <w:rsid w:val="00560295"/>
    <w:rsid w:val="005622E7"/>
    <w:rsid w:val="005711C8"/>
    <w:rsid w:val="00571F28"/>
    <w:rsid w:val="005743D0"/>
    <w:rsid w:val="00576A1D"/>
    <w:rsid w:val="00587E76"/>
    <w:rsid w:val="005902F6"/>
    <w:rsid w:val="0059038E"/>
    <w:rsid w:val="005903FB"/>
    <w:rsid w:val="00597363"/>
    <w:rsid w:val="005A0723"/>
    <w:rsid w:val="005A14DF"/>
    <w:rsid w:val="005A2512"/>
    <w:rsid w:val="005A5ECD"/>
    <w:rsid w:val="005B37D8"/>
    <w:rsid w:val="005B6A2C"/>
    <w:rsid w:val="005C28A4"/>
    <w:rsid w:val="005C29F8"/>
    <w:rsid w:val="005D2030"/>
    <w:rsid w:val="005D301B"/>
    <w:rsid w:val="005D378C"/>
    <w:rsid w:val="005D6462"/>
    <w:rsid w:val="005D65F6"/>
    <w:rsid w:val="005D6A9B"/>
    <w:rsid w:val="005D75B3"/>
    <w:rsid w:val="005D78A0"/>
    <w:rsid w:val="005E6213"/>
    <w:rsid w:val="005F080C"/>
    <w:rsid w:val="005F2112"/>
    <w:rsid w:val="005F2163"/>
    <w:rsid w:val="005F2621"/>
    <w:rsid w:val="005F2AA6"/>
    <w:rsid w:val="005F4DE2"/>
    <w:rsid w:val="005F4EDB"/>
    <w:rsid w:val="005F5924"/>
    <w:rsid w:val="00601551"/>
    <w:rsid w:val="00602AC3"/>
    <w:rsid w:val="0060307A"/>
    <w:rsid w:val="00610CE1"/>
    <w:rsid w:val="006133A2"/>
    <w:rsid w:val="006222B2"/>
    <w:rsid w:val="00622547"/>
    <w:rsid w:val="00622E3A"/>
    <w:rsid w:val="0062503D"/>
    <w:rsid w:val="00625DE2"/>
    <w:rsid w:val="00626DF5"/>
    <w:rsid w:val="00626ED1"/>
    <w:rsid w:val="0063317A"/>
    <w:rsid w:val="006347B3"/>
    <w:rsid w:val="00636023"/>
    <w:rsid w:val="00640F7B"/>
    <w:rsid w:val="006419CE"/>
    <w:rsid w:val="00647F96"/>
    <w:rsid w:val="00651C15"/>
    <w:rsid w:val="006534DB"/>
    <w:rsid w:val="0065402C"/>
    <w:rsid w:val="00654AAB"/>
    <w:rsid w:val="006640B5"/>
    <w:rsid w:val="00666FA2"/>
    <w:rsid w:val="00671611"/>
    <w:rsid w:val="00676B43"/>
    <w:rsid w:val="006809AB"/>
    <w:rsid w:val="00686D94"/>
    <w:rsid w:val="00695C44"/>
    <w:rsid w:val="006A0E3A"/>
    <w:rsid w:val="006A3F23"/>
    <w:rsid w:val="006A4204"/>
    <w:rsid w:val="006A759E"/>
    <w:rsid w:val="006B0379"/>
    <w:rsid w:val="006B0C0A"/>
    <w:rsid w:val="006C2812"/>
    <w:rsid w:val="006C590E"/>
    <w:rsid w:val="006D07BF"/>
    <w:rsid w:val="006D47A5"/>
    <w:rsid w:val="006D4B62"/>
    <w:rsid w:val="006D5F5B"/>
    <w:rsid w:val="006D6A4D"/>
    <w:rsid w:val="006D734E"/>
    <w:rsid w:val="006E2B0D"/>
    <w:rsid w:val="006E5E38"/>
    <w:rsid w:val="006E7329"/>
    <w:rsid w:val="006F2E6A"/>
    <w:rsid w:val="006F5B24"/>
    <w:rsid w:val="006F6914"/>
    <w:rsid w:val="006F6D74"/>
    <w:rsid w:val="00701B02"/>
    <w:rsid w:val="00702CE2"/>
    <w:rsid w:val="0070313C"/>
    <w:rsid w:val="00704537"/>
    <w:rsid w:val="007049C6"/>
    <w:rsid w:val="00705880"/>
    <w:rsid w:val="0071147B"/>
    <w:rsid w:val="00713493"/>
    <w:rsid w:val="00714A9E"/>
    <w:rsid w:val="0072069E"/>
    <w:rsid w:val="00727520"/>
    <w:rsid w:val="00727D09"/>
    <w:rsid w:val="00731D14"/>
    <w:rsid w:val="00732F21"/>
    <w:rsid w:val="00735504"/>
    <w:rsid w:val="00736C47"/>
    <w:rsid w:val="007376F9"/>
    <w:rsid w:val="007477CE"/>
    <w:rsid w:val="007562FF"/>
    <w:rsid w:val="00756F11"/>
    <w:rsid w:val="007621C3"/>
    <w:rsid w:val="00770B4B"/>
    <w:rsid w:val="007712D3"/>
    <w:rsid w:val="00774133"/>
    <w:rsid w:val="0077432D"/>
    <w:rsid w:val="0077464F"/>
    <w:rsid w:val="007800D0"/>
    <w:rsid w:val="00780EDA"/>
    <w:rsid w:val="00783684"/>
    <w:rsid w:val="00783EE5"/>
    <w:rsid w:val="00784FD7"/>
    <w:rsid w:val="0078664B"/>
    <w:rsid w:val="00796822"/>
    <w:rsid w:val="007A0B19"/>
    <w:rsid w:val="007A2707"/>
    <w:rsid w:val="007B5543"/>
    <w:rsid w:val="007B6CC5"/>
    <w:rsid w:val="007B6D2D"/>
    <w:rsid w:val="007C2C5D"/>
    <w:rsid w:val="007C7A1E"/>
    <w:rsid w:val="007C7CAD"/>
    <w:rsid w:val="007D415B"/>
    <w:rsid w:val="007D650B"/>
    <w:rsid w:val="007D695D"/>
    <w:rsid w:val="007F0F37"/>
    <w:rsid w:val="007F14FF"/>
    <w:rsid w:val="007F403C"/>
    <w:rsid w:val="007F59D4"/>
    <w:rsid w:val="007F6206"/>
    <w:rsid w:val="007F79A8"/>
    <w:rsid w:val="00800FCD"/>
    <w:rsid w:val="00806873"/>
    <w:rsid w:val="0081131E"/>
    <w:rsid w:val="00811FC2"/>
    <w:rsid w:val="00812AF8"/>
    <w:rsid w:val="00812E6D"/>
    <w:rsid w:val="00815573"/>
    <w:rsid w:val="00831B68"/>
    <w:rsid w:val="00832DF6"/>
    <w:rsid w:val="0083411F"/>
    <w:rsid w:val="00835024"/>
    <w:rsid w:val="00836735"/>
    <w:rsid w:val="00841031"/>
    <w:rsid w:val="00846239"/>
    <w:rsid w:val="008513F1"/>
    <w:rsid w:val="008543E5"/>
    <w:rsid w:val="0085460B"/>
    <w:rsid w:val="0086556B"/>
    <w:rsid w:val="00865D9C"/>
    <w:rsid w:val="008665A4"/>
    <w:rsid w:val="00866949"/>
    <w:rsid w:val="00866FA4"/>
    <w:rsid w:val="00873B4F"/>
    <w:rsid w:val="00873F44"/>
    <w:rsid w:val="0087550C"/>
    <w:rsid w:val="0088084B"/>
    <w:rsid w:val="00880C88"/>
    <w:rsid w:val="008831BF"/>
    <w:rsid w:val="00884301"/>
    <w:rsid w:val="008852C5"/>
    <w:rsid w:val="00890CA5"/>
    <w:rsid w:val="008914D6"/>
    <w:rsid w:val="0089326E"/>
    <w:rsid w:val="00893F72"/>
    <w:rsid w:val="00895ED9"/>
    <w:rsid w:val="008A1CCF"/>
    <w:rsid w:val="008A3DE4"/>
    <w:rsid w:val="008A5C92"/>
    <w:rsid w:val="008A6895"/>
    <w:rsid w:val="008B5F1E"/>
    <w:rsid w:val="008C1647"/>
    <w:rsid w:val="008C3476"/>
    <w:rsid w:val="008D37B6"/>
    <w:rsid w:val="008E7599"/>
    <w:rsid w:val="008F0A0A"/>
    <w:rsid w:val="008F0AB1"/>
    <w:rsid w:val="008F11AA"/>
    <w:rsid w:val="00901938"/>
    <w:rsid w:val="00903FF6"/>
    <w:rsid w:val="009061F8"/>
    <w:rsid w:val="009110A8"/>
    <w:rsid w:val="009112A5"/>
    <w:rsid w:val="00915447"/>
    <w:rsid w:val="00916738"/>
    <w:rsid w:val="00916C77"/>
    <w:rsid w:val="00923AA3"/>
    <w:rsid w:val="00926278"/>
    <w:rsid w:val="00927B97"/>
    <w:rsid w:val="00930AE1"/>
    <w:rsid w:val="00930D84"/>
    <w:rsid w:val="009323B5"/>
    <w:rsid w:val="0093372F"/>
    <w:rsid w:val="00935CB1"/>
    <w:rsid w:val="009417AF"/>
    <w:rsid w:val="009446DE"/>
    <w:rsid w:val="00950F17"/>
    <w:rsid w:val="00951487"/>
    <w:rsid w:val="00951680"/>
    <w:rsid w:val="00954F71"/>
    <w:rsid w:val="00955E0D"/>
    <w:rsid w:val="009604E6"/>
    <w:rsid w:val="00962F78"/>
    <w:rsid w:val="0098057C"/>
    <w:rsid w:val="009809AB"/>
    <w:rsid w:val="00987F70"/>
    <w:rsid w:val="00990F7B"/>
    <w:rsid w:val="009936A2"/>
    <w:rsid w:val="00993B0D"/>
    <w:rsid w:val="009A1F02"/>
    <w:rsid w:val="009B1650"/>
    <w:rsid w:val="009B2191"/>
    <w:rsid w:val="009B2CFB"/>
    <w:rsid w:val="009B2F8D"/>
    <w:rsid w:val="009B46CF"/>
    <w:rsid w:val="009B53D6"/>
    <w:rsid w:val="009B587C"/>
    <w:rsid w:val="009C1570"/>
    <w:rsid w:val="009C4280"/>
    <w:rsid w:val="009D0449"/>
    <w:rsid w:val="009D1D1E"/>
    <w:rsid w:val="009E5F42"/>
    <w:rsid w:val="009E78F3"/>
    <w:rsid w:val="009F1B38"/>
    <w:rsid w:val="00A01DB1"/>
    <w:rsid w:val="00A0309D"/>
    <w:rsid w:val="00A053F6"/>
    <w:rsid w:val="00A06160"/>
    <w:rsid w:val="00A0624D"/>
    <w:rsid w:val="00A06BA7"/>
    <w:rsid w:val="00A11AEE"/>
    <w:rsid w:val="00A15A91"/>
    <w:rsid w:val="00A25EDF"/>
    <w:rsid w:val="00A31453"/>
    <w:rsid w:val="00A31C0B"/>
    <w:rsid w:val="00A33753"/>
    <w:rsid w:val="00A36C9D"/>
    <w:rsid w:val="00A40EDB"/>
    <w:rsid w:val="00A4511A"/>
    <w:rsid w:val="00A47F98"/>
    <w:rsid w:val="00A510D0"/>
    <w:rsid w:val="00A527D3"/>
    <w:rsid w:val="00A61002"/>
    <w:rsid w:val="00A62326"/>
    <w:rsid w:val="00A6375E"/>
    <w:rsid w:val="00A645D3"/>
    <w:rsid w:val="00A665D9"/>
    <w:rsid w:val="00A679D8"/>
    <w:rsid w:val="00A7424C"/>
    <w:rsid w:val="00A746B9"/>
    <w:rsid w:val="00A90405"/>
    <w:rsid w:val="00A90FFA"/>
    <w:rsid w:val="00A942D1"/>
    <w:rsid w:val="00A958FC"/>
    <w:rsid w:val="00AA18C1"/>
    <w:rsid w:val="00AA1F51"/>
    <w:rsid w:val="00AB0552"/>
    <w:rsid w:val="00AB342E"/>
    <w:rsid w:val="00AC1AA2"/>
    <w:rsid w:val="00AD37A7"/>
    <w:rsid w:val="00AE3255"/>
    <w:rsid w:val="00AE4742"/>
    <w:rsid w:val="00AF45CB"/>
    <w:rsid w:val="00AF4881"/>
    <w:rsid w:val="00B01DA4"/>
    <w:rsid w:val="00B106A9"/>
    <w:rsid w:val="00B10C94"/>
    <w:rsid w:val="00B10E44"/>
    <w:rsid w:val="00B115CE"/>
    <w:rsid w:val="00B1181D"/>
    <w:rsid w:val="00B13485"/>
    <w:rsid w:val="00B15B20"/>
    <w:rsid w:val="00B17C24"/>
    <w:rsid w:val="00B31EAF"/>
    <w:rsid w:val="00B33505"/>
    <w:rsid w:val="00B34095"/>
    <w:rsid w:val="00B34C65"/>
    <w:rsid w:val="00B357A4"/>
    <w:rsid w:val="00B3637B"/>
    <w:rsid w:val="00B37C59"/>
    <w:rsid w:val="00B40B0E"/>
    <w:rsid w:val="00B43D4A"/>
    <w:rsid w:val="00B43FD3"/>
    <w:rsid w:val="00B47BBD"/>
    <w:rsid w:val="00B56A14"/>
    <w:rsid w:val="00B65ABB"/>
    <w:rsid w:val="00B65F10"/>
    <w:rsid w:val="00B75482"/>
    <w:rsid w:val="00B84BAA"/>
    <w:rsid w:val="00B878AF"/>
    <w:rsid w:val="00B9278E"/>
    <w:rsid w:val="00B9414B"/>
    <w:rsid w:val="00BA3727"/>
    <w:rsid w:val="00BB1C5F"/>
    <w:rsid w:val="00BC01D7"/>
    <w:rsid w:val="00BC3919"/>
    <w:rsid w:val="00BC7625"/>
    <w:rsid w:val="00BD1927"/>
    <w:rsid w:val="00BD2087"/>
    <w:rsid w:val="00BD738C"/>
    <w:rsid w:val="00BD78F1"/>
    <w:rsid w:val="00BE06B5"/>
    <w:rsid w:val="00BE0727"/>
    <w:rsid w:val="00BE0B16"/>
    <w:rsid w:val="00BE34BF"/>
    <w:rsid w:val="00BE7906"/>
    <w:rsid w:val="00BF32BD"/>
    <w:rsid w:val="00C01450"/>
    <w:rsid w:val="00C149A2"/>
    <w:rsid w:val="00C16C6F"/>
    <w:rsid w:val="00C17102"/>
    <w:rsid w:val="00C17DB2"/>
    <w:rsid w:val="00C26A9B"/>
    <w:rsid w:val="00C27050"/>
    <w:rsid w:val="00C31515"/>
    <w:rsid w:val="00C372FE"/>
    <w:rsid w:val="00C4271B"/>
    <w:rsid w:val="00C444B7"/>
    <w:rsid w:val="00C451D2"/>
    <w:rsid w:val="00C47740"/>
    <w:rsid w:val="00C531C6"/>
    <w:rsid w:val="00C54BF1"/>
    <w:rsid w:val="00C565FF"/>
    <w:rsid w:val="00C61A1E"/>
    <w:rsid w:val="00C66590"/>
    <w:rsid w:val="00C71909"/>
    <w:rsid w:val="00C71A90"/>
    <w:rsid w:val="00C72DD7"/>
    <w:rsid w:val="00C755B4"/>
    <w:rsid w:val="00C8695B"/>
    <w:rsid w:val="00C9163B"/>
    <w:rsid w:val="00C94B65"/>
    <w:rsid w:val="00C971DF"/>
    <w:rsid w:val="00CA24FC"/>
    <w:rsid w:val="00CA758E"/>
    <w:rsid w:val="00CB11C8"/>
    <w:rsid w:val="00CB5650"/>
    <w:rsid w:val="00CB5B0A"/>
    <w:rsid w:val="00CC0EFE"/>
    <w:rsid w:val="00CC104B"/>
    <w:rsid w:val="00CC1E9B"/>
    <w:rsid w:val="00CC7FA1"/>
    <w:rsid w:val="00CD09C3"/>
    <w:rsid w:val="00CD44C8"/>
    <w:rsid w:val="00CE099B"/>
    <w:rsid w:val="00CE0B27"/>
    <w:rsid w:val="00CE3013"/>
    <w:rsid w:val="00CE7351"/>
    <w:rsid w:val="00CF2978"/>
    <w:rsid w:val="00CF4E71"/>
    <w:rsid w:val="00CF4EEE"/>
    <w:rsid w:val="00D003F9"/>
    <w:rsid w:val="00D02D14"/>
    <w:rsid w:val="00D14BED"/>
    <w:rsid w:val="00D15258"/>
    <w:rsid w:val="00D20247"/>
    <w:rsid w:val="00D256CD"/>
    <w:rsid w:val="00D264B4"/>
    <w:rsid w:val="00D27A9F"/>
    <w:rsid w:val="00D3436E"/>
    <w:rsid w:val="00D36E67"/>
    <w:rsid w:val="00D402DA"/>
    <w:rsid w:val="00D41270"/>
    <w:rsid w:val="00D4476B"/>
    <w:rsid w:val="00D45276"/>
    <w:rsid w:val="00D455AB"/>
    <w:rsid w:val="00D50DA1"/>
    <w:rsid w:val="00D5198B"/>
    <w:rsid w:val="00D55820"/>
    <w:rsid w:val="00D57510"/>
    <w:rsid w:val="00D605BB"/>
    <w:rsid w:val="00D60DA7"/>
    <w:rsid w:val="00D6632F"/>
    <w:rsid w:val="00D705BE"/>
    <w:rsid w:val="00D71E1B"/>
    <w:rsid w:val="00D73467"/>
    <w:rsid w:val="00D73C9E"/>
    <w:rsid w:val="00D75C4F"/>
    <w:rsid w:val="00D8437B"/>
    <w:rsid w:val="00D86012"/>
    <w:rsid w:val="00D86695"/>
    <w:rsid w:val="00D91324"/>
    <w:rsid w:val="00D92866"/>
    <w:rsid w:val="00DA0492"/>
    <w:rsid w:val="00DA1DF2"/>
    <w:rsid w:val="00DB17BA"/>
    <w:rsid w:val="00DC06BE"/>
    <w:rsid w:val="00DC1F5E"/>
    <w:rsid w:val="00DC5F81"/>
    <w:rsid w:val="00DD7E2E"/>
    <w:rsid w:val="00DE0AE7"/>
    <w:rsid w:val="00DE3935"/>
    <w:rsid w:val="00DE6D40"/>
    <w:rsid w:val="00DE725C"/>
    <w:rsid w:val="00DF17DA"/>
    <w:rsid w:val="00DF3759"/>
    <w:rsid w:val="00DF61F3"/>
    <w:rsid w:val="00DF621C"/>
    <w:rsid w:val="00DF63E7"/>
    <w:rsid w:val="00E07157"/>
    <w:rsid w:val="00E14364"/>
    <w:rsid w:val="00E165F0"/>
    <w:rsid w:val="00E169D0"/>
    <w:rsid w:val="00E32770"/>
    <w:rsid w:val="00E4004F"/>
    <w:rsid w:val="00E4444B"/>
    <w:rsid w:val="00E44A8E"/>
    <w:rsid w:val="00E44CC0"/>
    <w:rsid w:val="00E516C3"/>
    <w:rsid w:val="00E51788"/>
    <w:rsid w:val="00E51CEC"/>
    <w:rsid w:val="00E530D9"/>
    <w:rsid w:val="00E5311D"/>
    <w:rsid w:val="00E558C5"/>
    <w:rsid w:val="00E72357"/>
    <w:rsid w:val="00E723A7"/>
    <w:rsid w:val="00E73061"/>
    <w:rsid w:val="00E82B3E"/>
    <w:rsid w:val="00E9264A"/>
    <w:rsid w:val="00E95D11"/>
    <w:rsid w:val="00E97B57"/>
    <w:rsid w:val="00EB4F65"/>
    <w:rsid w:val="00EC1F4D"/>
    <w:rsid w:val="00EC35D8"/>
    <w:rsid w:val="00EC4769"/>
    <w:rsid w:val="00ED3F4E"/>
    <w:rsid w:val="00ED48FF"/>
    <w:rsid w:val="00EE50F4"/>
    <w:rsid w:val="00EE5F5C"/>
    <w:rsid w:val="00F005B4"/>
    <w:rsid w:val="00F02A47"/>
    <w:rsid w:val="00F05B62"/>
    <w:rsid w:val="00F112E6"/>
    <w:rsid w:val="00F15272"/>
    <w:rsid w:val="00F21941"/>
    <w:rsid w:val="00F2719E"/>
    <w:rsid w:val="00F332D3"/>
    <w:rsid w:val="00F35FF6"/>
    <w:rsid w:val="00F41B46"/>
    <w:rsid w:val="00F440E5"/>
    <w:rsid w:val="00F5238C"/>
    <w:rsid w:val="00F52FBB"/>
    <w:rsid w:val="00F55564"/>
    <w:rsid w:val="00F5628D"/>
    <w:rsid w:val="00F64013"/>
    <w:rsid w:val="00F652B7"/>
    <w:rsid w:val="00F67CB2"/>
    <w:rsid w:val="00F67D03"/>
    <w:rsid w:val="00F7453E"/>
    <w:rsid w:val="00F77DBC"/>
    <w:rsid w:val="00F800AB"/>
    <w:rsid w:val="00F90247"/>
    <w:rsid w:val="00F93D2F"/>
    <w:rsid w:val="00F972FB"/>
    <w:rsid w:val="00FA0CFD"/>
    <w:rsid w:val="00FA1149"/>
    <w:rsid w:val="00FA1CAF"/>
    <w:rsid w:val="00FA4142"/>
    <w:rsid w:val="00FA5DB7"/>
    <w:rsid w:val="00FA657D"/>
    <w:rsid w:val="00FB3A29"/>
    <w:rsid w:val="00FC2171"/>
    <w:rsid w:val="00FC48E8"/>
    <w:rsid w:val="00FD00F4"/>
    <w:rsid w:val="00FD058B"/>
    <w:rsid w:val="00FD114C"/>
    <w:rsid w:val="00FD64DE"/>
    <w:rsid w:val="00FD7B80"/>
    <w:rsid w:val="00FE0621"/>
    <w:rsid w:val="00FE6783"/>
    <w:rsid w:val="00FF2C89"/>
    <w:rsid w:val="00FF6FEE"/>
    <w:rsid w:val="00FF7AA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1CCCD"/>
  <w15:chartTrackingRefBased/>
  <w15:docId w15:val="{195FFFAE-123B-4D65-B604-223BAEAD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6FE"/>
    <w:pPr>
      <w:tabs>
        <w:tab w:val="center" w:pos="4677"/>
        <w:tab w:val="right" w:pos="9355"/>
      </w:tabs>
      <w:spacing w:after="0" w:line="240" w:lineRule="auto"/>
    </w:pPr>
  </w:style>
  <w:style w:type="character" w:customStyle="1" w:styleId="HeaderChar">
    <w:name w:val="Header Char"/>
    <w:basedOn w:val="DefaultParagraphFont"/>
    <w:link w:val="Header"/>
    <w:uiPriority w:val="99"/>
    <w:rsid w:val="000806FE"/>
  </w:style>
  <w:style w:type="paragraph" w:styleId="Footer">
    <w:name w:val="footer"/>
    <w:basedOn w:val="Normal"/>
    <w:link w:val="FooterChar"/>
    <w:uiPriority w:val="99"/>
    <w:unhideWhenUsed/>
    <w:rsid w:val="000806FE"/>
    <w:pPr>
      <w:tabs>
        <w:tab w:val="center" w:pos="4677"/>
        <w:tab w:val="right" w:pos="9355"/>
      </w:tabs>
      <w:spacing w:after="0" w:line="240" w:lineRule="auto"/>
    </w:pPr>
  </w:style>
  <w:style w:type="character" w:customStyle="1" w:styleId="FooterChar">
    <w:name w:val="Footer Char"/>
    <w:basedOn w:val="DefaultParagraphFont"/>
    <w:link w:val="Footer"/>
    <w:uiPriority w:val="99"/>
    <w:rsid w:val="000806FE"/>
  </w:style>
  <w:style w:type="paragraph" w:styleId="ListParagraph">
    <w:name w:val="List Paragraph"/>
    <w:basedOn w:val="Normal"/>
    <w:uiPriority w:val="34"/>
    <w:qFormat/>
    <w:rsid w:val="000806FE"/>
    <w:pPr>
      <w:ind w:left="720"/>
      <w:contextualSpacing/>
    </w:pPr>
  </w:style>
  <w:style w:type="character" w:styleId="CommentReference">
    <w:name w:val="annotation reference"/>
    <w:basedOn w:val="DefaultParagraphFont"/>
    <w:uiPriority w:val="99"/>
    <w:semiHidden/>
    <w:unhideWhenUsed/>
    <w:rsid w:val="005F4DE2"/>
    <w:rPr>
      <w:sz w:val="16"/>
      <w:szCs w:val="16"/>
    </w:rPr>
  </w:style>
  <w:style w:type="paragraph" w:styleId="CommentText">
    <w:name w:val="annotation text"/>
    <w:basedOn w:val="Normal"/>
    <w:link w:val="CommentTextChar"/>
    <w:uiPriority w:val="99"/>
    <w:unhideWhenUsed/>
    <w:rsid w:val="005F4DE2"/>
    <w:pPr>
      <w:spacing w:line="240" w:lineRule="auto"/>
    </w:pPr>
    <w:rPr>
      <w:sz w:val="20"/>
      <w:szCs w:val="20"/>
    </w:rPr>
  </w:style>
  <w:style w:type="character" w:customStyle="1" w:styleId="CommentTextChar">
    <w:name w:val="Comment Text Char"/>
    <w:basedOn w:val="DefaultParagraphFont"/>
    <w:link w:val="CommentText"/>
    <w:uiPriority w:val="99"/>
    <w:rsid w:val="005F4DE2"/>
    <w:rPr>
      <w:sz w:val="20"/>
      <w:szCs w:val="20"/>
    </w:rPr>
  </w:style>
  <w:style w:type="paragraph" w:styleId="CommentSubject">
    <w:name w:val="annotation subject"/>
    <w:basedOn w:val="CommentText"/>
    <w:next w:val="CommentText"/>
    <w:link w:val="CommentSubjectChar"/>
    <w:uiPriority w:val="99"/>
    <w:semiHidden/>
    <w:unhideWhenUsed/>
    <w:rsid w:val="005F4DE2"/>
    <w:rPr>
      <w:b/>
      <w:bCs/>
    </w:rPr>
  </w:style>
  <w:style w:type="character" w:customStyle="1" w:styleId="CommentSubjectChar">
    <w:name w:val="Comment Subject Char"/>
    <w:basedOn w:val="CommentTextChar"/>
    <w:link w:val="CommentSubject"/>
    <w:uiPriority w:val="99"/>
    <w:semiHidden/>
    <w:rsid w:val="005F4DE2"/>
    <w:rPr>
      <w:b/>
      <w:bCs/>
      <w:sz w:val="20"/>
      <w:szCs w:val="20"/>
    </w:rPr>
  </w:style>
  <w:style w:type="character" w:styleId="Hyperlink">
    <w:name w:val="Hyperlink"/>
    <w:basedOn w:val="DefaultParagraphFont"/>
    <w:uiPriority w:val="99"/>
    <w:unhideWhenUsed/>
    <w:rsid w:val="00626ED1"/>
    <w:rPr>
      <w:color w:val="0563C1" w:themeColor="hyperlink"/>
      <w:u w:val="single"/>
    </w:rPr>
  </w:style>
  <w:style w:type="character" w:styleId="UnresolvedMention">
    <w:name w:val="Unresolved Mention"/>
    <w:basedOn w:val="DefaultParagraphFont"/>
    <w:uiPriority w:val="99"/>
    <w:semiHidden/>
    <w:unhideWhenUsed/>
    <w:rsid w:val="00626ED1"/>
    <w:rPr>
      <w:color w:val="605E5C"/>
      <w:shd w:val="clear" w:color="auto" w:fill="E1DFDD"/>
    </w:rPr>
  </w:style>
  <w:style w:type="paragraph" w:styleId="NormalWeb">
    <w:name w:val="Normal (Web)"/>
    <w:basedOn w:val="Normal"/>
    <w:uiPriority w:val="99"/>
    <w:semiHidden/>
    <w:unhideWhenUsed/>
    <w:rsid w:val="001F67F3"/>
    <w:rPr>
      <w:rFonts w:ascii="Times New Roman" w:hAnsi="Times New Roman" w:cs="Times New Roman"/>
      <w:sz w:val="24"/>
      <w:szCs w:val="24"/>
    </w:rPr>
  </w:style>
  <w:style w:type="table" w:styleId="TableGrid">
    <w:name w:val="Table Grid"/>
    <w:basedOn w:val="TableNormal"/>
    <w:uiPriority w:val="39"/>
    <w:rsid w:val="00231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3F23"/>
    <w:pPr>
      <w:spacing w:after="0" w:line="240" w:lineRule="auto"/>
    </w:pPr>
  </w:style>
  <w:style w:type="character" w:customStyle="1" w:styleId="BodyTextChar">
    <w:name w:val="Body Text Char"/>
    <w:basedOn w:val="DefaultParagraphFont"/>
    <w:link w:val="BodyText"/>
    <w:rsid w:val="00A527D3"/>
    <w:rPr>
      <w:rFonts w:ascii="Times New Roman" w:eastAsia="Times New Roman" w:hAnsi="Times New Roman" w:cs="Times New Roman"/>
      <w:color w:val="141414"/>
      <w:sz w:val="19"/>
      <w:szCs w:val="19"/>
    </w:rPr>
  </w:style>
  <w:style w:type="paragraph" w:styleId="BodyText">
    <w:name w:val="Body Text"/>
    <w:basedOn w:val="Normal"/>
    <w:link w:val="BodyTextChar"/>
    <w:qFormat/>
    <w:rsid w:val="00A527D3"/>
    <w:pPr>
      <w:widowControl w:val="0"/>
      <w:spacing w:after="0" w:line="290" w:lineRule="auto"/>
      <w:jc w:val="center"/>
    </w:pPr>
    <w:rPr>
      <w:rFonts w:ascii="Times New Roman" w:eastAsia="Times New Roman" w:hAnsi="Times New Roman" w:cs="Times New Roman"/>
      <w:color w:val="141414"/>
      <w:sz w:val="19"/>
      <w:szCs w:val="19"/>
    </w:rPr>
  </w:style>
  <w:style w:type="character" w:customStyle="1" w:styleId="BodyTextChar1">
    <w:name w:val="Body Text Char1"/>
    <w:basedOn w:val="DefaultParagraphFont"/>
    <w:uiPriority w:val="99"/>
    <w:semiHidden/>
    <w:rsid w:val="00A52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0223">
      <w:bodyDiv w:val="1"/>
      <w:marLeft w:val="0"/>
      <w:marRight w:val="0"/>
      <w:marTop w:val="0"/>
      <w:marBottom w:val="0"/>
      <w:divBdr>
        <w:top w:val="none" w:sz="0" w:space="0" w:color="auto"/>
        <w:left w:val="none" w:sz="0" w:space="0" w:color="auto"/>
        <w:bottom w:val="none" w:sz="0" w:space="0" w:color="auto"/>
        <w:right w:val="none" w:sz="0" w:space="0" w:color="auto"/>
      </w:divBdr>
    </w:div>
    <w:div w:id="371268037">
      <w:bodyDiv w:val="1"/>
      <w:marLeft w:val="0"/>
      <w:marRight w:val="0"/>
      <w:marTop w:val="0"/>
      <w:marBottom w:val="0"/>
      <w:divBdr>
        <w:top w:val="none" w:sz="0" w:space="0" w:color="auto"/>
        <w:left w:val="none" w:sz="0" w:space="0" w:color="auto"/>
        <w:bottom w:val="none" w:sz="0" w:space="0" w:color="auto"/>
        <w:right w:val="none" w:sz="0" w:space="0" w:color="auto"/>
      </w:divBdr>
    </w:div>
    <w:div w:id="441151804">
      <w:bodyDiv w:val="1"/>
      <w:marLeft w:val="0"/>
      <w:marRight w:val="0"/>
      <w:marTop w:val="0"/>
      <w:marBottom w:val="0"/>
      <w:divBdr>
        <w:top w:val="none" w:sz="0" w:space="0" w:color="auto"/>
        <w:left w:val="none" w:sz="0" w:space="0" w:color="auto"/>
        <w:bottom w:val="none" w:sz="0" w:space="0" w:color="auto"/>
        <w:right w:val="none" w:sz="0" w:space="0" w:color="auto"/>
      </w:divBdr>
    </w:div>
    <w:div w:id="682052879">
      <w:bodyDiv w:val="1"/>
      <w:marLeft w:val="0"/>
      <w:marRight w:val="0"/>
      <w:marTop w:val="0"/>
      <w:marBottom w:val="0"/>
      <w:divBdr>
        <w:top w:val="none" w:sz="0" w:space="0" w:color="auto"/>
        <w:left w:val="none" w:sz="0" w:space="0" w:color="auto"/>
        <w:bottom w:val="none" w:sz="0" w:space="0" w:color="auto"/>
        <w:right w:val="none" w:sz="0" w:space="0" w:color="auto"/>
      </w:divBdr>
    </w:div>
    <w:div w:id="829255152">
      <w:bodyDiv w:val="1"/>
      <w:marLeft w:val="0"/>
      <w:marRight w:val="0"/>
      <w:marTop w:val="0"/>
      <w:marBottom w:val="0"/>
      <w:divBdr>
        <w:top w:val="none" w:sz="0" w:space="0" w:color="auto"/>
        <w:left w:val="none" w:sz="0" w:space="0" w:color="auto"/>
        <w:bottom w:val="none" w:sz="0" w:space="0" w:color="auto"/>
        <w:right w:val="none" w:sz="0" w:space="0" w:color="auto"/>
      </w:divBdr>
    </w:div>
    <w:div w:id="1602101131">
      <w:bodyDiv w:val="1"/>
      <w:marLeft w:val="0"/>
      <w:marRight w:val="0"/>
      <w:marTop w:val="0"/>
      <w:marBottom w:val="0"/>
      <w:divBdr>
        <w:top w:val="none" w:sz="0" w:space="0" w:color="auto"/>
        <w:left w:val="none" w:sz="0" w:space="0" w:color="auto"/>
        <w:bottom w:val="none" w:sz="0" w:space="0" w:color="auto"/>
        <w:right w:val="none" w:sz="0" w:space="0" w:color="auto"/>
      </w:divBdr>
    </w:div>
    <w:div w:id="1721438657">
      <w:bodyDiv w:val="1"/>
      <w:marLeft w:val="0"/>
      <w:marRight w:val="0"/>
      <w:marTop w:val="0"/>
      <w:marBottom w:val="0"/>
      <w:divBdr>
        <w:top w:val="none" w:sz="0" w:space="0" w:color="auto"/>
        <w:left w:val="none" w:sz="0" w:space="0" w:color="auto"/>
        <w:bottom w:val="none" w:sz="0" w:space="0" w:color="auto"/>
        <w:right w:val="none" w:sz="0" w:space="0" w:color="auto"/>
      </w:divBdr>
    </w:div>
    <w:div w:id="1827093132">
      <w:bodyDiv w:val="1"/>
      <w:marLeft w:val="0"/>
      <w:marRight w:val="0"/>
      <w:marTop w:val="0"/>
      <w:marBottom w:val="0"/>
      <w:divBdr>
        <w:top w:val="none" w:sz="0" w:space="0" w:color="auto"/>
        <w:left w:val="none" w:sz="0" w:space="0" w:color="auto"/>
        <w:bottom w:val="none" w:sz="0" w:space="0" w:color="auto"/>
        <w:right w:val="none" w:sz="0" w:space="0" w:color="auto"/>
      </w:divBdr>
    </w:div>
    <w:div w:id="191970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jpeg"/><Relationship Id="rId21" Type="http://schemas.openxmlformats.org/officeDocument/2006/relationships/image" Target="media/image10.jpeg"/><Relationship Id="rId42" Type="http://schemas.openxmlformats.org/officeDocument/2006/relationships/image" Target="media/image31.jpeg"/><Relationship Id="rId47" Type="http://schemas.openxmlformats.org/officeDocument/2006/relationships/image" Target="media/image36.jpeg"/><Relationship Id="rId63" Type="http://schemas.openxmlformats.org/officeDocument/2006/relationships/image" Target="media/image49.jpeg"/><Relationship Id="rId68" Type="http://schemas.openxmlformats.org/officeDocument/2006/relationships/image" Target="media/image54.jpeg"/><Relationship Id="rId84" Type="http://schemas.openxmlformats.org/officeDocument/2006/relationships/image" Target="media/image70.jpeg"/><Relationship Id="rId89" Type="http://schemas.openxmlformats.org/officeDocument/2006/relationships/footer" Target="footer3.xml"/><Relationship Id="rId16" Type="http://schemas.openxmlformats.org/officeDocument/2006/relationships/image" Target="media/image5.jpeg"/><Relationship Id="rId11" Type="http://schemas.openxmlformats.org/officeDocument/2006/relationships/endnotes" Target="endnotes.xml"/><Relationship Id="rId32" Type="http://schemas.openxmlformats.org/officeDocument/2006/relationships/image" Target="media/image21.jpeg"/><Relationship Id="rId37" Type="http://schemas.openxmlformats.org/officeDocument/2006/relationships/image" Target="media/image26.jpeg"/><Relationship Id="rId53" Type="http://schemas.openxmlformats.org/officeDocument/2006/relationships/image" Target="media/image42.jpeg"/><Relationship Id="rId58" Type="http://schemas.openxmlformats.org/officeDocument/2006/relationships/image" Target="media/image44.jpeg"/><Relationship Id="rId74" Type="http://schemas.openxmlformats.org/officeDocument/2006/relationships/image" Target="media/image60.jpeg"/><Relationship Id="rId79" Type="http://schemas.openxmlformats.org/officeDocument/2006/relationships/image" Target="media/image65.jpeg"/><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jpeg"/><Relationship Id="rId43" Type="http://schemas.openxmlformats.org/officeDocument/2006/relationships/image" Target="media/image32.jpeg"/><Relationship Id="rId48" Type="http://schemas.openxmlformats.org/officeDocument/2006/relationships/image" Target="media/image37.jpeg"/><Relationship Id="rId56" Type="http://schemas.openxmlformats.org/officeDocument/2006/relationships/hyperlink" Target="https://eur-lex.europa.eu/legal-content/RO/AUTO/?uri=celex:32024R1623" TargetMode="External"/><Relationship Id="rId64" Type="http://schemas.openxmlformats.org/officeDocument/2006/relationships/image" Target="media/image50.jpeg"/><Relationship Id="rId69" Type="http://schemas.openxmlformats.org/officeDocument/2006/relationships/image" Target="media/image55.jpeg"/><Relationship Id="rId77" Type="http://schemas.openxmlformats.org/officeDocument/2006/relationships/image" Target="media/image63.jpeg"/><Relationship Id="rId8" Type="http://schemas.openxmlformats.org/officeDocument/2006/relationships/settings" Target="settings.xml"/><Relationship Id="rId51" Type="http://schemas.openxmlformats.org/officeDocument/2006/relationships/image" Target="media/image40.jpeg"/><Relationship Id="rId72" Type="http://schemas.openxmlformats.org/officeDocument/2006/relationships/image" Target="media/image58.jpeg"/><Relationship Id="rId80" Type="http://schemas.openxmlformats.org/officeDocument/2006/relationships/image" Target="media/image66.jpeg"/><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image" Target="media/image27.jpeg"/><Relationship Id="rId46" Type="http://schemas.openxmlformats.org/officeDocument/2006/relationships/image" Target="media/image35.jpeg"/><Relationship Id="rId59" Type="http://schemas.openxmlformats.org/officeDocument/2006/relationships/image" Target="media/image45.jpeg"/><Relationship Id="rId67" Type="http://schemas.openxmlformats.org/officeDocument/2006/relationships/image" Target="media/image53.jpeg"/><Relationship Id="rId20" Type="http://schemas.openxmlformats.org/officeDocument/2006/relationships/image" Target="media/image9.jpeg"/><Relationship Id="rId41" Type="http://schemas.openxmlformats.org/officeDocument/2006/relationships/image" Target="media/image30.jpeg"/><Relationship Id="rId54" Type="http://schemas.openxmlformats.org/officeDocument/2006/relationships/hyperlink" Target="https://eur-lex.europa.eu/legal-content/RO/AUTO/?uri=celex:32024R1623" TargetMode="External"/><Relationship Id="rId62" Type="http://schemas.openxmlformats.org/officeDocument/2006/relationships/image" Target="media/image48.jpeg"/><Relationship Id="rId70" Type="http://schemas.openxmlformats.org/officeDocument/2006/relationships/image" Target="media/image56.jpeg"/><Relationship Id="rId75" Type="http://schemas.openxmlformats.org/officeDocument/2006/relationships/image" Target="media/image61.jpeg"/><Relationship Id="rId83" Type="http://schemas.openxmlformats.org/officeDocument/2006/relationships/image" Target="media/image69.jpeg"/><Relationship Id="rId88" Type="http://schemas.openxmlformats.org/officeDocument/2006/relationships/header" Target="head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5.jpeg"/><Relationship Id="rId49" Type="http://schemas.openxmlformats.org/officeDocument/2006/relationships/image" Target="media/image38.jpeg"/><Relationship Id="rId57" Type="http://schemas.openxmlformats.org/officeDocument/2006/relationships/hyperlink" Target="https://eur-lex.europa.eu/legal-content/RO/AUTO/?uri=celex:32024R1623" TargetMode="External"/><Relationship Id="rId10" Type="http://schemas.openxmlformats.org/officeDocument/2006/relationships/footnotes" Target="footnotes.xml"/><Relationship Id="rId31" Type="http://schemas.openxmlformats.org/officeDocument/2006/relationships/image" Target="media/image20.jpeg"/><Relationship Id="rId44" Type="http://schemas.openxmlformats.org/officeDocument/2006/relationships/image" Target="media/image33.jpeg"/><Relationship Id="rId52" Type="http://schemas.openxmlformats.org/officeDocument/2006/relationships/image" Target="media/image41.jpeg"/><Relationship Id="rId60" Type="http://schemas.openxmlformats.org/officeDocument/2006/relationships/image" Target="media/image46.jpeg"/><Relationship Id="rId65" Type="http://schemas.openxmlformats.org/officeDocument/2006/relationships/image" Target="media/image51.jpeg"/><Relationship Id="rId73" Type="http://schemas.openxmlformats.org/officeDocument/2006/relationships/image" Target="media/image59.jpeg"/><Relationship Id="rId78" Type="http://schemas.openxmlformats.org/officeDocument/2006/relationships/image" Target="media/image64.jpeg"/><Relationship Id="rId81" Type="http://schemas.openxmlformats.org/officeDocument/2006/relationships/image" Target="media/image67.jpeg"/><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39" Type="http://schemas.openxmlformats.org/officeDocument/2006/relationships/image" Target="media/image28.jpeg"/><Relationship Id="rId34" Type="http://schemas.openxmlformats.org/officeDocument/2006/relationships/image" Target="media/image23.jpeg"/><Relationship Id="rId50" Type="http://schemas.openxmlformats.org/officeDocument/2006/relationships/image" Target="media/image39.jpeg"/><Relationship Id="rId55" Type="http://schemas.openxmlformats.org/officeDocument/2006/relationships/image" Target="media/image43.jpeg"/><Relationship Id="rId76" Type="http://schemas.openxmlformats.org/officeDocument/2006/relationships/image" Target="media/image62.jpeg"/><Relationship Id="rId7" Type="http://schemas.openxmlformats.org/officeDocument/2006/relationships/styles" Target="styles.xml"/><Relationship Id="rId71" Type="http://schemas.openxmlformats.org/officeDocument/2006/relationships/image" Target="media/image57.jpeg"/><Relationship Id="rId2" Type="http://schemas.openxmlformats.org/officeDocument/2006/relationships/customXml" Target="../customXml/item2.xml"/><Relationship Id="rId29" Type="http://schemas.openxmlformats.org/officeDocument/2006/relationships/image" Target="media/image18.jpeg"/><Relationship Id="rId24" Type="http://schemas.openxmlformats.org/officeDocument/2006/relationships/image" Target="media/image13.jpeg"/><Relationship Id="rId40" Type="http://schemas.openxmlformats.org/officeDocument/2006/relationships/image" Target="media/image29.jpeg"/><Relationship Id="rId45" Type="http://schemas.openxmlformats.org/officeDocument/2006/relationships/image" Target="media/image34.jpeg"/><Relationship Id="rId66" Type="http://schemas.openxmlformats.org/officeDocument/2006/relationships/image" Target="media/image52.jpeg"/><Relationship Id="rId87" Type="http://schemas.openxmlformats.org/officeDocument/2006/relationships/footer" Target="footer2.xml"/><Relationship Id="rId61" Type="http://schemas.openxmlformats.org/officeDocument/2006/relationships/image" Target="media/image47.jpeg"/><Relationship Id="rId82" Type="http://schemas.openxmlformats.org/officeDocument/2006/relationships/image" Target="media/image68.jpeg"/><Relationship Id="rId19"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itus xmlns="http://schemas.titus.com/TitusProperties/">
  <TitusGUID xmlns="">8316a565-aa6d-4702-add8-5799ae5ac074</TitusGUID>
  <TitusMetadata xmlns="">eyJucyI6IioiLCJwcm9wcyI6W3sibiI6IkNsYXNpZmljYXJlIiwidmFscyI6W3sidmFsdWUiOiJOT05FIn1dfV19</TitusMetadata>
</titus>
</file>

<file path=customXml/item3.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7bb9469473fdfa3e37bd109cebc79a60">
  <xsd:schema xmlns:xsd="http://www.w3.org/2001/XMLSchema" xmlns:xs="http://www.w3.org/2001/XMLSchema" xmlns:p="http://schemas.microsoft.com/office/2006/metadata/properties" xmlns:ns2="ab897e66-8555-453e-a498-d234c2d9a514" targetNamespace="http://schemas.microsoft.com/office/2006/metadata/properties" ma:root="true" ma:fieldsID="144fd311a1cd95615ace5cd8c6cfd62e"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ab897e66-8555-453e-a498-d234c2d9a514">
      <UserInfo>
        <DisplayName>Tatiana G. Gutanu</DisplayName>
        <AccountId>12</AccountId>
        <AccountType/>
      </UserInfo>
      <UserInfo>
        <DisplayName>Renata V. Moscalenco</DisplayName>
        <AccountId>17</AccountId>
        <AccountType/>
      </UserInfo>
      <UserInfo>
        <DisplayName>Anastasia G. Podubnii</DisplayName>
        <AccountId>13</AccountId>
        <AccountType/>
      </UserInfo>
    </SharedWithUsers>
  </documentManagement>
</p:properties>
</file>

<file path=customXml/itemProps1.xml><?xml version="1.0" encoding="utf-8"?>
<ds:datastoreItem xmlns:ds="http://schemas.openxmlformats.org/officeDocument/2006/customXml" ds:itemID="{0C52A6D7-BD1B-4815-B55A-2237F7376331}">
  <ds:schemaRefs>
    <ds:schemaRef ds:uri="http://schemas.microsoft.com/sharepoint/v3/contenttype/forms"/>
  </ds:schemaRefs>
</ds:datastoreItem>
</file>

<file path=customXml/itemProps2.xml><?xml version="1.0" encoding="utf-8"?>
<ds:datastoreItem xmlns:ds="http://schemas.openxmlformats.org/officeDocument/2006/customXml" ds:itemID="{5A988B91-6209-4DFF-B8E3-8771CBEE961E}">
  <ds:schemaRefs>
    <ds:schemaRef ds:uri="http://schemas.titus.com/TitusProperties/"/>
    <ds:schemaRef ds:uri=""/>
  </ds:schemaRefs>
</ds:datastoreItem>
</file>

<file path=customXml/itemProps3.xml><?xml version="1.0" encoding="utf-8"?>
<ds:datastoreItem xmlns:ds="http://schemas.openxmlformats.org/officeDocument/2006/customXml" ds:itemID="{3FFE3621-A2C3-483A-8899-2BDDC00BA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124769-0A4E-420A-A6AD-37BD51D8FE1C}">
  <ds:schemaRefs>
    <ds:schemaRef ds:uri="http://schemas.openxmlformats.org/officeDocument/2006/bibliography"/>
  </ds:schemaRefs>
</ds:datastoreItem>
</file>

<file path=customXml/itemProps5.xml><?xml version="1.0" encoding="utf-8"?>
<ds:datastoreItem xmlns:ds="http://schemas.openxmlformats.org/officeDocument/2006/customXml" ds:itemID="{1E9B4A09-DB97-4833-94DF-2710B487C1AC}">
  <ds:schemaRefs>
    <ds:schemaRef ds:uri="http://schemas.microsoft.com/office/2006/metadata/properties"/>
    <ds:schemaRef ds:uri="http://schemas.microsoft.com/office/infopath/2007/PartnerControls"/>
    <ds:schemaRef ds:uri="ab897e66-8555-453e-a498-d234c2d9a51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123</Pages>
  <Words>41965</Words>
  <Characters>318519</Characters>
  <Application>Microsoft Office Word</Application>
  <DocSecurity>0</DocSecurity>
  <Lines>31851</Lines>
  <Paragraphs>10299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2026-06-10T08:33:00Z</cp:lastPrinted>
  <dcterms:created xsi:type="dcterms:W3CDTF">2026-06-23T14:09:00Z</dcterms:created>
  <dcterms:modified xsi:type="dcterms:W3CDTF">2026-06-23T14:09:00Z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SP-2</vt:lpwstr>
  </property>
  <property fmtid="{D5CDD505-2E9C-101B-9397-08002B2CF9AE}" pid="5" name="ClassificationContentMarkingFooterShapeIds">
    <vt:lpwstr>4,5,6</vt:lpwstr>
  </property>
  <property fmtid="{D5CDD505-2E9C-101B-9397-08002B2CF9AE}" pid="6" name="ClassificationContentMarkingFooterFontProps">
    <vt:lpwstr>#000000,8,Calibri</vt:lpwstr>
  </property>
  <property fmtid="{D5CDD505-2E9C-101B-9397-08002B2CF9AE}" pid="7" name="ClassificationContentMarkingFooterText">
    <vt:lpwstr>Atenţie! Se interzice deţinerea, sustragerea, alterarea, multiplicarea, distrugerea sau folosirea  acestui document fără a dispune de drept de acces autorizat.</vt:lpwstr>
  </property>
  <property fmtid="{D5CDD505-2E9C-101B-9397-08002B2CF9AE}" pid="8" name="MSIP_Label_70108aff-3426-4749-9d04-de3a5077dcce_Enabled">
    <vt:lpwstr>true</vt:lpwstr>
  </property>
  <property fmtid="{D5CDD505-2E9C-101B-9397-08002B2CF9AE}" pid="9" name="MSIP_Label_70108aff-3426-4749-9d04-de3a5077dcce_SetDate">
    <vt:lpwstr>2025-04-14T14:08:55Z</vt:lpwstr>
  </property>
  <property fmtid="{D5CDD505-2E9C-101B-9397-08002B2CF9AE}" pid="10" name="MSIP_Label_70108aff-3426-4749-9d04-de3a5077dcce_Method">
    <vt:lpwstr>Privileged</vt:lpwstr>
  </property>
  <property fmtid="{D5CDD505-2E9C-101B-9397-08002B2CF9AE}" pid="11" name="MSIP_Label_70108aff-3426-4749-9d04-de3a5077dcce_Name">
    <vt:lpwstr>SP-2</vt:lpwstr>
  </property>
  <property fmtid="{D5CDD505-2E9C-101B-9397-08002B2CF9AE}" pid="12" name="MSIP_Label_70108aff-3426-4749-9d04-de3a5077dcce_SiteId">
    <vt:lpwstr>5887d430-0034-4561-b771-12c77faf2fa0</vt:lpwstr>
  </property>
  <property fmtid="{D5CDD505-2E9C-101B-9397-08002B2CF9AE}" pid="13" name="MSIP_Label_70108aff-3426-4749-9d04-de3a5077dcce_ActionId">
    <vt:lpwstr>e38cb4b6-dc1e-4a3b-b5b9-18cd2a8dc014</vt:lpwstr>
  </property>
  <property fmtid="{D5CDD505-2E9C-101B-9397-08002B2CF9AE}" pid="14" name="MSIP_Label_70108aff-3426-4749-9d04-de3a5077dcce_ContentBits">
    <vt:lpwstr>3</vt:lpwstr>
  </property>
  <property fmtid="{D5CDD505-2E9C-101B-9397-08002B2CF9AE}" pid="15" name="TitusGUID">
    <vt:lpwstr>8316a565-aa6d-4702-add8-5799ae5ac074</vt:lpwstr>
  </property>
  <property fmtid="{D5CDD505-2E9C-101B-9397-08002B2CF9AE}" pid="16" name="Clasificare">
    <vt:lpwstr>NONE</vt:lpwstr>
  </property>
  <property fmtid="{D5CDD505-2E9C-101B-9397-08002B2CF9AE}" pid="17" name="ContentTypeId">
    <vt:lpwstr>0x01010041CC8FD9FC602D47942046F00E7457D2</vt:lpwstr>
  </property>
</Properties>
</file>